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20" w:lineRule="exact"/>
        <w:jc w:val="left"/>
        <w:rPr>
          <w:rFonts w:ascii="楷体" w:hAnsi="楷体" w:eastAsia="楷体"/>
          <w:sz w:val="24"/>
        </w:rPr>
      </w:pPr>
      <w:r>
        <w:rPr>
          <w:rFonts w:hint="eastAsia" w:ascii="楷体" w:hAnsi="楷体" w:eastAsia="楷体"/>
          <w:sz w:val="24"/>
        </w:rPr>
        <w:t>证券代码：6</w:t>
      </w:r>
      <w:r>
        <w:rPr>
          <w:rFonts w:ascii="楷体" w:hAnsi="楷体" w:eastAsia="楷体"/>
          <w:sz w:val="24"/>
        </w:rPr>
        <w:t xml:space="preserve">00968   </w:t>
      </w:r>
      <w:r>
        <w:rPr>
          <w:rFonts w:hint="eastAsia" w:ascii="楷体" w:hAnsi="楷体" w:eastAsia="楷体"/>
          <w:sz w:val="24"/>
        </w:rPr>
        <w:t xml:space="preserve">                              证券简称：海油发展 </w:t>
      </w:r>
      <w:r>
        <w:rPr>
          <w:rFonts w:ascii="楷体" w:hAnsi="楷体" w:eastAsia="楷体"/>
          <w:sz w:val="24"/>
        </w:rPr>
        <w:t xml:space="preserve"> </w:t>
      </w:r>
    </w:p>
    <w:p>
      <w:pPr>
        <w:spacing w:line="480" w:lineRule="exact"/>
        <w:jc w:val="center"/>
        <w:rPr>
          <w:rFonts w:ascii="宋体" w:hAnsi="宋体"/>
          <w:b/>
          <w:bCs/>
          <w:sz w:val="28"/>
          <w:szCs w:val="30"/>
        </w:rPr>
      </w:pPr>
      <w:r>
        <w:rPr>
          <w:rFonts w:hint="eastAsia" w:ascii="宋体" w:hAnsi="宋体"/>
          <w:b/>
          <w:bCs/>
          <w:sz w:val="28"/>
          <w:szCs w:val="30"/>
        </w:rPr>
        <w:t>中海油能源发展股份有限公司</w:t>
      </w:r>
    </w:p>
    <w:p>
      <w:pPr>
        <w:spacing w:line="480" w:lineRule="exact"/>
        <w:jc w:val="center"/>
        <w:outlineLvl w:val="0"/>
        <w:rPr>
          <w:rFonts w:ascii="宋体" w:hAnsi="宋体"/>
          <w:b/>
          <w:bCs/>
          <w:sz w:val="28"/>
          <w:szCs w:val="30"/>
        </w:rPr>
      </w:pPr>
      <w:r>
        <w:rPr>
          <w:rFonts w:hint="eastAsia" w:ascii="宋体" w:hAnsi="宋体"/>
          <w:b/>
          <w:bCs/>
          <w:sz w:val="28"/>
          <w:szCs w:val="30"/>
        </w:rPr>
        <w:t>投资者关系活动记录表</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7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bCs/>
                <w:sz w:val="24"/>
              </w:rPr>
            </w:pPr>
            <w:r>
              <w:rPr>
                <w:rFonts w:hint="eastAsia" w:ascii="Arial" w:hAnsi="Arial"/>
                <w:bCs/>
                <w:sz w:val="24"/>
              </w:rPr>
              <w:t>投资者关系活动类别</w:t>
            </w:r>
          </w:p>
        </w:tc>
        <w:tc>
          <w:tcPr>
            <w:tcW w:w="4354" w:type="pct"/>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hAnsi="Arial"/>
                <w:bCs/>
                <w:sz w:val="24"/>
              </w:rPr>
            </w:pPr>
            <w:r>
              <w:rPr>
                <w:rFonts w:hint="eastAsia" w:ascii="Arial" w:hAnsi="Arial"/>
                <w:bCs/>
                <w:sz w:val="24"/>
              </w:rPr>
              <w:sym w:font="Wingdings 2" w:char="0052"/>
            </w:r>
            <w:r>
              <w:rPr>
                <w:rFonts w:hint="eastAsia" w:ascii="Arial" w:hAnsi="Arial"/>
                <w:bCs/>
                <w:sz w:val="24"/>
              </w:rPr>
              <w:t>特定对象调研 □分析师会议</w:t>
            </w:r>
          </w:p>
          <w:p>
            <w:pPr>
              <w:spacing w:line="400" w:lineRule="exact"/>
              <w:rPr>
                <w:rFonts w:ascii="Arial" w:hAnsi="Arial"/>
                <w:bCs/>
                <w:sz w:val="24"/>
              </w:rPr>
            </w:pPr>
            <w:r>
              <w:rPr>
                <w:rFonts w:hint="eastAsia" w:ascii="Arial" w:hAnsi="Arial"/>
                <w:bCs/>
                <w:sz w:val="24"/>
              </w:rPr>
              <w:t xml:space="preserve">□媒体采访 </w:t>
            </w:r>
            <w:r>
              <w:rPr>
                <w:rFonts w:ascii="Arial" w:hAnsi="Arial"/>
                <w:bCs/>
                <w:sz w:val="24"/>
              </w:rPr>
              <w:t xml:space="preserve">   </w:t>
            </w:r>
            <w:r>
              <w:rPr>
                <w:rFonts w:hint="eastAsia" w:ascii="Arial" w:hAnsi="Arial"/>
                <w:bCs/>
                <w:sz w:val="24"/>
              </w:rPr>
              <w:t xml:space="preserve"> □业绩说明会</w:t>
            </w:r>
          </w:p>
          <w:p>
            <w:pPr>
              <w:spacing w:line="400" w:lineRule="exact"/>
              <w:rPr>
                <w:rFonts w:ascii="Arial" w:hAnsi="Arial"/>
                <w:bCs/>
                <w:sz w:val="24"/>
              </w:rPr>
            </w:pPr>
            <w:r>
              <w:rPr>
                <w:rFonts w:hint="eastAsia" w:ascii="Arial" w:hAnsi="Arial"/>
                <w:bCs/>
                <w:sz w:val="24"/>
              </w:rPr>
              <w:t xml:space="preserve">□新闻发布会 </w:t>
            </w:r>
            <w:r>
              <w:rPr>
                <w:rFonts w:ascii="Arial" w:hAnsi="Arial"/>
                <w:bCs/>
                <w:sz w:val="24"/>
              </w:rPr>
              <w:t xml:space="preserve">  </w:t>
            </w:r>
            <w:r>
              <w:rPr>
                <w:rFonts w:hint="eastAsia" w:ascii="Arial" w:hAnsi="Arial"/>
                <w:bCs/>
                <w:sz w:val="24"/>
              </w:rPr>
              <w:sym w:font="Wingdings 2" w:char="00A3"/>
            </w:r>
            <w:r>
              <w:rPr>
                <w:rFonts w:hint="eastAsia" w:ascii="Arial" w:hAnsi="Arial"/>
                <w:bCs/>
                <w:sz w:val="24"/>
              </w:rPr>
              <w:t>路演活动</w:t>
            </w:r>
          </w:p>
          <w:p>
            <w:pPr>
              <w:spacing w:line="400" w:lineRule="exact"/>
              <w:rPr>
                <w:rFonts w:ascii="Arial" w:hAnsi="Arial"/>
                <w:bCs/>
                <w:sz w:val="24"/>
              </w:rPr>
            </w:pPr>
            <w:r>
              <w:rPr>
                <w:rFonts w:hint="eastAsia" w:ascii="Arial" w:hAnsi="Arial"/>
                <w:bCs/>
                <w:sz w:val="24"/>
              </w:rPr>
              <w:t>□现场参观</w:t>
            </w:r>
          </w:p>
          <w:p>
            <w:pPr>
              <w:spacing w:line="400" w:lineRule="exact"/>
              <w:rPr>
                <w:rFonts w:ascii="Arial" w:hAnsi="Arial"/>
                <w:bCs/>
                <w:sz w:val="24"/>
              </w:rPr>
            </w:pPr>
            <w:r>
              <w:rPr>
                <w:rFonts w:hint="eastAsia" w:ascii="Arial" w:hAnsi="Arial"/>
                <w:bCs/>
                <w:sz w:val="24"/>
              </w:rPr>
              <w:t>□其他（请文字说明其他活动内容）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bCs/>
                <w:sz w:val="24"/>
              </w:rPr>
            </w:pPr>
            <w:r>
              <w:rPr>
                <w:rFonts w:hint="eastAsia" w:ascii="Arial" w:hAnsi="Arial"/>
                <w:bCs/>
                <w:sz w:val="24"/>
              </w:rPr>
              <w:t>时间</w:t>
            </w:r>
          </w:p>
        </w:tc>
        <w:tc>
          <w:tcPr>
            <w:tcW w:w="4354" w:type="pct"/>
            <w:tcBorders>
              <w:top w:val="single" w:color="auto" w:sz="4" w:space="0"/>
              <w:left w:val="single" w:color="auto" w:sz="4" w:space="0"/>
              <w:bottom w:val="single" w:color="auto" w:sz="4" w:space="0"/>
              <w:right w:val="single" w:color="auto" w:sz="4" w:space="0"/>
            </w:tcBorders>
            <w:vAlign w:val="center"/>
          </w:tcPr>
          <w:p>
            <w:pPr>
              <w:spacing w:line="440" w:lineRule="exact"/>
              <w:rPr>
                <w:rFonts w:ascii="Arial" w:hAnsi="Arial" w:cs="Arial"/>
                <w:sz w:val="24"/>
              </w:rPr>
            </w:pPr>
            <w:r>
              <w:rPr>
                <w:rFonts w:ascii="Times New Roman" w:hAnsi="Times New Roman"/>
                <w:sz w:val="24"/>
              </w:rPr>
              <w:t>2021年</w:t>
            </w:r>
            <w:r>
              <w:rPr>
                <w:rFonts w:hint="eastAsia" w:ascii="Times New Roman" w:hAnsi="Times New Roman"/>
                <w:sz w:val="24"/>
                <w:lang w:val="en-US" w:eastAsia="zh-CN"/>
              </w:rPr>
              <w:t>9</w:t>
            </w:r>
            <w:r>
              <w:rPr>
                <w:rFonts w:hint="eastAsia" w:ascii="Times New Roman" w:hAnsi="Times New Roman"/>
                <w:sz w:val="24"/>
              </w:rPr>
              <w:t>月</w:t>
            </w:r>
            <w:r>
              <w:rPr>
                <w:rFonts w:hint="eastAsia" w:ascii="Times New Roman" w:hAnsi="Times New Roman"/>
                <w:sz w:val="24"/>
                <w:lang w:val="en-US" w:eastAsia="zh-CN"/>
              </w:rPr>
              <w:t>18</w:t>
            </w:r>
            <w:r>
              <w:rPr>
                <w:rFonts w:ascii="Times New Roman" w:hAnsi="Times New Roman"/>
                <w:sz w:val="24"/>
              </w:rPr>
              <w:t>日</w:t>
            </w:r>
            <w:r>
              <w:rPr>
                <w:rFonts w:ascii="Arial" w:hAnsi="Arial" w:cs="Arial"/>
                <w:sz w:val="24"/>
              </w:rPr>
              <w:t>1</w:t>
            </w:r>
            <w:r>
              <w:rPr>
                <w:rFonts w:hint="eastAsia" w:ascii="Arial" w:hAnsi="Arial" w:cs="Arial"/>
                <w:sz w:val="24"/>
                <w:lang w:val="en-US" w:eastAsia="zh-CN"/>
              </w:rPr>
              <w:t>0</w:t>
            </w:r>
            <w:r>
              <w:rPr>
                <w:rFonts w:hint="eastAsia" w:ascii="Arial" w:hAnsi="Arial" w:cs="Arial"/>
                <w:sz w:val="24"/>
              </w:rPr>
              <w:t>:</w:t>
            </w:r>
            <w:r>
              <w:rPr>
                <w:rFonts w:hint="eastAsia" w:ascii="Arial" w:hAnsi="Arial" w:cs="Arial"/>
                <w:sz w:val="24"/>
                <w:lang w:val="en-US" w:eastAsia="zh-CN"/>
              </w:rPr>
              <w:t>3</w:t>
            </w:r>
            <w:r>
              <w:rPr>
                <w:rFonts w:hint="eastAsia" w:ascii="Arial" w:hAnsi="Arial" w:cs="Arial"/>
                <w:sz w:val="24"/>
              </w:rPr>
              <w:t>0-</w:t>
            </w:r>
            <w:r>
              <w:rPr>
                <w:rFonts w:ascii="Arial" w:hAnsi="Arial" w:cs="Arial"/>
                <w:sz w:val="24"/>
              </w:rPr>
              <w:t>1</w:t>
            </w:r>
            <w:r>
              <w:rPr>
                <w:rFonts w:hint="eastAsia" w:ascii="Arial" w:hAnsi="Arial" w:cs="Arial"/>
                <w:sz w:val="24"/>
                <w:lang w:val="en-US" w:eastAsia="zh-CN"/>
              </w:rPr>
              <w:t>1</w:t>
            </w:r>
            <w:r>
              <w:rPr>
                <w:rFonts w:hint="eastAsia" w:ascii="Arial" w:hAnsi="Arial" w:cs="Arial"/>
                <w:sz w:val="24"/>
              </w:rPr>
              <w:t>:</w:t>
            </w:r>
            <w:r>
              <w:rPr>
                <w:rFonts w:hint="eastAsia" w:ascii="Arial" w:hAnsi="Arial" w:cs="Arial"/>
                <w:sz w:val="24"/>
                <w:lang w:val="en-US" w:eastAsia="zh-CN"/>
              </w:rPr>
              <w:t>3</w:t>
            </w:r>
            <w:r>
              <w:rPr>
                <w:rFonts w:hint="eastAsia" w:ascii="Arial" w:hAnsi="Arial" w:cs="Arial"/>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bCs/>
                <w:sz w:val="24"/>
              </w:rPr>
            </w:pPr>
            <w:r>
              <w:rPr>
                <w:rFonts w:hint="eastAsia" w:ascii="Arial" w:hAnsi="Arial"/>
                <w:bCs/>
                <w:sz w:val="24"/>
              </w:rPr>
              <w:t>地点</w:t>
            </w:r>
          </w:p>
        </w:tc>
        <w:tc>
          <w:tcPr>
            <w:tcW w:w="4354" w:type="pct"/>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Arial" w:hAnsi="Arial" w:eastAsia="宋体" w:cs="Arial"/>
                <w:sz w:val="24"/>
                <w:lang w:eastAsia="zh-CN"/>
              </w:rPr>
            </w:pPr>
            <w:r>
              <w:rPr>
                <w:rFonts w:hint="eastAsia" w:ascii="Arial" w:hAnsi="Arial" w:cs="Arial"/>
                <w:sz w:val="24"/>
              </w:rPr>
              <w:t>公司会议室</w:t>
            </w:r>
            <w:r>
              <w:rPr>
                <w:rFonts w:hint="eastAsia" w:ascii="Arial" w:hAnsi="Arial" w:cs="Arial"/>
                <w:sz w:val="24"/>
                <w:lang w:eastAsia="zh-CN"/>
              </w:rPr>
              <w:t>（</w:t>
            </w:r>
            <w:r>
              <w:rPr>
                <w:rFonts w:hint="eastAsia" w:ascii="Arial" w:hAnsi="Arial" w:cs="Arial"/>
                <w:sz w:val="24"/>
                <w:lang w:val="en-US" w:eastAsia="zh-CN"/>
              </w:rPr>
              <w:t>网络电话</w:t>
            </w:r>
            <w:r>
              <w:rPr>
                <w:rFonts w:hint="eastAsia" w:ascii="Arial" w:hAnsi="Arial" w:cs="Arial"/>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Arial" w:hAnsi="Arial"/>
                <w:bCs/>
                <w:sz w:val="24"/>
              </w:rPr>
            </w:pPr>
            <w:r>
              <w:rPr>
                <w:rFonts w:hint="eastAsia" w:ascii="Arial" w:hAnsi="Arial"/>
                <w:bCs/>
                <w:sz w:val="24"/>
              </w:rPr>
              <w:t>上市公司接待人员姓名</w:t>
            </w:r>
          </w:p>
        </w:tc>
        <w:tc>
          <w:tcPr>
            <w:tcW w:w="4354" w:type="pct"/>
            <w:tcBorders>
              <w:top w:val="single" w:color="auto" w:sz="4" w:space="0"/>
              <w:left w:val="single" w:color="auto" w:sz="4" w:space="0"/>
              <w:bottom w:val="single" w:color="auto" w:sz="4" w:space="0"/>
              <w:right w:val="single" w:color="auto" w:sz="4" w:space="0"/>
            </w:tcBorders>
            <w:vAlign w:val="center"/>
          </w:tcPr>
          <w:tbl>
            <w:tblPr>
              <w:tblStyle w:val="8"/>
              <w:tblW w:w="5000" w:type="pct"/>
              <w:tblInd w:w="0" w:type="dxa"/>
              <w:tblLayout w:type="autofit"/>
              <w:tblCellMar>
                <w:top w:w="0" w:type="dxa"/>
                <w:left w:w="108" w:type="dxa"/>
                <w:bottom w:w="0" w:type="dxa"/>
                <w:right w:w="108" w:type="dxa"/>
              </w:tblCellMar>
            </w:tblPr>
            <w:tblGrid>
              <w:gridCol w:w="2249"/>
              <w:gridCol w:w="5128"/>
            </w:tblGrid>
            <w:tr>
              <w:tblPrEx>
                <w:tblCellMar>
                  <w:top w:w="0" w:type="dxa"/>
                  <w:left w:w="108" w:type="dxa"/>
                  <w:bottom w:w="0" w:type="dxa"/>
                  <w:right w:w="108" w:type="dxa"/>
                </w:tblCellMar>
              </w:tblPrEx>
              <w:trPr>
                <w:trHeight w:val="285" w:hRule="atLeast"/>
              </w:trPr>
              <w:tc>
                <w:tcPr>
                  <w:tcW w:w="1524" w:type="pct"/>
                  <w:shd w:val="clear" w:color="auto" w:fill="auto"/>
                  <w:noWrap/>
                  <w:vAlign w:val="bottom"/>
                </w:tcPr>
                <w:p>
                  <w:pPr>
                    <w:spacing w:line="276" w:lineRule="auto"/>
                    <w:rPr>
                      <w:rFonts w:hint="eastAsia" w:ascii="Arial" w:hAnsi="Arial" w:cs="Arial"/>
                      <w:sz w:val="24"/>
                    </w:rPr>
                  </w:pPr>
                  <w:r>
                    <w:rPr>
                      <w:rFonts w:hint="eastAsia" w:ascii="Arial" w:hAnsi="Arial" w:cs="Arial"/>
                      <w:sz w:val="24"/>
                    </w:rPr>
                    <w:t>黄振鹰</w:t>
                  </w:r>
                </w:p>
                <w:p>
                  <w:pPr>
                    <w:spacing w:line="276" w:lineRule="auto"/>
                    <w:rPr>
                      <w:rFonts w:hint="eastAsia" w:ascii="Arial" w:hAnsi="Arial" w:eastAsia="宋体" w:cs="Arial"/>
                      <w:sz w:val="24"/>
                      <w:lang w:val="en-US" w:eastAsia="zh-CN"/>
                    </w:rPr>
                  </w:pPr>
                  <w:r>
                    <w:rPr>
                      <w:rFonts w:hint="eastAsia" w:ascii="Arial" w:hAnsi="Arial" w:cs="Arial"/>
                      <w:sz w:val="24"/>
                      <w:lang w:val="en-US" w:eastAsia="zh-CN"/>
                    </w:rPr>
                    <w:t>郭  振</w:t>
                  </w:r>
                </w:p>
              </w:tc>
              <w:tc>
                <w:tcPr>
                  <w:tcW w:w="3476" w:type="pct"/>
                  <w:shd w:val="clear" w:color="auto" w:fill="auto"/>
                  <w:noWrap/>
                  <w:vAlign w:val="center"/>
                </w:tcPr>
                <w:p>
                  <w:pPr>
                    <w:spacing w:line="276" w:lineRule="auto"/>
                    <w:rPr>
                      <w:rFonts w:hint="eastAsia" w:ascii="Arial" w:hAnsi="Arial" w:cs="Arial"/>
                      <w:sz w:val="24"/>
                    </w:rPr>
                  </w:pPr>
                  <w:r>
                    <w:rPr>
                      <w:rFonts w:hint="eastAsia" w:ascii="Arial" w:hAnsi="Arial" w:cs="Arial"/>
                      <w:sz w:val="24"/>
                      <w:lang w:val="en-US" w:eastAsia="zh-CN"/>
                    </w:rPr>
                    <w:t>总法律顾问、</w:t>
                  </w:r>
                  <w:r>
                    <w:rPr>
                      <w:rFonts w:hint="eastAsia" w:ascii="Arial" w:hAnsi="Arial" w:cs="Arial"/>
                      <w:sz w:val="24"/>
                    </w:rPr>
                    <w:t>董事会秘书</w:t>
                  </w:r>
                </w:p>
                <w:p>
                  <w:pPr>
                    <w:spacing w:line="276" w:lineRule="auto"/>
                    <w:rPr>
                      <w:rFonts w:hint="default" w:ascii="Arial" w:hAnsi="Arial" w:eastAsia="宋体" w:cs="Arial"/>
                      <w:sz w:val="24"/>
                      <w:lang w:val="en-US" w:eastAsia="zh-CN"/>
                    </w:rPr>
                  </w:pPr>
                  <w:r>
                    <w:rPr>
                      <w:rFonts w:hint="eastAsia" w:ascii="Arial" w:hAnsi="Arial" w:cs="Arial"/>
                      <w:sz w:val="24"/>
                      <w:lang w:val="en-US" w:eastAsia="zh-CN"/>
                    </w:rPr>
                    <w:t>财务部副总经理</w:t>
                  </w:r>
                </w:p>
              </w:tc>
            </w:tr>
            <w:tr>
              <w:tblPrEx>
                <w:tblCellMar>
                  <w:top w:w="0" w:type="dxa"/>
                  <w:left w:w="108" w:type="dxa"/>
                  <w:bottom w:w="0" w:type="dxa"/>
                  <w:right w:w="108" w:type="dxa"/>
                </w:tblCellMar>
              </w:tblPrEx>
              <w:trPr>
                <w:trHeight w:val="285" w:hRule="atLeast"/>
              </w:trPr>
              <w:tc>
                <w:tcPr>
                  <w:tcW w:w="1524" w:type="pct"/>
                  <w:shd w:val="clear" w:color="auto" w:fill="auto"/>
                  <w:noWrap/>
                  <w:vAlign w:val="bottom"/>
                </w:tcPr>
                <w:p>
                  <w:pPr>
                    <w:spacing w:line="276" w:lineRule="auto"/>
                    <w:rPr>
                      <w:rFonts w:ascii="Arial" w:hAnsi="Arial" w:cs="Arial"/>
                      <w:sz w:val="24"/>
                    </w:rPr>
                  </w:pPr>
                  <w:r>
                    <w:rPr>
                      <w:rFonts w:hint="eastAsia" w:ascii="Arial" w:hAnsi="Arial" w:cs="Arial"/>
                      <w:sz w:val="24"/>
                    </w:rPr>
                    <w:t>蔡建鑫</w:t>
                  </w:r>
                </w:p>
              </w:tc>
              <w:tc>
                <w:tcPr>
                  <w:tcW w:w="3476" w:type="pct"/>
                  <w:shd w:val="clear" w:color="auto" w:fill="auto"/>
                  <w:noWrap/>
                  <w:vAlign w:val="center"/>
                </w:tcPr>
                <w:p>
                  <w:pPr>
                    <w:spacing w:line="276" w:lineRule="auto"/>
                    <w:rPr>
                      <w:rFonts w:hint="default" w:ascii="Arial" w:hAnsi="Arial" w:eastAsia="宋体" w:cs="Arial"/>
                      <w:sz w:val="24"/>
                      <w:lang w:val="en-US" w:eastAsia="zh-CN"/>
                    </w:rPr>
                  </w:pPr>
                  <w:r>
                    <w:rPr>
                      <w:rFonts w:ascii="Arial" w:hAnsi="Arial" w:cs="Arial"/>
                      <w:sz w:val="24"/>
                    </w:rPr>
                    <w:t>证券事务代表</w:t>
                  </w:r>
                  <w:r>
                    <w:rPr>
                      <w:rFonts w:hint="eastAsia" w:ascii="Arial" w:hAnsi="Arial" w:cs="Arial"/>
                      <w:sz w:val="24"/>
                      <w:lang w:eastAsia="zh-CN"/>
                    </w:rPr>
                    <w:t>、</w:t>
                  </w:r>
                  <w:r>
                    <w:rPr>
                      <w:rFonts w:hint="eastAsia" w:ascii="Arial" w:hAnsi="Arial" w:cs="Arial"/>
                      <w:sz w:val="24"/>
                      <w:lang w:val="en-US" w:eastAsia="zh-CN"/>
                    </w:rPr>
                    <w:t>董事会管理经理</w:t>
                  </w:r>
                </w:p>
              </w:tc>
            </w:tr>
            <w:tr>
              <w:tblPrEx>
                <w:tblCellMar>
                  <w:top w:w="0" w:type="dxa"/>
                  <w:left w:w="108" w:type="dxa"/>
                  <w:bottom w:w="0" w:type="dxa"/>
                  <w:right w:w="108" w:type="dxa"/>
                </w:tblCellMar>
              </w:tblPrEx>
              <w:trPr>
                <w:trHeight w:val="285" w:hRule="atLeast"/>
              </w:trPr>
              <w:tc>
                <w:tcPr>
                  <w:tcW w:w="1524" w:type="pct"/>
                  <w:shd w:val="clear" w:color="auto" w:fill="auto"/>
                  <w:noWrap/>
                  <w:vAlign w:val="bottom"/>
                </w:tcPr>
                <w:p>
                  <w:pPr>
                    <w:spacing w:line="276" w:lineRule="auto"/>
                    <w:rPr>
                      <w:rFonts w:hint="eastAsia" w:ascii="Arial" w:hAnsi="Arial" w:cs="Arial"/>
                      <w:sz w:val="24"/>
                    </w:rPr>
                  </w:pPr>
                  <w:r>
                    <w:rPr>
                      <w:rFonts w:hint="eastAsia" w:ascii="Arial" w:hAnsi="Arial" w:cs="Arial"/>
                      <w:sz w:val="24"/>
                    </w:rPr>
                    <w:t>赖天明</w:t>
                  </w:r>
                </w:p>
                <w:p>
                  <w:pPr>
                    <w:spacing w:line="276" w:lineRule="auto"/>
                    <w:rPr>
                      <w:rFonts w:hint="eastAsia" w:ascii="Arial" w:hAnsi="Arial" w:eastAsia="宋体" w:cs="Arial"/>
                      <w:sz w:val="24"/>
                      <w:lang w:val="en-US" w:eastAsia="zh-CN"/>
                    </w:rPr>
                  </w:pPr>
                  <w:r>
                    <w:rPr>
                      <w:rFonts w:hint="eastAsia" w:ascii="Arial" w:hAnsi="Arial" w:cs="Arial"/>
                      <w:sz w:val="24"/>
                      <w:lang w:val="en-US" w:eastAsia="zh-CN"/>
                    </w:rPr>
                    <w:t>高  静</w:t>
                  </w:r>
                </w:p>
              </w:tc>
              <w:tc>
                <w:tcPr>
                  <w:tcW w:w="3476" w:type="pct"/>
                  <w:shd w:val="clear" w:color="auto" w:fill="auto"/>
                  <w:noWrap/>
                  <w:vAlign w:val="center"/>
                </w:tcPr>
                <w:p>
                  <w:pPr>
                    <w:spacing w:line="276" w:lineRule="auto"/>
                    <w:rPr>
                      <w:rFonts w:hint="eastAsia" w:ascii="Arial" w:hAnsi="Arial" w:cs="Arial"/>
                      <w:sz w:val="24"/>
                    </w:rPr>
                  </w:pPr>
                  <w:r>
                    <w:rPr>
                      <w:rFonts w:hint="eastAsia" w:ascii="Arial" w:hAnsi="Arial" w:cs="Arial"/>
                      <w:sz w:val="24"/>
                      <w:lang w:val="en-US" w:eastAsia="zh-CN"/>
                    </w:rPr>
                    <w:t>董事会办公室</w:t>
                  </w:r>
                  <w:r>
                    <w:rPr>
                      <w:rFonts w:hint="eastAsia" w:ascii="Arial" w:hAnsi="Arial" w:cs="Arial"/>
                      <w:sz w:val="24"/>
                    </w:rPr>
                    <w:t>信息披露管理</w:t>
                  </w:r>
                </w:p>
                <w:p>
                  <w:pPr>
                    <w:spacing w:line="276" w:lineRule="auto"/>
                    <w:rPr>
                      <w:rFonts w:hint="default" w:ascii="Arial" w:hAnsi="Arial" w:eastAsia="宋体" w:cs="Arial"/>
                      <w:sz w:val="24"/>
                      <w:lang w:val="en-US" w:eastAsia="zh-CN"/>
                    </w:rPr>
                  </w:pPr>
                  <w:r>
                    <w:rPr>
                      <w:rFonts w:hint="eastAsia" w:ascii="Arial" w:hAnsi="Arial" w:cs="Arial"/>
                      <w:sz w:val="24"/>
                      <w:lang w:val="en-US" w:eastAsia="zh-CN"/>
                    </w:rPr>
                    <w:t>董事会办公室投资者关系管理</w:t>
                  </w:r>
                </w:p>
              </w:tc>
            </w:tr>
          </w:tbl>
          <w:p>
            <w:pPr>
              <w:spacing w:line="276" w:lineRule="auto"/>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Arial" w:hAnsi="Arial"/>
                <w:bCs/>
                <w:sz w:val="24"/>
              </w:rPr>
            </w:pPr>
            <w:r>
              <w:rPr>
                <w:rFonts w:hint="eastAsia" w:ascii="Arial" w:hAnsi="Arial"/>
                <w:bCs/>
                <w:kern w:val="0"/>
                <w:sz w:val="24"/>
              </w:rPr>
              <w:t>参与单位名称及人员姓名</w:t>
            </w:r>
          </w:p>
        </w:tc>
        <w:tc>
          <w:tcPr>
            <w:tcW w:w="4354" w:type="pct"/>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Arial" w:hAnsi="Arial" w:cs="Arial"/>
                <w:sz w:val="24"/>
                <w:lang w:val="en-US" w:eastAsia="zh-CN"/>
              </w:rPr>
            </w:pPr>
            <w:r>
              <w:rPr>
                <w:rFonts w:hint="eastAsia" w:ascii="Arial" w:hAnsi="Arial" w:cs="Arial"/>
                <w:sz w:val="24"/>
                <w:lang w:val="en-US" w:eastAsia="zh-CN"/>
              </w:rPr>
              <w:t>中泰证券  冯胜、郑雅梦、汪壑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bCs/>
                <w:sz w:val="24"/>
              </w:rPr>
            </w:pPr>
            <w:r>
              <w:rPr>
                <w:rFonts w:hint="eastAsia" w:ascii="Arial" w:hAnsi="Arial"/>
                <w:bCs/>
                <w:sz w:val="24"/>
              </w:rPr>
              <w:t>投资者关系活动主要内容介绍</w:t>
            </w:r>
          </w:p>
        </w:tc>
        <w:tc>
          <w:tcPr>
            <w:tcW w:w="4354"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b/>
                <w:bCs/>
                <w:sz w:val="24"/>
                <w:lang w:val="en-US" w:eastAsia="zh-CN"/>
              </w:rPr>
            </w:pPr>
            <w:r>
              <w:rPr>
                <w:rFonts w:hint="eastAsia" w:ascii="宋体" w:hAnsi="宋体" w:cs="宋体"/>
                <w:b/>
                <w:bCs/>
                <w:sz w:val="24"/>
              </w:rPr>
              <w:t>Q1：</w:t>
            </w:r>
            <w:r>
              <w:rPr>
                <w:rFonts w:hint="eastAsia" w:ascii="宋体" w:hAnsi="宋体" w:cs="宋体"/>
                <w:b/>
                <w:bCs/>
                <w:sz w:val="24"/>
                <w:lang w:val="en-US" w:eastAsia="zh-CN"/>
              </w:rPr>
              <w:t>中国海油集团旗下中海油服、海油工程和海油发展在集团内部的定位和分工是怎么样的？</w:t>
            </w:r>
          </w:p>
          <w:p>
            <w:pPr>
              <w:spacing w:line="360" w:lineRule="auto"/>
              <w:rPr>
                <w:rFonts w:hint="eastAsia" w:ascii="宋体" w:hAnsi="宋体" w:cs="宋体"/>
                <w:b w:val="0"/>
                <w:bCs w:val="0"/>
                <w:sz w:val="24"/>
                <w:lang w:val="en-US" w:eastAsia="zh-CN"/>
              </w:rPr>
            </w:pPr>
            <w:r>
              <w:rPr>
                <w:rFonts w:hint="eastAsia" w:ascii="宋体" w:hAnsi="宋体" w:cs="宋体"/>
                <w:b w:val="0"/>
                <w:bCs w:val="0"/>
                <w:sz w:val="24"/>
                <w:lang w:val="en-US" w:eastAsia="zh-CN"/>
              </w:rPr>
              <w:t>A1：海洋油气开采的流程包括勘探、开发与生产三大主要环节。</w:t>
            </w:r>
          </w:p>
          <w:p>
            <w:pPr>
              <w:spacing w:line="360" w:lineRule="auto"/>
              <w:ind w:firstLine="480" w:firstLineChars="200"/>
              <w:rPr>
                <w:rFonts w:hint="eastAsia" w:ascii="宋体" w:hAnsi="宋体" w:cs="宋体"/>
                <w:b w:val="0"/>
                <w:bCs w:val="0"/>
                <w:sz w:val="24"/>
                <w:lang w:val="en-US" w:eastAsia="zh-CN"/>
              </w:rPr>
            </w:pPr>
            <w:r>
              <w:rPr>
                <w:rFonts w:hint="eastAsia" w:ascii="宋体" w:hAnsi="宋体" w:cs="宋体"/>
                <w:b w:val="0"/>
                <w:bCs w:val="0"/>
                <w:sz w:val="24"/>
                <w:lang w:val="en-US" w:eastAsia="zh-CN"/>
              </w:rPr>
              <w:t>中国海洋石油有限公司（简称中海油）作为油气田资源方，拥有海洋油气资源的勘探和开发权，以及开采出的石油天然气产品，主要负责管理整个开采流程，投入资金并承担风险，实际的各项作业工作聘请</w:t>
            </w:r>
            <w:r>
              <w:rPr>
                <w:rFonts w:hint="eastAsia" w:ascii="宋体" w:hAnsi="宋体" w:cs="宋体"/>
                <w:b w:val="0"/>
                <w:bCs w:val="0"/>
                <w:sz w:val="24"/>
                <w:lang w:val="en-US" w:eastAsia="zh-CN"/>
              </w:rPr>
              <w:t>包括中海油服、海油工程和海油发展在内的</w:t>
            </w:r>
            <w:r>
              <w:rPr>
                <w:rFonts w:hint="eastAsia" w:ascii="宋体" w:hAnsi="宋体" w:cs="宋体"/>
                <w:b w:val="0"/>
                <w:bCs w:val="0"/>
                <w:sz w:val="24"/>
                <w:lang w:val="en-US" w:eastAsia="zh-CN"/>
              </w:rPr>
              <w:t>各类专业技术服务商协助完成。简单的说，中海油服的主营业务主要集中在勘探环节，主要提供物探勘察和钻井服务等；海油工程的主营业务主要集中在开发环节，主要提供海洋油气开发工程设计、陆地制造和海上安装、以及液化天然气工程等大型工程总承包业务等。海油发展的主营业务主要集中在生产环节，主要围绕提高油田采收率、保障设备设施安全稳定运行、提供生产支持等目的提供专业技术服务和物资供应保障，致力于成为以提高油气田采收率、装备制造与运维、FPSO一体化服务等为主导产业的有中国特色的国际一流能源技术服务公司。同时，公司也是中国海油新业务发展的平台，在能源转型大势下，加快推动低碳环保和数字化产业发展，重点加速培育海上风电EPCI总承包服务能力和运维一体化服务能力，致力于成为海洋石油行业发展绿色产业和数字化、智能化建设的生力军和主力军。</w:t>
            </w:r>
          </w:p>
          <w:p>
            <w:pPr>
              <w:spacing w:line="360" w:lineRule="auto"/>
              <w:ind w:firstLine="480" w:firstLineChars="200"/>
              <w:rPr>
                <w:rFonts w:hint="default" w:ascii="宋体" w:hAnsi="宋体" w:cs="宋体"/>
                <w:b w:val="0"/>
                <w:bCs w:val="0"/>
                <w:sz w:val="24"/>
                <w:lang w:val="en-US" w:eastAsia="zh-CN"/>
              </w:rPr>
            </w:pPr>
          </w:p>
          <w:p>
            <w:pPr>
              <w:spacing w:line="360" w:lineRule="auto"/>
              <w:rPr>
                <w:rFonts w:hint="eastAsia" w:ascii="Arial" w:hAnsi="Arial" w:cs="Arial"/>
                <w:b/>
                <w:bCs/>
                <w:sz w:val="24"/>
                <w:lang w:val="en-US" w:eastAsia="zh-CN"/>
              </w:rPr>
            </w:pPr>
            <w:r>
              <w:rPr>
                <w:rFonts w:hint="eastAsia" w:ascii="Arial" w:hAnsi="Arial" w:cs="Arial"/>
                <w:b/>
                <w:bCs/>
                <w:sz w:val="24"/>
                <w:lang w:val="en-US" w:eastAsia="zh-CN"/>
              </w:rPr>
              <w:t>Q2：公司如何看待“双碳”背景下，国内油气公司增储上产“七年行动计划”的持续性？</w:t>
            </w:r>
          </w:p>
          <w:p>
            <w:pPr>
              <w:spacing w:line="360" w:lineRule="auto"/>
              <w:rPr>
                <w:rFonts w:hint="eastAsia" w:ascii="Arial" w:hAnsi="Arial" w:cs="Arial"/>
                <w:sz w:val="24"/>
                <w:lang w:val="en-US" w:eastAsia="zh-CN"/>
              </w:rPr>
            </w:pPr>
            <w:r>
              <w:rPr>
                <w:rFonts w:hint="eastAsia" w:ascii="Arial" w:hAnsi="Arial" w:cs="Arial"/>
                <w:sz w:val="24"/>
                <w:lang w:val="en-US" w:eastAsia="zh-CN"/>
              </w:rPr>
              <w:t>A：从能源消费结构看，能源消费量继续保持上升，油气仍然是全球主力能源。据公开资料显示，预计到2050年，全球能源消费量持续增长，其中石油消费可能在2035年前后达到峰值，天然气将在能源转型中扮演重要角色，2040年以前化石能源主体能源的地位不会改变。传统油气行业及其服务产业仍然大有可为。</w:t>
            </w:r>
          </w:p>
          <w:p>
            <w:pPr>
              <w:spacing w:line="360" w:lineRule="auto"/>
              <w:ind w:firstLine="480" w:firstLineChars="200"/>
              <w:rPr>
                <w:rFonts w:hint="default" w:ascii="Arial" w:hAnsi="Arial" w:cs="Arial"/>
                <w:sz w:val="24"/>
                <w:lang w:val="en-US" w:eastAsia="zh-CN"/>
              </w:rPr>
            </w:pPr>
            <w:r>
              <w:rPr>
                <w:rFonts w:hint="eastAsia" w:ascii="Arial" w:hAnsi="Arial" w:cs="Arial"/>
                <w:sz w:val="24"/>
                <w:lang w:val="en-US" w:eastAsia="zh-CN"/>
              </w:rPr>
              <w:t>从国内政策导向看，国家政策对油气行业的战略要求不断升级。2021年4月19日，国家能源局发布《2021年能源工作指导意见》。一是推动油气增储上产仍是重要任务；二是加大力度推动油气技术攻关和数字化智能化升级；三是加快清洁低碳转型发展。2021年7月15日，国家能源局召开2021年大力提升油气勘探开发力度工作推进会，要求持续提升油气勘探开发和投资力度，全力推动原油稳产增产，天然气持续快速上产。</w:t>
            </w:r>
            <w:bookmarkStart w:id="0" w:name="_GoBack"/>
            <w:bookmarkEnd w:id="0"/>
            <w:r>
              <w:rPr>
                <w:rFonts w:hint="eastAsia" w:ascii="Arial" w:hAnsi="Arial" w:cs="Arial"/>
                <w:sz w:val="24"/>
                <w:lang w:val="en-US" w:eastAsia="zh-CN"/>
              </w:rPr>
              <w:t>根据公开消息，2021年中海油的资本开支计划为900-1,000亿元人民币，较2020年同比增幅在13-26%，国内部分是648-720亿元，同比增幅在16-29%。国内增储上产“七年行动计划”持续推进，国内油气专业服务行业仍将保持景气度。海油发展目前业务以国内市场为主，未来几年的工作量是有一定的保障。</w:t>
            </w:r>
          </w:p>
          <w:p>
            <w:pPr>
              <w:spacing w:line="360" w:lineRule="auto"/>
              <w:rPr>
                <w:rFonts w:hint="eastAsia" w:ascii="Arial" w:hAnsi="Arial" w:cs="Arial"/>
                <w:sz w:val="24"/>
                <w:lang w:val="en-US" w:eastAsia="zh-CN"/>
              </w:rPr>
            </w:pPr>
          </w:p>
          <w:p>
            <w:pPr>
              <w:spacing w:line="360" w:lineRule="auto"/>
              <w:rPr>
                <w:rFonts w:hint="eastAsia" w:ascii="Arial" w:hAnsi="Arial" w:cs="Arial"/>
                <w:sz w:val="24"/>
                <w:lang w:val="en-US" w:eastAsia="zh-CN"/>
              </w:rPr>
            </w:pPr>
            <w:r>
              <w:rPr>
                <w:rFonts w:hint="eastAsia" w:ascii="Arial" w:hAnsi="Arial" w:cs="Arial"/>
                <w:b/>
                <w:bCs/>
                <w:sz w:val="24"/>
                <w:lang w:val="en-US" w:eastAsia="zh-CN"/>
              </w:rPr>
              <w:t>Q3：中海油桶油主要成本持续控制在30美元以下，在油价持续走高并维持目前水平波动，对公司的服务价格有什么样的影响？</w:t>
            </w:r>
          </w:p>
          <w:p>
            <w:pPr>
              <w:spacing w:line="360" w:lineRule="auto"/>
              <w:rPr>
                <w:rFonts w:hint="eastAsia" w:ascii="Arial" w:hAnsi="Arial" w:cs="Arial"/>
                <w:sz w:val="24"/>
                <w:lang w:val="en-US" w:eastAsia="zh-CN"/>
              </w:rPr>
            </w:pPr>
            <w:r>
              <w:rPr>
                <w:rFonts w:hint="eastAsia" w:ascii="Arial" w:hAnsi="Arial" w:cs="Arial"/>
                <w:sz w:val="24"/>
                <w:lang w:val="en-US" w:eastAsia="zh-CN"/>
              </w:rPr>
              <w:t>A1：公司业务增长主要是依靠工作量增长，抓住油公司增储上产和国民经济逐步恢复的有利时机，商务模式创新取得积极成效，推动新技术、新工艺、新产品的市场应用，相关工作量保持较大增长。另一方面，公司持续深入开展降本提质增效行动取得显著成效，从“增收、降本、挖潜、创新、优化”全方位、系统性提质增效，2021年上半年提质降本增效目标完成率超63%，成本费用利润率同比提高0.17个百分点。</w:t>
            </w:r>
          </w:p>
          <w:p>
            <w:pPr>
              <w:spacing w:line="360" w:lineRule="auto"/>
              <w:ind w:firstLine="480" w:firstLineChars="200"/>
              <w:rPr>
                <w:rFonts w:hint="default" w:ascii="Arial" w:hAnsi="Arial" w:cs="Arial"/>
                <w:sz w:val="24"/>
                <w:lang w:val="en-US" w:eastAsia="zh-CN"/>
              </w:rPr>
            </w:pPr>
            <w:r>
              <w:rPr>
                <w:rFonts w:hint="default" w:ascii="Arial" w:hAnsi="Arial" w:cs="Arial"/>
                <w:sz w:val="24"/>
                <w:lang w:val="en-US" w:eastAsia="zh-CN"/>
              </w:rPr>
              <w:t>国际油价上涨</w:t>
            </w:r>
            <w:r>
              <w:rPr>
                <w:rFonts w:hint="eastAsia" w:ascii="Arial" w:hAnsi="Arial" w:cs="Arial"/>
                <w:sz w:val="24"/>
                <w:lang w:val="en-US" w:eastAsia="zh-CN"/>
              </w:rPr>
              <w:t>并保持中高位</w:t>
            </w:r>
            <w:r>
              <w:rPr>
                <w:rFonts w:hint="default" w:ascii="Arial" w:hAnsi="Arial" w:cs="Arial"/>
                <w:sz w:val="24"/>
                <w:lang w:val="en-US" w:eastAsia="zh-CN"/>
              </w:rPr>
              <w:t>，</w:t>
            </w:r>
            <w:r>
              <w:rPr>
                <w:rFonts w:hint="eastAsia" w:ascii="Arial" w:hAnsi="Arial" w:cs="Arial"/>
                <w:sz w:val="24"/>
                <w:lang w:val="en-US" w:eastAsia="zh-CN"/>
              </w:rPr>
              <w:t>有利于国际油气行业进一步复苏，</w:t>
            </w:r>
            <w:r>
              <w:rPr>
                <w:rFonts w:hint="default" w:ascii="Arial" w:hAnsi="Arial" w:cs="Arial"/>
                <w:sz w:val="24"/>
                <w:lang w:val="en-US" w:eastAsia="zh-CN"/>
              </w:rPr>
              <w:t>有利于油气公司进一步加大油气勘探开发力度，提高油气产量，公司相应的工作量将会提升，</w:t>
            </w:r>
            <w:r>
              <w:rPr>
                <w:rFonts w:hint="eastAsia" w:ascii="Arial" w:hAnsi="Arial" w:cs="Arial"/>
                <w:sz w:val="24"/>
                <w:lang w:val="en-US" w:eastAsia="zh-CN"/>
              </w:rPr>
              <w:t>在一定程度上也有利于公司服务价格的调整，</w:t>
            </w:r>
            <w:r>
              <w:rPr>
                <w:rFonts w:hint="default" w:ascii="Arial" w:hAnsi="Arial" w:cs="Arial"/>
                <w:sz w:val="24"/>
                <w:lang w:val="en-US" w:eastAsia="zh-CN"/>
              </w:rPr>
              <w:t>为公司业务发展提供更大的空间。</w:t>
            </w:r>
          </w:p>
          <w:p>
            <w:pPr>
              <w:spacing w:line="360" w:lineRule="auto"/>
              <w:rPr>
                <w:rFonts w:hint="eastAsia" w:ascii="Arial" w:hAnsi="Arial" w:cs="Arial"/>
                <w:sz w:val="24"/>
                <w:lang w:val="en-US" w:eastAsia="zh-CN"/>
              </w:rPr>
            </w:pPr>
          </w:p>
          <w:p>
            <w:pPr>
              <w:spacing w:line="360" w:lineRule="auto"/>
              <w:rPr>
                <w:rFonts w:hint="eastAsia" w:ascii="Arial" w:hAnsi="Arial" w:cs="Arial"/>
                <w:b/>
                <w:bCs/>
                <w:sz w:val="24"/>
                <w:lang w:val="en-US" w:eastAsia="zh-CN"/>
              </w:rPr>
            </w:pPr>
            <w:r>
              <w:rPr>
                <w:rFonts w:hint="eastAsia" w:ascii="Arial" w:hAnsi="Arial" w:cs="Arial"/>
                <w:b/>
                <w:bCs/>
                <w:sz w:val="24"/>
                <w:lang w:val="en-US" w:eastAsia="zh-CN"/>
              </w:rPr>
              <w:t>Q4：公司2021年上半年毛利率有所下降，主要是什么原因？</w:t>
            </w:r>
          </w:p>
          <w:p>
            <w:pPr>
              <w:spacing w:line="360" w:lineRule="auto"/>
              <w:rPr>
                <w:rFonts w:hint="default" w:ascii="Arial" w:hAnsi="Arial" w:cs="Arial"/>
                <w:sz w:val="24"/>
                <w:lang w:val="en-US" w:eastAsia="zh-CN"/>
              </w:rPr>
            </w:pPr>
            <w:r>
              <w:rPr>
                <w:rFonts w:hint="eastAsia" w:ascii="Arial" w:hAnsi="Arial" w:cs="Arial"/>
                <w:sz w:val="24"/>
                <w:lang w:val="en-US" w:eastAsia="zh-CN"/>
              </w:rPr>
              <w:t>A4：近几年，公司毛利率总体相对平稳。2021年上半年毛利率微降主要是由于凝析油等贸易业务购销单价收窄，毛利空间压缩，再加上销售价格上涨幅度较大，贸易业务毛利率有所下降，拉低了整体毛利率。</w:t>
            </w:r>
          </w:p>
          <w:p>
            <w:pPr>
              <w:spacing w:line="360" w:lineRule="auto"/>
              <w:rPr>
                <w:rFonts w:hint="default" w:ascii="Arial" w:hAnsi="Arial" w:cs="Arial"/>
                <w:sz w:val="24"/>
                <w:lang w:val="en-US" w:eastAsia="zh-CN"/>
              </w:rPr>
            </w:pPr>
          </w:p>
          <w:p>
            <w:pPr>
              <w:spacing w:line="360" w:lineRule="auto"/>
              <w:rPr>
                <w:rFonts w:hint="eastAsia" w:ascii="Arial" w:hAnsi="Arial" w:cs="Arial"/>
                <w:b/>
                <w:bCs/>
                <w:sz w:val="24"/>
                <w:lang w:val="en-US" w:eastAsia="zh-CN"/>
              </w:rPr>
            </w:pPr>
            <w:r>
              <w:rPr>
                <w:rFonts w:hint="eastAsia" w:ascii="Arial" w:hAnsi="Arial" w:cs="Arial"/>
                <w:b/>
                <w:bCs/>
                <w:sz w:val="24"/>
                <w:lang w:val="en-US" w:eastAsia="zh-CN"/>
              </w:rPr>
              <w:t>Q5：公司2021年上半年经营性现金流同比出现大幅下降，请说明一下情况？</w:t>
            </w:r>
          </w:p>
          <w:p>
            <w:pPr>
              <w:spacing w:line="360" w:lineRule="auto"/>
              <w:rPr>
                <w:rFonts w:hint="default" w:ascii="Arial" w:hAnsi="Arial" w:cs="Arial"/>
                <w:sz w:val="24"/>
                <w:lang w:val="en-US" w:eastAsia="zh-CN"/>
              </w:rPr>
            </w:pPr>
            <w:r>
              <w:rPr>
                <w:rFonts w:hint="eastAsia" w:ascii="Arial" w:hAnsi="Arial" w:cs="Arial"/>
                <w:sz w:val="24"/>
                <w:lang w:val="en-US" w:eastAsia="zh-CN"/>
              </w:rPr>
              <w:t>A5：公司上半年经营性现金流同比大幅下降77.77%，主要是公司在2020年第四季度加大应收账款催收力度，年末集中收款影响，2020年度经营性现金流同比大幅增加41.33%，剔除跨期影响，公司经营性现金流平稳正常。公司2021年上半年末资产负债率35.05%，持续处于低位，较上年度末38.07%下降3.02个百分点，自由现金流相对充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bCs/>
                <w:sz w:val="24"/>
              </w:rPr>
            </w:pPr>
            <w:r>
              <w:rPr>
                <w:rFonts w:hint="eastAsia" w:ascii="Arial" w:hAnsi="Arial"/>
                <w:bCs/>
                <w:sz w:val="24"/>
              </w:rPr>
              <w:t>附件清单（如有）</w:t>
            </w:r>
          </w:p>
        </w:tc>
        <w:tc>
          <w:tcPr>
            <w:tcW w:w="4354"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bCs/>
                <w:sz w:val="24"/>
              </w:rPr>
            </w:pPr>
          </w:p>
          <w:p>
            <w:pPr>
              <w:spacing w:line="360" w:lineRule="auto"/>
              <w:rPr>
                <w:rFonts w:ascii="Arial" w:hAnsi="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6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bCs/>
                <w:sz w:val="24"/>
              </w:rPr>
            </w:pPr>
            <w:r>
              <w:rPr>
                <w:rFonts w:hint="eastAsia" w:ascii="Arial" w:hAnsi="Arial"/>
                <w:bCs/>
                <w:sz w:val="24"/>
              </w:rPr>
              <w:t>备注</w:t>
            </w:r>
          </w:p>
        </w:tc>
        <w:tc>
          <w:tcPr>
            <w:tcW w:w="4354"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bCs/>
                <w:sz w:val="24"/>
              </w:rPr>
            </w:pPr>
          </w:p>
          <w:p>
            <w:pPr>
              <w:spacing w:line="360" w:lineRule="auto"/>
              <w:rPr>
                <w:rFonts w:ascii="Arial" w:hAnsi="Arial"/>
                <w:bCs/>
                <w:sz w:val="24"/>
              </w:rPr>
            </w:pPr>
          </w:p>
        </w:tc>
      </w:tr>
    </w:tbl>
    <w:p>
      <w:pPr>
        <w:spacing w:line="360" w:lineRule="auto"/>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AF"/>
    <w:rsid w:val="000064E8"/>
    <w:rsid w:val="00014730"/>
    <w:rsid w:val="0001671F"/>
    <w:rsid w:val="000249CF"/>
    <w:rsid w:val="000322B8"/>
    <w:rsid w:val="000514E2"/>
    <w:rsid w:val="00064957"/>
    <w:rsid w:val="0007152A"/>
    <w:rsid w:val="00092E77"/>
    <w:rsid w:val="000959C1"/>
    <w:rsid w:val="00095F49"/>
    <w:rsid w:val="000B2D26"/>
    <w:rsid w:val="000B5A0A"/>
    <w:rsid w:val="000C39CE"/>
    <w:rsid w:val="000C4415"/>
    <w:rsid w:val="000E3B6B"/>
    <w:rsid w:val="000F0D13"/>
    <w:rsid w:val="000F3391"/>
    <w:rsid w:val="00102C7B"/>
    <w:rsid w:val="00131336"/>
    <w:rsid w:val="00133145"/>
    <w:rsid w:val="00133934"/>
    <w:rsid w:val="00145654"/>
    <w:rsid w:val="00145874"/>
    <w:rsid w:val="0015176B"/>
    <w:rsid w:val="001640C6"/>
    <w:rsid w:val="00166E1D"/>
    <w:rsid w:val="00172322"/>
    <w:rsid w:val="00196E68"/>
    <w:rsid w:val="001B5980"/>
    <w:rsid w:val="001C3EE5"/>
    <w:rsid w:val="001C5E58"/>
    <w:rsid w:val="001C7FAB"/>
    <w:rsid w:val="001E701A"/>
    <w:rsid w:val="001F2BC6"/>
    <w:rsid w:val="001F53CD"/>
    <w:rsid w:val="00201181"/>
    <w:rsid w:val="00205C9B"/>
    <w:rsid w:val="002138F3"/>
    <w:rsid w:val="00217AD1"/>
    <w:rsid w:val="002234F1"/>
    <w:rsid w:val="00225F72"/>
    <w:rsid w:val="00231B7C"/>
    <w:rsid w:val="00232F5E"/>
    <w:rsid w:val="00251396"/>
    <w:rsid w:val="00262377"/>
    <w:rsid w:val="002917B0"/>
    <w:rsid w:val="00295886"/>
    <w:rsid w:val="0029714B"/>
    <w:rsid w:val="002A2354"/>
    <w:rsid w:val="002A7C64"/>
    <w:rsid w:val="002B3178"/>
    <w:rsid w:val="002B4C51"/>
    <w:rsid w:val="002C37B7"/>
    <w:rsid w:val="002D2D15"/>
    <w:rsid w:val="002D7106"/>
    <w:rsid w:val="002D71D3"/>
    <w:rsid w:val="002F08B5"/>
    <w:rsid w:val="002F105B"/>
    <w:rsid w:val="002F5019"/>
    <w:rsid w:val="002F57FB"/>
    <w:rsid w:val="003045BD"/>
    <w:rsid w:val="00337B48"/>
    <w:rsid w:val="00375169"/>
    <w:rsid w:val="00381350"/>
    <w:rsid w:val="0038279B"/>
    <w:rsid w:val="0038654F"/>
    <w:rsid w:val="00392023"/>
    <w:rsid w:val="00392EE5"/>
    <w:rsid w:val="003932E8"/>
    <w:rsid w:val="00396048"/>
    <w:rsid w:val="003A38F1"/>
    <w:rsid w:val="003B0A80"/>
    <w:rsid w:val="003C2D07"/>
    <w:rsid w:val="003C3CB2"/>
    <w:rsid w:val="003D4279"/>
    <w:rsid w:val="003D4E0A"/>
    <w:rsid w:val="003E0FCB"/>
    <w:rsid w:val="003E50AE"/>
    <w:rsid w:val="003F0C6C"/>
    <w:rsid w:val="0040026C"/>
    <w:rsid w:val="004115C5"/>
    <w:rsid w:val="00420C25"/>
    <w:rsid w:val="00425AD3"/>
    <w:rsid w:val="004261A5"/>
    <w:rsid w:val="00456B57"/>
    <w:rsid w:val="00461F34"/>
    <w:rsid w:val="00483104"/>
    <w:rsid w:val="0049413B"/>
    <w:rsid w:val="004A2313"/>
    <w:rsid w:val="004A48AF"/>
    <w:rsid w:val="004A5953"/>
    <w:rsid w:val="004A5CD1"/>
    <w:rsid w:val="004B64F0"/>
    <w:rsid w:val="004B6CCB"/>
    <w:rsid w:val="004C68C2"/>
    <w:rsid w:val="004E1560"/>
    <w:rsid w:val="004F6986"/>
    <w:rsid w:val="005028F2"/>
    <w:rsid w:val="00502AC1"/>
    <w:rsid w:val="00505C7F"/>
    <w:rsid w:val="00513939"/>
    <w:rsid w:val="00516029"/>
    <w:rsid w:val="0051704B"/>
    <w:rsid w:val="00520481"/>
    <w:rsid w:val="005306D2"/>
    <w:rsid w:val="005329E3"/>
    <w:rsid w:val="0053346B"/>
    <w:rsid w:val="00540D89"/>
    <w:rsid w:val="005415B8"/>
    <w:rsid w:val="005569B7"/>
    <w:rsid w:val="00576C16"/>
    <w:rsid w:val="005A675E"/>
    <w:rsid w:val="005B2535"/>
    <w:rsid w:val="005B2C08"/>
    <w:rsid w:val="005C0791"/>
    <w:rsid w:val="005F7998"/>
    <w:rsid w:val="006061B0"/>
    <w:rsid w:val="00613CB3"/>
    <w:rsid w:val="006339AA"/>
    <w:rsid w:val="00640637"/>
    <w:rsid w:val="006408CD"/>
    <w:rsid w:val="00642E5E"/>
    <w:rsid w:val="006468FD"/>
    <w:rsid w:val="00647EF4"/>
    <w:rsid w:val="00667668"/>
    <w:rsid w:val="00670515"/>
    <w:rsid w:val="006A672C"/>
    <w:rsid w:val="006B23BF"/>
    <w:rsid w:val="006B31D9"/>
    <w:rsid w:val="006C55E7"/>
    <w:rsid w:val="006D0D9C"/>
    <w:rsid w:val="006D497F"/>
    <w:rsid w:val="006E211A"/>
    <w:rsid w:val="006E3954"/>
    <w:rsid w:val="00700F38"/>
    <w:rsid w:val="007207CB"/>
    <w:rsid w:val="0074245B"/>
    <w:rsid w:val="007500D3"/>
    <w:rsid w:val="00767BBE"/>
    <w:rsid w:val="007740D1"/>
    <w:rsid w:val="00781232"/>
    <w:rsid w:val="0078494D"/>
    <w:rsid w:val="00791A85"/>
    <w:rsid w:val="007A4BB1"/>
    <w:rsid w:val="007B4526"/>
    <w:rsid w:val="007B4B1C"/>
    <w:rsid w:val="007D2AA9"/>
    <w:rsid w:val="007D2DAD"/>
    <w:rsid w:val="007D6C5F"/>
    <w:rsid w:val="007F3F8D"/>
    <w:rsid w:val="007F52F9"/>
    <w:rsid w:val="00814B49"/>
    <w:rsid w:val="00820A07"/>
    <w:rsid w:val="0084183B"/>
    <w:rsid w:val="008418D3"/>
    <w:rsid w:val="00841B87"/>
    <w:rsid w:val="00842582"/>
    <w:rsid w:val="00852F42"/>
    <w:rsid w:val="00857736"/>
    <w:rsid w:val="00870841"/>
    <w:rsid w:val="00870E6D"/>
    <w:rsid w:val="00894C66"/>
    <w:rsid w:val="008A52A1"/>
    <w:rsid w:val="008D6D3B"/>
    <w:rsid w:val="008E16D4"/>
    <w:rsid w:val="008F33BB"/>
    <w:rsid w:val="0090720B"/>
    <w:rsid w:val="00915626"/>
    <w:rsid w:val="0092052F"/>
    <w:rsid w:val="00931DF2"/>
    <w:rsid w:val="0094094D"/>
    <w:rsid w:val="00951C25"/>
    <w:rsid w:val="00952E2F"/>
    <w:rsid w:val="00953621"/>
    <w:rsid w:val="00955BD4"/>
    <w:rsid w:val="009734F6"/>
    <w:rsid w:val="0097646C"/>
    <w:rsid w:val="00982303"/>
    <w:rsid w:val="009A0FDB"/>
    <w:rsid w:val="009A667A"/>
    <w:rsid w:val="009A6897"/>
    <w:rsid w:val="009A7E7D"/>
    <w:rsid w:val="009B0E27"/>
    <w:rsid w:val="009D0879"/>
    <w:rsid w:val="009D50D4"/>
    <w:rsid w:val="009F1F15"/>
    <w:rsid w:val="009F2007"/>
    <w:rsid w:val="009F4A15"/>
    <w:rsid w:val="00A016D7"/>
    <w:rsid w:val="00A06781"/>
    <w:rsid w:val="00A2008F"/>
    <w:rsid w:val="00A2669E"/>
    <w:rsid w:val="00A27FDB"/>
    <w:rsid w:val="00A32E27"/>
    <w:rsid w:val="00A46331"/>
    <w:rsid w:val="00A54A1D"/>
    <w:rsid w:val="00A56E13"/>
    <w:rsid w:val="00A64E11"/>
    <w:rsid w:val="00A7677A"/>
    <w:rsid w:val="00A80C96"/>
    <w:rsid w:val="00A9782D"/>
    <w:rsid w:val="00AA30E5"/>
    <w:rsid w:val="00AA751C"/>
    <w:rsid w:val="00AB1D47"/>
    <w:rsid w:val="00AE00F9"/>
    <w:rsid w:val="00AE6AAD"/>
    <w:rsid w:val="00AF0540"/>
    <w:rsid w:val="00B146C4"/>
    <w:rsid w:val="00B266A9"/>
    <w:rsid w:val="00B32FB4"/>
    <w:rsid w:val="00B34808"/>
    <w:rsid w:val="00B57DE2"/>
    <w:rsid w:val="00B61024"/>
    <w:rsid w:val="00B62DBF"/>
    <w:rsid w:val="00B63DDA"/>
    <w:rsid w:val="00B64A83"/>
    <w:rsid w:val="00B94426"/>
    <w:rsid w:val="00BA0A60"/>
    <w:rsid w:val="00BA29F6"/>
    <w:rsid w:val="00BB6048"/>
    <w:rsid w:val="00BC06D0"/>
    <w:rsid w:val="00BD605B"/>
    <w:rsid w:val="00C2418C"/>
    <w:rsid w:val="00C31F14"/>
    <w:rsid w:val="00C42181"/>
    <w:rsid w:val="00C622EA"/>
    <w:rsid w:val="00C7176C"/>
    <w:rsid w:val="00C818BD"/>
    <w:rsid w:val="00C81F5B"/>
    <w:rsid w:val="00CA2C89"/>
    <w:rsid w:val="00CA3859"/>
    <w:rsid w:val="00CD0EC1"/>
    <w:rsid w:val="00CE53D2"/>
    <w:rsid w:val="00D02FF1"/>
    <w:rsid w:val="00D07FB4"/>
    <w:rsid w:val="00D12A2E"/>
    <w:rsid w:val="00D140C0"/>
    <w:rsid w:val="00D459BA"/>
    <w:rsid w:val="00D6600B"/>
    <w:rsid w:val="00D67300"/>
    <w:rsid w:val="00D67AA4"/>
    <w:rsid w:val="00D72A6F"/>
    <w:rsid w:val="00D75EFF"/>
    <w:rsid w:val="00D762C1"/>
    <w:rsid w:val="00D87F10"/>
    <w:rsid w:val="00D915CA"/>
    <w:rsid w:val="00D91F02"/>
    <w:rsid w:val="00D9302B"/>
    <w:rsid w:val="00DA2171"/>
    <w:rsid w:val="00DA3392"/>
    <w:rsid w:val="00DA34B0"/>
    <w:rsid w:val="00DA6434"/>
    <w:rsid w:val="00DB0F03"/>
    <w:rsid w:val="00DB3D89"/>
    <w:rsid w:val="00DC1EC5"/>
    <w:rsid w:val="00DC26ED"/>
    <w:rsid w:val="00DD156D"/>
    <w:rsid w:val="00DE5486"/>
    <w:rsid w:val="00DF4270"/>
    <w:rsid w:val="00E1402E"/>
    <w:rsid w:val="00E2445B"/>
    <w:rsid w:val="00E26F36"/>
    <w:rsid w:val="00E27AE2"/>
    <w:rsid w:val="00E54867"/>
    <w:rsid w:val="00E65FD5"/>
    <w:rsid w:val="00E878A5"/>
    <w:rsid w:val="00E947C4"/>
    <w:rsid w:val="00EB501A"/>
    <w:rsid w:val="00EC087B"/>
    <w:rsid w:val="00EC140C"/>
    <w:rsid w:val="00EC4B5E"/>
    <w:rsid w:val="00ED2FEA"/>
    <w:rsid w:val="00ED5B82"/>
    <w:rsid w:val="00EF595C"/>
    <w:rsid w:val="00EF63B5"/>
    <w:rsid w:val="00F065EA"/>
    <w:rsid w:val="00F12982"/>
    <w:rsid w:val="00F46311"/>
    <w:rsid w:val="00F54829"/>
    <w:rsid w:val="00F5728D"/>
    <w:rsid w:val="00F76932"/>
    <w:rsid w:val="00F804AA"/>
    <w:rsid w:val="00F8256E"/>
    <w:rsid w:val="00F84A96"/>
    <w:rsid w:val="00F91EC5"/>
    <w:rsid w:val="00F930C8"/>
    <w:rsid w:val="00F9390C"/>
    <w:rsid w:val="00F959DE"/>
    <w:rsid w:val="00FB2757"/>
    <w:rsid w:val="00FB2E13"/>
    <w:rsid w:val="00FB36AF"/>
    <w:rsid w:val="00FD7CDB"/>
    <w:rsid w:val="00FE4171"/>
    <w:rsid w:val="01FD5166"/>
    <w:rsid w:val="06243820"/>
    <w:rsid w:val="062E6543"/>
    <w:rsid w:val="0D2A492E"/>
    <w:rsid w:val="135B6C13"/>
    <w:rsid w:val="1610535E"/>
    <w:rsid w:val="171553D4"/>
    <w:rsid w:val="1DB34C69"/>
    <w:rsid w:val="1DB44030"/>
    <w:rsid w:val="1E611B10"/>
    <w:rsid w:val="1EFE282B"/>
    <w:rsid w:val="20867E69"/>
    <w:rsid w:val="22D03808"/>
    <w:rsid w:val="23027656"/>
    <w:rsid w:val="25641B18"/>
    <w:rsid w:val="2DC116AC"/>
    <w:rsid w:val="30E8054D"/>
    <w:rsid w:val="35404FBF"/>
    <w:rsid w:val="3C1744C3"/>
    <w:rsid w:val="3C7C0A2B"/>
    <w:rsid w:val="487B41EA"/>
    <w:rsid w:val="54943643"/>
    <w:rsid w:val="59B56067"/>
    <w:rsid w:val="63C7771E"/>
    <w:rsid w:val="710427D1"/>
    <w:rsid w:val="72DE66D2"/>
    <w:rsid w:val="73025EB3"/>
    <w:rsid w:val="737B5176"/>
    <w:rsid w:val="76901005"/>
    <w:rsid w:val="7755027A"/>
    <w:rsid w:val="78737555"/>
    <w:rsid w:val="79D6450E"/>
    <w:rsid w:val="7B271462"/>
    <w:rsid w:val="7B480C20"/>
    <w:rsid w:val="7D065664"/>
    <w:rsid w:val="7ECA7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semiHidden/>
    <w:unhideWhenUsed/>
    <w:uiPriority w:val="99"/>
    <w:pPr>
      <w:jc w:val="left"/>
    </w:pPr>
  </w:style>
  <w:style w:type="paragraph" w:styleId="4">
    <w:name w:val="Balloon Text"/>
    <w:basedOn w:val="1"/>
    <w:link w:val="11"/>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批注框文本 字符"/>
    <w:basedOn w:val="9"/>
    <w:link w:val="4"/>
    <w:semiHidden/>
    <w:qFormat/>
    <w:uiPriority w:val="99"/>
    <w:rPr>
      <w:rFonts w:ascii="Calibri" w:hAnsi="Calibri" w:eastAsia="宋体" w:cs="Times New Roman"/>
      <w:sz w:val="18"/>
      <w:szCs w:val="18"/>
    </w:rPr>
  </w:style>
  <w:style w:type="character" w:customStyle="1" w:styleId="12">
    <w:name w:val="页眉 字符"/>
    <w:basedOn w:val="9"/>
    <w:link w:val="6"/>
    <w:qFormat/>
    <w:uiPriority w:val="99"/>
    <w:rPr>
      <w:rFonts w:ascii="Calibri" w:hAnsi="Calibri" w:eastAsia="宋体" w:cs="Times New Roman"/>
      <w:sz w:val="18"/>
      <w:szCs w:val="18"/>
    </w:rPr>
  </w:style>
  <w:style w:type="character" w:customStyle="1" w:styleId="13">
    <w:name w:val="页脚 字符"/>
    <w:basedOn w:val="9"/>
    <w:link w:val="5"/>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5">
    <w:name w:val="批注文字 字符"/>
    <w:basedOn w:val="9"/>
    <w:link w:val="3"/>
    <w:semiHidden/>
    <w:qFormat/>
    <w:uiPriority w:val="99"/>
    <w:rPr>
      <w:rFonts w:ascii="Calibri" w:hAnsi="Calibri" w:eastAsia="宋体" w:cs="Times New Roman"/>
      <w:szCs w:val="24"/>
    </w:rPr>
  </w:style>
  <w:style w:type="character" w:customStyle="1" w:styleId="16">
    <w:name w:val="批注主题 字符"/>
    <w:basedOn w:val="15"/>
    <w:link w:val="7"/>
    <w:semiHidden/>
    <w:qFormat/>
    <w:uiPriority w:val="99"/>
    <w:rPr>
      <w:rFonts w:ascii="Calibri" w:hAnsi="Calibri" w:eastAsia="宋体" w:cs="Times New Roman"/>
      <w:b/>
      <w:bCs/>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213</Words>
  <Characters>1220</Characters>
  <Lines>10</Lines>
  <Paragraphs>2</Paragraphs>
  <TotalTime>67</TotalTime>
  <ScaleCrop>false</ScaleCrop>
  <LinksUpToDate>false</LinksUpToDate>
  <CharactersWithSpaces>1431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2021-04-21T03:14:00Z</dcterms:created>
  <dc:creator>Xu Zhengrong</dc:creator>
  <cp:lastModifiedBy>赖天明</cp:lastModifiedBy>
  <cp:lastPrinted>2021-09-16T02:02:00Z</cp:lastPrinted>
  <dcterms:modified xsi:type="dcterms:W3CDTF">2021-09-26T10:26:17Z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