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42C9B" w14:textId="77777777" w:rsidR="00DC2966" w:rsidRDefault="00DC2966" w:rsidP="00DC2966">
      <w:pPr>
        <w:keepNext/>
        <w:keepLines/>
        <w:spacing w:before="260" w:after="260" w:line="360" w:lineRule="auto"/>
        <w:outlineLvl w:val="1"/>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证券代码：6</w:t>
      </w:r>
      <w:r>
        <w:rPr>
          <w:rFonts w:ascii="宋体" w:eastAsia="宋体" w:hAnsi="宋体" w:cs="Times New Roman"/>
          <w:b/>
          <w:bCs/>
          <w:iCs/>
          <w:color w:val="000000" w:themeColor="text1"/>
          <w:sz w:val="24"/>
          <w:szCs w:val="24"/>
        </w:rPr>
        <w:t>88535</w:t>
      </w:r>
      <w:r>
        <w:rPr>
          <w:rFonts w:ascii="宋体" w:eastAsia="宋体" w:hAnsi="宋体" w:cs="Times New Roman" w:hint="eastAsia"/>
          <w:b/>
          <w:bCs/>
          <w:iCs/>
          <w:color w:val="000000" w:themeColor="text1"/>
          <w:sz w:val="24"/>
          <w:szCs w:val="24"/>
        </w:rPr>
        <w:t xml:space="preserve">                                   证券简称：华海诚科</w:t>
      </w:r>
    </w:p>
    <w:p w14:paraId="7860287F" w14:textId="77777777" w:rsidR="00DC2966" w:rsidRDefault="00DC2966" w:rsidP="00DC2966">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p>
    <w:p w14:paraId="1BFE8973" w14:textId="77777777" w:rsidR="00DC2966" w:rsidRDefault="00DC2966" w:rsidP="00DC2966">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r>
        <w:rPr>
          <w:rFonts w:ascii="宋体" w:eastAsia="宋体" w:hAnsi="宋体" w:cs="Times New Roman" w:hint="eastAsia"/>
          <w:b/>
          <w:bCs/>
          <w:color w:val="000000" w:themeColor="text1"/>
          <w:sz w:val="32"/>
          <w:szCs w:val="32"/>
        </w:rPr>
        <w:t>投资者关系活动记录表</w:t>
      </w:r>
    </w:p>
    <w:tbl>
      <w:tblPr>
        <w:tblW w:w="8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6946"/>
      </w:tblGrid>
      <w:tr w:rsidR="00DC2966" w14:paraId="504F78EC" w14:textId="77777777" w:rsidTr="00173FBE">
        <w:tc>
          <w:tcPr>
            <w:tcW w:w="1731" w:type="dxa"/>
            <w:shd w:val="clear" w:color="auto" w:fill="auto"/>
            <w:vAlign w:val="center"/>
          </w:tcPr>
          <w:p w14:paraId="0EEBB741" w14:textId="77777777"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投资者关系活动类别</w:t>
            </w:r>
          </w:p>
        </w:tc>
        <w:tc>
          <w:tcPr>
            <w:tcW w:w="6946" w:type="dxa"/>
            <w:shd w:val="clear" w:color="auto" w:fill="auto"/>
          </w:tcPr>
          <w:p w14:paraId="03E1EE1E" w14:textId="07663F03" w:rsidR="00DC2966" w:rsidRDefault="001E762B"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sidR="00DC2966">
              <w:rPr>
                <w:rFonts w:ascii="宋体" w:eastAsia="宋体" w:hAnsi="宋体" w:cs="Times New Roman" w:hint="eastAsia"/>
                <w:color w:val="000000" w:themeColor="text1"/>
                <w:sz w:val="24"/>
                <w:szCs w:val="24"/>
              </w:rPr>
              <w:t xml:space="preserve">特定对象调研        </w:t>
            </w:r>
            <w:r w:rsidR="00DC2966">
              <w:rPr>
                <w:rFonts w:ascii="宋体" w:eastAsia="宋体" w:hAnsi="宋体" w:cs="Times New Roman" w:hint="eastAsia"/>
                <w:bCs/>
                <w:iCs/>
                <w:color w:val="000000" w:themeColor="text1"/>
                <w:sz w:val="24"/>
                <w:szCs w:val="24"/>
              </w:rPr>
              <w:t>□</w:t>
            </w:r>
            <w:r w:rsidR="00DC2966">
              <w:rPr>
                <w:rFonts w:ascii="宋体" w:eastAsia="宋体" w:hAnsi="宋体" w:cs="Times New Roman" w:hint="eastAsia"/>
                <w:color w:val="000000" w:themeColor="text1"/>
                <w:sz w:val="24"/>
                <w:szCs w:val="24"/>
              </w:rPr>
              <w:t>分析师会议</w:t>
            </w:r>
          </w:p>
          <w:p w14:paraId="0D789C8A" w14:textId="2CD10E73"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 xml:space="preserve">媒体采访            </w:t>
            </w:r>
            <w:r w:rsidR="001E762B">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业绩说明会</w:t>
            </w:r>
          </w:p>
          <w:p w14:paraId="671A10FA" w14:textId="77777777"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 xml:space="preserve">新闻发布会          </w:t>
            </w:r>
            <w:r>
              <w:rPr>
                <w:rFonts w:asciiTheme="minorEastAsia" w:hAnsiTheme="minorEastAsia" w:hint="eastAsia"/>
                <w:bCs/>
                <w:iCs/>
                <w:color w:val="000000" w:themeColor="text1"/>
                <w:sz w:val="24"/>
                <w:szCs w:val="24"/>
              </w:rPr>
              <w:sym w:font="Wingdings 2" w:char="00A3"/>
            </w:r>
            <w:r>
              <w:rPr>
                <w:rFonts w:ascii="宋体" w:eastAsia="宋体" w:hAnsi="宋体" w:cs="Times New Roman" w:hint="eastAsia"/>
                <w:color w:val="000000" w:themeColor="text1"/>
                <w:sz w:val="24"/>
                <w:szCs w:val="24"/>
              </w:rPr>
              <w:t>路演活动</w:t>
            </w:r>
          </w:p>
          <w:p w14:paraId="6E0A4586" w14:textId="22790674" w:rsidR="00DC2966" w:rsidRDefault="004B767C" w:rsidP="00173FBE">
            <w:pPr>
              <w:tabs>
                <w:tab w:val="left" w:pos="2690"/>
                <w:tab w:val="center" w:pos="3199"/>
              </w:tabs>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sidR="00DC2966">
              <w:rPr>
                <w:rFonts w:ascii="宋体" w:eastAsia="宋体" w:hAnsi="宋体" w:cs="Times New Roman" w:hint="eastAsia"/>
                <w:color w:val="000000" w:themeColor="text1"/>
                <w:sz w:val="24"/>
                <w:szCs w:val="24"/>
              </w:rPr>
              <w:t xml:space="preserve">现场参观 </w:t>
            </w:r>
            <w:r w:rsidR="00DC2966">
              <w:rPr>
                <w:rFonts w:ascii="宋体" w:eastAsia="宋体" w:hAnsi="宋体" w:cs="Times New Roman"/>
                <w:color w:val="000000" w:themeColor="text1"/>
                <w:sz w:val="24"/>
                <w:szCs w:val="24"/>
              </w:rPr>
              <w:t xml:space="preserve">       </w:t>
            </w:r>
            <w:r w:rsidR="00DC2966">
              <w:rPr>
                <w:rFonts w:ascii="宋体" w:eastAsia="宋体" w:hAnsi="宋体" w:cs="Times New Roman" w:hint="eastAsia"/>
                <w:color w:val="000000" w:themeColor="text1"/>
                <w:sz w:val="24"/>
                <w:szCs w:val="24"/>
              </w:rPr>
              <w:t xml:space="preserve"> </w:t>
            </w:r>
            <w:r w:rsidR="00DC2966">
              <w:rPr>
                <w:rFonts w:ascii="宋体" w:eastAsia="宋体" w:hAnsi="宋体" w:cs="Times New Roman"/>
                <w:color w:val="000000" w:themeColor="text1"/>
                <w:sz w:val="24"/>
                <w:szCs w:val="24"/>
              </w:rPr>
              <w:t xml:space="preserve">   </w:t>
            </w:r>
            <w:r w:rsidR="00DC2966">
              <w:rPr>
                <w:rFonts w:asciiTheme="minorEastAsia" w:hAnsiTheme="minorEastAsia" w:hint="eastAsia"/>
                <w:bCs/>
                <w:iCs/>
                <w:color w:val="000000" w:themeColor="text1"/>
                <w:sz w:val="24"/>
                <w:szCs w:val="24"/>
              </w:rPr>
              <w:sym w:font="Wingdings 2" w:char="00A3"/>
            </w:r>
            <w:r w:rsidR="00DC2966">
              <w:rPr>
                <w:rFonts w:ascii="宋体" w:eastAsia="宋体" w:hAnsi="宋体" w:cs="Times New Roman" w:hint="eastAsia"/>
                <w:color w:val="000000" w:themeColor="text1"/>
                <w:sz w:val="24"/>
                <w:szCs w:val="24"/>
              </w:rPr>
              <w:t>电话会议</w:t>
            </w:r>
          </w:p>
          <w:p w14:paraId="1B1A0571" w14:textId="77777777" w:rsidR="00DC2966" w:rsidRDefault="00DC2966" w:rsidP="00173FBE">
            <w:pPr>
              <w:tabs>
                <w:tab w:val="center" w:pos="3199"/>
              </w:tabs>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其他 （</w:t>
            </w:r>
            <w:r>
              <w:rPr>
                <w:rFonts w:ascii="宋体" w:eastAsia="宋体" w:hAnsi="宋体" w:cs="Times New Roman" w:hint="eastAsia"/>
                <w:color w:val="000000" w:themeColor="text1"/>
                <w:sz w:val="24"/>
                <w:szCs w:val="24"/>
                <w:u w:val="single"/>
              </w:rPr>
              <w:t>请文字说明其他活动内容）</w:t>
            </w:r>
          </w:p>
        </w:tc>
      </w:tr>
      <w:tr w:rsidR="00DC2966" w14:paraId="73B783D5" w14:textId="77777777" w:rsidTr="00173FBE">
        <w:tc>
          <w:tcPr>
            <w:tcW w:w="1731" w:type="dxa"/>
            <w:shd w:val="clear" w:color="auto" w:fill="auto"/>
            <w:vAlign w:val="center"/>
          </w:tcPr>
          <w:p w14:paraId="13DECA68" w14:textId="77777777"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参与单位名称及人员姓名</w:t>
            </w:r>
          </w:p>
        </w:tc>
        <w:tc>
          <w:tcPr>
            <w:tcW w:w="6946" w:type="dxa"/>
            <w:shd w:val="clear" w:color="auto" w:fill="auto"/>
          </w:tcPr>
          <w:p w14:paraId="6507B4FF" w14:textId="7512E642" w:rsidR="00DC2966" w:rsidRPr="00832774" w:rsidRDefault="00831FB5" w:rsidP="003F5AC2">
            <w:pPr>
              <w:spacing w:line="276"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海通证券、华安证券</w:t>
            </w:r>
            <w:r w:rsidR="00C4641E">
              <w:rPr>
                <w:rFonts w:ascii="宋体" w:eastAsia="宋体" w:hAnsi="宋体" w:cs="Times New Roman" w:hint="eastAsia"/>
                <w:bCs/>
                <w:iCs/>
                <w:color w:val="000000" w:themeColor="text1"/>
                <w:sz w:val="24"/>
                <w:szCs w:val="24"/>
              </w:rPr>
              <w:t>等</w:t>
            </w:r>
          </w:p>
        </w:tc>
      </w:tr>
      <w:tr w:rsidR="00DC2966" w14:paraId="486EEB6C" w14:textId="77777777" w:rsidTr="00173FBE">
        <w:tc>
          <w:tcPr>
            <w:tcW w:w="1731" w:type="dxa"/>
            <w:shd w:val="clear" w:color="auto" w:fill="auto"/>
          </w:tcPr>
          <w:p w14:paraId="6249837B" w14:textId="77777777"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会议时间</w:t>
            </w:r>
          </w:p>
        </w:tc>
        <w:tc>
          <w:tcPr>
            <w:tcW w:w="6946" w:type="dxa"/>
            <w:shd w:val="clear" w:color="auto" w:fill="auto"/>
          </w:tcPr>
          <w:p w14:paraId="3945DE53" w14:textId="282F6B5C" w:rsidR="00DC2966" w:rsidRDefault="00DC2966" w:rsidP="00831FB5">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202</w:t>
            </w:r>
            <w:r w:rsidR="00390B13">
              <w:rPr>
                <w:rFonts w:ascii="宋体" w:eastAsia="宋体" w:hAnsi="宋体" w:cs="Times New Roman"/>
                <w:bCs/>
                <w:iCs/>
                <w:color w:val="000000" w:themeColor="text1"/>
                <w:sz w:val="24"/>
                <w:szCs w:val="24"/>
              </w:rPr>
              <w:t>4</w:t>
            </w:r>
            <w:r>
              <w:rPr>
                <w:rFonts w:ascii="宋体" w:eastAsia="宋体" w:hAnsi="宋体" w:cs="Times New Roman" w:hint="eastAsia"/>
                <w:bCs/>
                <w:iCs/>
                <w:color w:val="000000" w:themeColor="text1"/>
                <w:sz w:val="24"/>
                <w:szCs w:val="24"/>
              </w:rPr>
              <w:t xml:space="preserve">年 </w:t>
            </w:r>
            <w:r w:rsidR="00831FB5">
              <w:rPr>
                <w:rFonts w:ascii="宋体" w:eastAsia="宋体" w:hAnsi="宋体" w:cs="Times New Roman"/>
                <w:bCs/>
                <w:iCs/>
                <w:color w:val="000000" w:themeColor="text1"/>
                <w:sz w:val="24"/>
                <w:szCs w:val="24"/>
              </w:rPr>
              <w:t>11</w:t>
            </w:r>
            <w:r>
              <w:rPr>
                <w:rFonts w:ascii="宋体" w:eastAsia="宋体" w:hAnsi="宋体" w:cs="Times New Roman" w:hint="eastAsia"/>
                <w:iCs/>
                <w:color w:val="000000" w:themeColor="text1"/>
                <w:sz w:val="24"/>
                <w:szCs w:val="24"/>
              </w:rPr>
              <w:t xml:space="preserve">月 </w:t>
            </w:r>
            <w:r w:rsidR="00831FB5">
              <w:rPr>
                <w:rFonts w:ascii="宋体" w:eastAsia="宋体" w:hAnsi="宋体" w:cs="Times New Roman"/>
                <w:iCs/>
                <w:color w:val="000000" w:themeColor="text1"/>
                <w:sz w:val="24"/>
                <w:szCs w:val="24"/>
              </w:rPr>
              <w:t>25</w:t>
            </w:r>
            <w:r>
              <w:rPr>
                <w:rFonts w:ascii="宋体" w:eastAsia="宋体" w:hAnsi="宋体" w:cs="Times New Roman" w:hint="eastAsia"/>
                <w:iCs/>
                <w:color w:val="000000" w:themeColor="text1"/>
                <w:sz w:val="24"/>
                <w:szCs w:val="24"/>
              </w:rPr>
              <w:t>日1</w:t>
            </w:r>
            <w:r w:rsidR="00B62749">
              <w:rPr>
                <w:rFonts w:ascii="宋体" w:eastAsia="宋体" w:hAnsi="宋体" w:cs="Times New Roman"/>
                <w:iCs/>
                <w:color w:val="000000" w:themeColor="text1"/>
                <w:sz w:val="24"/>
                <w:szCs w:val="24"/>
              </w:rPr>
              <w:t>0</w:t>
            </w:r>
            <w:r>
              <w:rPr>
                <w:rFonts w:ascii="宋体" w:eastAsia="宋体" w:hAnsi="宋体" w:cs="Times New Roman"/>
                <w:iCs/>
                <w:color w:val="000000" w:themeColor="text1"/>
                <w:sz w:val="24"/>
                <w:szCs w:val="24"/>
              </w:rPr>
              <w:t>：</w:t>
            </w:r>
            <w:r w:rsidR="005C48A1">
              <w:rPr>
                <w:rFonts w:ascii="宋体" w:eastAsia="宋体" w:hAnsi="宋体" w:cs="Times New Roman"/>
                <w:iCs/>
                <w:color w:val="000000" w:themeColor="text1"/>
                <w:sz w:val="24"/>
                <w:szCs w:val="24"/>
              </w:rPr>
              <w:t>0</w:t>
            </w:r>
            <w:r>
              <w:rPr>
                <w:rFonts w:ascii="宋体" w:eastAsia="宋体" w:hAnsi="宋体" w:cs="Times New Roman"/>
                <w:iCs/>
                <w:color w:val="000000" w:themeColor="text1"/>
                <w:sz w:val="24"/>
                <w:szCs w:val="24"/>
              </w:rPr>
              <w:t>0-</w:t>
            </w:r>
            <w:r w:rsidR="005C48A1">
              <w:rPr>
                <w:rFonts w:ascii="宋体" w:eastAsia="宋体" w:hAnsi="宋体" w:cs="Times New Roman"/>
                <w:iCs/>
                <w:color w:val="000000" w:themeColor="text1"/>
                <w:sz w:val="24"/>
                <w:szCs w:val="24"/>
              </w:rPr>
              <w:t>1</w:t>
            </w:r>
            <w:r w:rsidR="00B62749">
              <w:rPr>
                <w:rFonts w:ascii="宋体" w:eastAsia="宋体" w:hAnsi="宋体" w:cs="Times New Roman"/>
                <w:iCs/>
                <w:color w:val="000000" w:themeColor="text1"/>
                <w:sz w:val="24"/>
                <w:szCs w:val="24"/>
              </w:rPr>
              <w:t>1</w:t>
            </w:r>
            <w:r>
              <w:rPr>
                <w:rFonts w:ascii="宋体" w:eastAsia="宋体" w:hAnsi="宋体" w:cs="Times New Roman"/>
                <w:iCs/>
                <w:color w:val="000000" w:themeColor="text1"/>
                <w:sz w:val="24"/>
                <w:szCs w:val="24"/>
              </w:rPr>
              <w:t>：</w:t>
            </w:r>
            <w:r>
              <w:rPr>
                <w:rFonts w:ascii="宋体" w:eastAsia="宋体" w:hAnsi="宋体" w:cs="Times New Roman" w:hint="eastAsia"/>
                <w:iCs/>
                <w:color w:val="000000" w:themeColor="text1"/>
                <w:sz w:val="24"/>
                <w:szCs w:val="24"/>
              </w:rPr>
              <w:t>0</w:t>
            </w:r>
            <w:r>
              <w:rPr>
                <w:rFonts w:ascii="宋体" w:eastAsia="宋体" w:hAnsi="宋体" w:cs="Times New Roman"/>
                <w:iCs/>
                <w:color w:val="000000" w:themeColor="text1"/>
                <w:sz w:val="24"/>
                <w:szCs w:val="24"/>
              </w:rPr>
              <w:t>0</w:t>
            </w:r>
          </w:p>
        </w:tc>
      </w:tr>
      <w:tr w:rsidR="00DC2966" w14:paraId="59013F31" w14:textId="77777777" w:rsidTr="00173FBE">
        <w:tc>
          <w:tcPr>
            <w:tcW w:w="1731" w:type="dxa"/>
            <w:shd w:val="clear" w:color="auto" w:fill="auto"/>
          </w:tcPr>
          <w:p w14:paraId="624A5CD5" w14:textId="77777777"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会议地点</w:t>
            </w:r>
          </w:p>
        </w:tc>
        <w:tc>
          <w:tcPr>
            <w:tcW w:w="6946" w:type="dxa"/>
            <w:shd w:val="clear" w:color="auto" w:fill="auto"/>
          </w:tcPr>
          <w:p w14:paraId="59D845F9" w14:textId="4B839DC5" w:rsidR="00DC2966" w:rsidRDefault="00831FB5" w:rsidP="00CB34B5">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线上</w:t>
            </w:r>
          </w:p>
        </w:tc>
      </w:tr>
      <w:tr w:rsidR="00DC2966" w14:paraId="7979417F" w14:textId="77777777" w:rsidTr="00173FBE">
        <w:tc>
          <w:tcPr>
            <w:tcW w:w="1731" w:type="dxa"/>
            <w:shd w:val="clear" w:color="auto" w:fill="auto"/>
          </w:tcPr>
          <w:p w14:paraId="1FE21D8F" w14:textId="77777777"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上市公司接待人员姓名</w:t>
            </w:r>
          </w:p>
        </w:tc>
        <w:tc>
          <w:tcPr>
            <w:tcW w:w="6946" w:type="dxa"/>
            <w:shd w:val="clear" w:color="auto" w:fill="auto"/>
          </w:tcPr>
          <w:p w14:paraId="1348790B" w14:textId="0B74C243" w:rsidR="00831FB5" w:rsidRDefault="00831FB5"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bCs/>
                <w:iCs/>
                <w:color w:val="000000" w:themeColor="text1"/>
                <w:sz w:val="24"/>
                <w:szCs w:val="24"/>
              </w:rPr>
              <w:t>董事长、总经理：韩江龙</w:t>
            </w:r>
          </w:p>
          <w:p w14:paraId="4094B9DC" w14:textId="77777777"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董事会秘书：董东峰</w:t>
            </w:r>
          </w:p>
          <w:p w14:paraId="24AB0EA1" w14:textId="77777777"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证券事务代表：钱云</w:t>
            </w:r>
          </w:p>
          <w:p w14:paraId="515D0AEF" w14:textId="77777777" w:rsidR="00FB226B" w:rsidRDefault="00FB226B"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bCs/>
                <w:iCs/>
                <w:color w:val="000000" w:themeColor="text1"/>
                <w:sz w:val="24"/>
                <w:szCs w:val="24"/>
              </w:rPr>
              <w:t>证券事务专员：张雅婷</w:t>
            </w:r>
          </w:p>
        </w:tc>
      </w:tr>
      <w:tr w:rsidR="00DC2966" w14:paraId="6CF86377" w14:textId="77777777" w:rsidTr="00173FBE">
        <w:trPr>
          <w:trHeight w:val="1125"/>
        </w:trPr>
        <w:tc>
          <w:tcPr>
            <w:tcW w:w="1731" w:type="dxa"/>
            <w:shd w:val="clear" w:color="auto" w:fill="auto"/>
            <w:vAlign w:val="center"/>
          </w:tcPr>
          <w:p w14:paraId="3BD29AB3" w14:textId="77777777"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投资者关系活动主要内容介绍</w:t>
            </w:r>
          </w:p>
        </w:tc>
        <w:tc>
          <w:tcPr>
            <w:tcW w:w="6946" w:type="dxa"/>
            <w:shd w:val="clear" w:color="auto" w:fill="auto"/>
          </w:tcPr>
          <w:p w14:paraId="44FABA4F" w14:textId="77777777" w:rsidR="00AA2BB9" w:rsidRPr="00AA2BB9" w:rsidRDefault="00AA2BB9" w:rsidP="00AA2BB9">
            <w:pPr>
              <w:spacing w:line="360" w:lineRule="auto"/>
              <w:rPr>
                <w:rFonts w:hint="eastAsia"/>
                <w:color w:val="000000" w:themeColor="text1"/>
                <w:sz w:val="24"/>
              </w:rPr>
            </w:pPr>
            <w:r w:rsidRPr="00AA2BB9">
              <w:rPr>
                <w:rFonts w:hint="eastAsia"/>
                <w:color w:val="000000" w:themeColor="text1"/>
                <w:sz w:val="24"/>
              </w:rPr>
              <w:t>问题一：请问贵司在汽车电子行业领域和光伏领域的业务发展情况？</w:t>
            </w:r>
          </w:p>
          <w:p w14:paraId="61CA35B9" w14:textId="77777777" w:rsidR="00AA2BB9" w:rsidRPr="00AA2BB9" w:rsidRDefault="00AA2BB9" w:rsidP="00AA2BB9">
            <w:pPr>
              <w:spacing w:line="360" w:lineRule="auto"/>
              <w:rPr>
                <w:rFonts w:hint="eastAsia"/>
                <w:color w:val="000000" w:themeColor="text1"/>
                <w:sz w:val="24"/>
              </w:rPr>
            </w:pPr>
            <w:r w:rsidRPr="00AA2BB9">
              <w:rPr>
                <w:rFonts w:hint="eastAsia"/>
                <w:color w:val="000000" w:themeColor="text1"/>
                <w:sz w:val="24"/>
              </w:rPr>
              <w:t>回复：用于汽车电子的高导热高可靠性产品已经完成客户考核认证，处于量产前期；公司已经完成对光伏用塑封料深度开发，且按照客户的需求，完成对原来产品的迭代。</w:t>
            </w:r>
          </w:p>
          <w:p w14:paraId="257BEFEC" w14:textId="77777777" w:rsidR="00AA2BB9" w:rsidRPr="00AA2BB9" w:rsidRDefault="00AA2BB9" w:rsidP="00AA2BB9">
            <w:pPr>
              <w:spacing w:line="360" w:lineRule="auto"/>
              <w:rPr>
                <w:rFonts w:hint="eastAsia"/>
                <w:color w:val="000000" w:themeColor="text1"/>
                <w:sz w:val="24"/>
              </w:rPr>
            </w:pPr>
            <w:r w:rsidRPr="00AA2BB9">
              <w:rPr>
                <w:rFonts w:hint="eastAsia"/>
                <w:color w:val="000000" w:themeColor="text1"/>
                <w:sz w:val="24"/>
              </w:rPr>
              <w:t>问题二：请问当下公司高端环氧塑封料产品能够实现国产化替代吗？</w:t>
            </w:r>
          </w:p>
          <w:p w14:paraId="1EAFF1ED" w14:textId="77777777" w:rsidR="00AA2BB9" w:rsidRPr="00AA2BB9" w:rsidRDefault="00AA2BB9" w:rsidP="00AA2BB9">
            <w:pPr>
              <w:spacing w:line="360" w:lineRule="auto"/>
              <w:rPr>
                <w:rFonts w:hint="eastAsia"/>
                <w:color w:val="000000" w:themeColor="text1"/>
                <w:sz w:val="24"/>
              </w:rPr>
            </w:pPr>
            <w:r w:rsidRPr="00AA2BB9">
              <w:rPr>
                <w:rFonts w:hint="eastAsia"/>
                <w:color w:val="000000" w:themeColor="text1"/>
                <w:sz w:val="24"/>
              </w:rPr>
              <w:t>回复：高端塑封料的技术突破到小批量出货到真正的批量需要相当长的时间，现阶段在高端塑封料领域外资仍处于主导地位，即便有部分高端塑封料实现了量产出货，但是进口替代仍然需要凭借不懈的技术开拓、稳定的产品质量、完善及时的客户服务逐步</w:t>
            </w:r>
            <w:r w:rsidRPr="00AA2BB9">
              <w:rPr>
                <w:rFonts w:hint="eastAsia"/>
                <w:color w:val="000000" w:themeColor="text1"/>
                <w:sz w:val="24"/>
              </w:rPr>
              <w:lastRenderedPageBreak/>
              <w:t>推进。</w:t>
            </w:r>
          </w:p>
          <w:p w14:paraId="5EE0C59F" w14:textId="77777777" w:rsidR="00AA2BB9" w:rsidRPr="00AA2BB9" w:rsidRDefault="00AA2BB9" w:rsidP="00AA2BB9">
            <w:pPr>
              <w:spacing w:line="360" w:lineRule="auto"/>
              <w:rPr>
                <w:rFonts w:hint="eastAsia"/>
                <w:color w:val="000000" w:themeColor="text1"/>
                <w:sz w:val="24"/>
              </w:rPr>
            </w:pPr>
            <w:r w:rsidRPr="00AA2BB9">
              <w:rPr>
                <w:rFonts w:hint="eastAsia"/>
                <w:color w:val="000000" w:themeColor="text1"/>
                <w:sz w:val="24"/>
              </w:rPr>
              <w:t>问题三：公司整体的业务进展如何？</w:t>
            </w:r>
          </w:p>
          <w:p w14:paraId="700A4B43" w14:textId="77777777" w:rsidR="00AA2BB9" w:rsidRPr="00AA2BB9" w:rsidRDefault="00AA2BB9" w:rsidP="00AA2BB9">
            <w:pPr>
              <w:spacing w:line="360" w:lineRule="auto"/>
              <w:rPr>
                <w:rFonts w:hint="eastAsia"/>
                <w:color w:val="000000" w:themeColor="text1"/>
                <w:sz w:val="24"/>
              </w:rPr>
            </w:pPr>
            <w:r w:rsidRPr="00AA2BB9">
              <w:rPr>
                <w:rFonts w:hint="eastAsia"/>
                <w:color w:val="000000" w:themeColor="text1"/>
                <w:sz w:val="24"/>
              </w:rPr>
              <w:t>回复：公司立足于传统封装领域逐步扩大市场份额，并积极布局先进封装领域，推动高端产品的产业化。在传统封装领域，公司应用于</w:t>
            </w:r>
            <w:r w:rsidRPr="00AA2BB9">
              <w:rPr>
                <w:rFonts w:hint="eastAsia"/>
                <w:color w:val="000000" w:themeColor="text1"/>
                <w:sz w:val="24"/>
              </w:rPr>
              <w:t>SOT</w:t>
            </w:r>
            <w:r w:rsidRPr="00AA2BB9">
              <w:rPr>
                <w:rFonts w:hint="eastAsia"/>
                <w:color w:val="000000" w:themeColor="text1"/>
                <w:sz w:val="24"/>
              </w:rPr>
              <w:t>、</w:t>
            </w:r>
            <w:r w:rsidRPr="00AA2BB9">
              <w:rPr>
                <w:rFonts w:hint="eastAsia"/>
                <w:color w:val="000000" w:themeColor="text1"/>
                <w:sz w:val="24"/>
              </w:rPr>
              <w:t>SOP</w:t>
            </w:r>
            <w:r w:rsidRPr="00AA2BB9">
              <w:rPr>
                <w:rFonts w:hint="eastAsia"/>
                <w:color w:val="000000" w:themeColor="text1"/>
                <w:sz w:val="24"/>
              </w:rPr>
              <w:t>领域的产品的市场份额逐步提升。在先进封装领域，公司应用于</w:t>
            </w:r>
            <w:r w:rsidRPr="00AA2BB9">
              <w:rPr>
                <w:rFonts w:hint="eastAsia"/>
                <w:color w:val="000000" w:themeColor="text1"/>
                <w:sz w:val="24"/>
              </w:rPr>
              <w:t>QFN</w:t>
            </w:r>
            <w:r w:rsidRPr="00AA2BB9">
              <w:rPr>
                <w:rFonts w:hint="eastAsia"/>
                <w:color w:val="000000" w:themeColor="text1"/>
                <w:sz w:val="24"/>
              </w:rPr>
              <w:t>的产品</w:t>
            </w:r>
            <w:r w:rsidRPr="00AA2BB9">
              <w:rPr>
                <w:rFonts w:hint="eastAsia"/>
                <w:color w:val="000000" w:themeColor="text1"/>
                <w:sz w:val="24"/>
              </w:rPr>
              <w:t>700</w:t>
            </w:r>
            <w:r w:rsidRPr="00AA2BB9">
              <w:rPr>
                <w:rFonts w:hint="eastAsia"/>
                <w:color w:val="000000" w:themeColor="text1"/>
                <w:sz w:val="24"/>
              </w:rPr>
              <w:t>系列产品已实现小批量生产与销售；同时，公司紧跟先进封装未来发展趋势，布局晶圆级封装与系统级封装，在上述领域的产品布局逐步完善，应用于</w:t>
            </w:r>
            <w:r w:rsidRPr="00AA2BB9">
              <w:rPr>
                <w:rFonts w:hint="eastAsia"/>
                <w:color w:val="000000" w:themeColor="text1"/>
                <w:sz w:val="24"/>
              </w:rPr>
              <w:t>FC</w:t>
            </w:r>
            <w:r w:rsidRPr="00AA2BB9">
              <w:rPr>
                <w:rFonts w:hint="eastAsia"/>
                <w:color w:val="000000" w:themeColor="text1"/>
                <w:sz w:val="24"/>
              </w:rPr>
              <w:t>、</w:t>
            </w:r>
            <w:r w:rsidRPr="00AA2BB9">
              <w:rPr>
                <w:rFonts w:hint="eastAsia"/>
                <w:color w:val="000000" w:themeColor="text1"/>
                <w:sz w:val="24"/>
              </w:rPr>
              <w:t>SiP</w:t>
            </w:r>
            <w:r w:rsidRPr="00AA2BB9">
              <w:rPr>
                <w:rFonts w:hint="eastAsia"/>
                <w:color w:val="000000" w:themeColor="text1"/>
                <w:sz w:val="24"/>
              </w:rPr>
              <w:t>、</w:t>
            </w:r>
            <w:r w:rsidRPr="00AA2BB9">
              <w:rPr>
                <w:rFonts w:hint="eastAsia"/>
                <w:color w:val="000000" w:themeColor="text1"/>
                <w:sz w:val="24"/>
              </w:rPr>
              <w:t>FOWLP/FOPLP</w:t>
            </w:r>
            <w:r w:rsidRPr="00AA2BB9">
              <w:rPr>
                <w:rFonts w:hint="eastAsia"/>
                <w:color w:val="000000" w:themeColor="text1"/>
                <w:sz w:val="24"/>
              </w:rPr>
              <w:t>等先进封装领域的相关产品正逐步通过客户的考核验证，有望逐步实现产业化。</w:t>
            </w:r>
          </w:p>
          <w:p w14:paraId="55F635C3" w14:textId="77777777" w:rsidR="00AA2BB9" w:rsidRPr="00AA2BB9" w:rsidRDefault="00AA2BB9" w:rsidP="00AA2BB9">
            <w:pPr>
              <w:spacing w:line="360" w:lineRule="auto"/>
              <w:rPr>
                <w:rFonts w:hint="eastAsia"/>
                <w:color w:val="000000" w:themeColor="text1"/>
                <w:sz w:val="24"/>
              </w:rPr>
            </w:pPr>
            <w:r w:rsidRPr="00AA2BB9">
              <w:rPr>
                <w:rFonts w:hint="eastAsia"/>
                <w:color w:val="000000" w:themeColor="text1"/>
                <w:sz w:val="24"/>
              </w:rPr>
              <w:t>问题四：请问公司是否有材料可以应用于</w:t>
            </w:r>
            <w:r w:rsidRPr="00AA2BB9">
              <w:rPr>
                <w:rFonts w:hint="eastAsia"/>
                <w:color w:val="000000" w:themeColor="text1"/>
                <w:sz w:val="24"/>
              </w:rPr>
              <w:t>HBM</w:t>
            </w:r>
            <w:r w:rsidRPr="00AA2BB9">
              <w:rPr>
                <w:rFonts w:hint="eastAsia"/>
                <w:color w:val="000000" w:themeColor="text1"/>
                <w:sz w:val="24"/>
              </w:rPr>
              <w:t>存储产业链？</w:t>
            </w:r>
          </w:p>
          <w:p w14:paraId="14F7384F" w14:textId="61794D62" w:rsidR="00AA2BB9" w:rsidRDefault="00AA2BB9" w:rsidP="00AA2BB9">
            <w:pPr>
              <w:spacing w:line="360" w:lineRule="auto"/>
              <w:rPr>
                <w:color w:val="000000" w:themeColor="text1"/>
                <w:sz w:val="24"/>
              </w:rPr>
            </w:pPr>
            <w:r w:rsidRPr="00AA2BB9">
              <w:rPr>
                <w:rFonts w:hint="eastAsia"/>
                <w:color w:val="000000" w:themeColor="text1"/>
                <w:sz w:val="24"/>
              </w:rPr>
              <w:t>回复：公司的颗粒状环氧塑封料（</w:t>
            </w:r>
            <w:r w:rsidRPr="00AA2BB9">
              <w:rPr>
                <w:rFonts w:hint="eastAsia"/>
                <w:color w:val="000000" w:themeColor="text1"/>
                <w:sz w:val="24"/>
              </w:rPr>
              <w:t>GMC</w:t>
            </w:r>
            <w:r w:rsidRPr="00AA2BB9">
              <w:rPr>
                <w:rFonts w:hint="eastAsia"/>
                <w:color w:val="000000" w:themeColor="text1"/>
                <w:sz w:val="24"/>
              </w:rPr>
              <w:t>）可以用于</w:t>
            </w:r>
            <w:r w:rsidRPr="00AA2BB9">
              <w:rPr>
                <w:rFonts w:hint="eastAsia"/>
                <w:color w:val="000000" w:themeColor="text1"/>
                <w:sz w:val="24"/>
              </w:rPr>
              <w:t>HBM</w:t>
            </w:r>
            <w:r w:rsidRPr="00AA2BB9">
              <w:rPr>
                <w:rFonts w:hint="eastAsia"/>
                <w:color w:val="000000" w:themeColor="text1"/>
                <w:sz w:val="24"/>
              </w:rPr>
              <w:t>的封装。相关产品已通过客户验证，现处于送样阶段。</w:t>
            </w:r>
          </w:p>
          <w:p w14:paraId="46D4A534" w14:textId="1695F7AE" w:rsidR="003507E5" w:rsidRPr="003507E5" w:rsidRDefault="008B6640" w:rsidP="003507E5">
            <w:pPr>
              <w:spacing w:line="360" w:lineRule="auto"/>
              <w:rPr>
                <w:color w:val="000000" w:themeColor="text1"/>
                <w:sz w:val="24"/>
              </w:rPr>
            </w:pPr>
            <w:r>
              <w:rPr>
                <w:color w:val="000000" w:themeColor="text1"/>
                <w:sz w:val="24"/>
              </w:rPr>
              <w:t>问题</w:t>
            </w:r>
            <w:r w:rsidR="00AA2BB9">
              <w:rPr>
                <w:rFonts w:hint="eastAsia"/>
                <w:color w:val="000000" w:themeColor="text1"/>
                <w:sz w:val="24"/>
              </w:rPr>
              <w:t>五</w:t>
            </w:r>
            <w:r>
              <w:rPr>
                <w:color w:val="000000" w:themeColor="text1"/>
                <w:sz w:val="24"/>
              </w:rPr>
              <w:t>：</w:t>
            </w:r>
            <w:r w:rsidR="003507E5" w:rsidRPr="003507E5">
              <w:rPr>
                <w:rFonts w:hint="eastAsia"/>
                <w:color w:val="000000" w:themeColor="text1"/>
                <w:sz w:val="24"/>
              </w:rPr>
              <w:t>请问贵司</w:t>
            </w:r>
            <w:r w:rsidR="003507E5" w:rsidRPr="003507E5">
              <w:rPr>
                <w:rFonts w:hint="eastAsia"/>
                <w:color w:val="000000" w:themeColor="text1"/>
                <w:sz w:val="24"/>
              </w:rPr>
              <w:t>GMC</w:t>
            </w:r>
            <w:r w:rsidR="003507E5" w:rsidRPr="003507E5">
              <w:rPr>
                <w:rFonts w:hint="eastAsia"/>
                <w:color w:val="000000" w:themeColor="text1"/>
                <w:sz w:val="24"/>
              </w:rPr>
              <w:t>发展情况？</w:t>
            </w:r>
          </w:p>
          <w:p w14:paraId="1DD9B46C" w14:textId="36350C92" w:rsidR="005D7E4D" w:rsidRPr="00D93633" w:rsidRDefault="003507E5" w:rsidP="003507E5">
            <w:pPr>
              <w:spacing w:line="360" w:lineRule="auto"/>
              <w:rPr>
                <w:color w:val="FF0000"/>
                <w:sz w:val="24"/>
              </w:rPr>
            </w:pPr>
            <w:r>
              <w:rPr>
                <w:rFonts w:hint="eastAsia"/>
                <w:color w:val="000000" w:themeColor="text1"/>
                <w:sz w:val="24"/>
              </w:rPr>
              <w:t>回复：在</w:t>
            </w:r>
            <w:r w:rsidRPr="003507E5">
              <w:rPr>
                <w:rFonts w:hint="eastAsia"/>
                <w:color w:val="000000" w:themeColor="text1"/>
                <w:sz w:val="24"/>
              </w:rPr>
              <w:t>先进封装领域，</w:t>
            </w:r>
            <w:r w:rsidRPr="003507E5">
              <w:rPr>
                <w:rFonts w:hint="eastAsia"/>
                <w:color w:val="000000" w:themeColor="text1"/>
                <w:sz w:val="24"/>
              </w:rPr>
              <w:t xml:space="preserve">GMC </w:t>
            </w:r>
            <w:r w:rsidRPr="003507E5">
              <w:rPr>
                <w:rFonts w:hint="eastAsia"/>
                <w:color w:val="000000" w:themeColor="text1"/>
                <w:sz w:val="24"/>
              </w:rPr>
              <w:t>产品已经在多个客户考核通过，自主研发的</w:t>
            </w:r>
            <w:r w:rsidRPr="003507E5">
              <w:rPr>
                <w:rFonts w:hint="eastAsia"/>
                <w:color w:val="000000" w:themeColor="text1"/>
                <w:sz w:val="24"/>
              </w:rPr>
              <w:t xml:space="preserve">GMC </w:t>
            </w:r>
            <w:r>
              <w:rPr>
                <w:rFonts w:hint="eastAsia"/>
                <w:color w:val="000000" w:themeColor="text1"/>
                <w:sz w:val="24"/>
              </w:rPr>
              <w:t>制造专用设备已经具备量产能力并持续优化</w:t>
            </w:r>
            <w:r w:rsidR="005D7E4D">
              <w:rPr>
                <w:rFonts w:hint="eastAsia"/>
                <w:color w:val="000000" w:themeColor="text1"/>
                <w:sz w:val="24"/>
              </w:rPr>
              <w:t>。</w:t>
            </w:r>
          </w:p>
          <w:p w14:paraId="7BEADF0C" w14:textId="28BD3D7B" w:rsidR="00393485" w:rsidRDefault="00393485" w:rsidP="00393485">
            <w:pPr>
              <w:spacing w:line="360" w:lineRule="auto"/>
              <w:rPr>
                <w:color w:val="000000" w:themeColor="text1"/>
                <w:sz w:val="24"/>
              </w:rPr>
            </w:pPr>
            <w:r>
              <w:rPr>
                <w:color w:val="000000" w:themeColor="text1"/>
                <w:sz w:val="24"/>
              </w:rPr>
              <w:t>问题</w:t>
            </w:r>
            <w:r w:rsidR="005205A7">
              <w:rPr>
                <w:rFonts w:hint="eastAsia"/>
                <w:color w:val="000000" w:themeColor="text1"/>
                <w:sz w:val="24"/>
              </w:rPr>
              <w:t>六</w:t>
            </w:r>
            <w:r>
              <w:rPr>
                <w:color w:val="000000" w:themeColor="text1"/>
                <w:sz w:val="24"/>
              </w:rPr>
              <w:t>：</w:t>
            </w:r>
            <w:r w:rsidR="00D56303">
              <w:rPr>
                <w:color w:val="000000" w:themeColor="text1"/>
                <w:sz w:val="24"/>
              </w:rPr>
              <w:t>请问</w:t>
            </w:r>
            <w:r w:rsidRPr="00393485">
              <w:rPr>
                <w:rFonts w:hint="eastAsia"/>
                <w:color w:val="000000" w:themeColor="text1"/>
                <w:sz w:val="24"/>
              </w:rPr>
              <w:t>可以介绍一下公司产品有何科技含量</w:t>
            </w:r>
            <w:r w:rsidR="00D56303">
              <w:rPr>
                <w:rFonts w:hint="eastAsia"/>
                <w:color w:val="000000" w:themeColor="text1"/>
                <w:sz w:val="24"/>
              </w:rPr>
              <w:t>吗</w:t>
            </w:r>
            <w:r w:rsidRPr="00393485">
              <w:rPr>
                <w:rFonts w:hint="eastAsia"/>
                <w:color w:val="000000" w:themeColor="text1"/>
                <w:sz w:val="24"/>
              </w:rPr>
              <w:t>？</w:t>
            </w:r>
          </w:p>
          <w:p w14:paraId="7C7BC2D2" w14:textId="77777777" w:rsidR="00393485" w:rsidRDefault="00393485" w:rsidP="00393485">
            <w:pPr>
              <w:spacing w:line="360" w:lineRule="auto"/>
              <w:rPr>
                <w:color w:val="000000" w:themeColor="text1"/>
                <w:sz w:val="24"/>
              </w:rPr>
            </w:pPr>
            <w:r>
              <w:rPr>
                <w:color w:val="000000" w:themeColor="text1"/>
                <w:sz w:val="24"/>
              </w:rPr>
              <w:t>回复：</w:t>
            </w:r>
            <w:r w:rsidRPr="00393485">
              <w:rPr>
                <w:rFonts w:hint="eastAsia"/>
                <w:color w:val="000000" w:themeColor="text1"/>
                <w:sz w:val="24"/>
              </w:rPr>
              <w:t>公司属于半导体封装材料行业，是典型的技术密集型行业。该行业终端应用广泛而复杂，环氧塑封料、芯片级电子胶黏剂等是保证芯片功能稳定实现的关键材料，需要跟随下游封装形式的持续演进及客户的定制化需求针对性地调整配方及生产工艺；产品研发还涉及高分子材料、有机化学、有机合成、无机非</w:t>
            </w:r>
            <w:r>
              <w:rPr>
                <w:rFonts w:hint="eastAsia"/>
                <w:color w:val="000000" w:themeColor="text1"/>
                <w:sz w:val="24"/>
              </w:rPr>
              <w:t>金属材料等多门学科的交叉，因此技术门槛较高。</w:t>
            </w:r>
          </w:p>
          <w:p w14:paraId="1F478D32" w14:textId="3CE178B1" w:rsidR="00AA2BB9" w:rsidRPr="000D0DC1" w:rsidRDefault="00AA2BB9" w:rsidP="00AA2BB9">
            <w:pPr>
              <w:spacing w:line="360" w:lineRule="auto"/>
              <w:rPr>
                <w:color w:val="000000" w:themeColor="text1"/>
                <w:sz w:val="24"/>
              </w:rPr>
            </w:pPr>
            <w:r>
              <w:rPr>
                <w:color w:val="000000" w:themeColor="text1"/>
                <w:sz w:val="24"/>
              </w:rPr>
              <w:t>问题</w:t>
            </w:r>
            <w:r>
              <w:rPr>
                <w:rFonts w:hint="eastAsia"/>
                <w:color w:val="000000" w:themeColor="text1"/>
                <w:sz w:val="24"/>
              </w:rPr>
              <w:t>七</w:t>
            </w:r>
            <w:bookmarkStart w:id="0" w:name="_GoBack"/>
            <w:bookmarkEnd w:id="0"/>
            <w:r>
              <w:rPr>
                <w:color w:val="000000" w:themeColor="text1"/>
                <w:sz w:val="24"/>
              </w:rPr>
              <w:t>：</w:t>
            </w:r>
            <w:r w:rsidRPr="000D0DC1">
              <w:rPr>
                <w:rFonts w:hint="eastAsia"/>
                <w:color w:val="000000" w:themeColor="text1"/>
                <w:sz w:val="24"/>
              </w:rPr>
              <w:t>请问</w:t>
            </w:r>
            <w:r w:rsidRPr="000D0DC1">
              <w:rPr>
                <w:rFonts w:hint="eastAsia"/>
                <w:color w:val="000000" w:themeColor="text1"/>
                <w:sz w:val="24"/>
              </w:rPr>
              <w:t>LMC</w:t>
            </w:r>
            <w:r w:rsidRPr="000D0DC1">
              <w:rPr>
                <w:rFonts w:hint="eastAsia"/>
                <w:color w:val="000000" w:themeColor="text1"/>
                <w:sz w:val="24"/>
              </w:rPr>
              <w:t>和</w:t>
            </w:r>
            <w:r w:rsidRPr="000D0DC1">
              <w:rPr>
                <w:rFonts w:hint="eastAsia"/>
                <w:color w:val="000000" w:themeColor="text1"/>
                <w:sz w:val="24"/>
              </w:rPr>
              <w:t>GMC</w:t>
            </w:r>
            <w:r w:rsidRPr="000D0DC1">
              <w:rPr>
                <w:rFonts w:hint="eastAsia"/>
                <w:color w:val="000000" w:themeColor="text1"/>
                <w:sz w:val="24"/>
              </w:rPr>
              <w:t>有什么区别？</w:t>
            </w:r>
          </w:p>
          <w:p w14:paraId="17007642" w14:textId="77777777" w:rsidR="00AA2BB9" w:rsidRDefault="00AA2BB9" w:rsidP="00AA2BB9">
            <w:pPr>
              <w:spacing w:line="360" w:lineRule="auto"/>
              <w:rPr>
                <w:color w:val="000000" w:themeColor="text1"/>
                <w:sz w:val="24"/>
              </w:rPr>
            </w:pPr>
            <w:r w:rsidRPr="000D0DC1">
              <w:rPr>
                <w:rFonts w:hint="eastAsia"/>
                <w:color w:val="000000" w:themeColor="text1"/>
                <w:sz w:val="24"/>
              </w:rPr>
              <w:t>回复：</w:t>
            </w:r>
            <w:r w:rsidRPr="000D0DC1">
              <w:rPr>
                <w:rFonts w:hint="eastAsia"/>
                <w:color w:val="000000" w:themeColor="text1"/>
                <w:sz w:val="24"/>
              </w:rPr>
              <w:t>LMC</w:t>
            </w:r>
            <w:r w:rsidRPr="000D0DC1">
              <w:rPr>
                <w:rFonts w:hint="eastAsia"/>
                <w:color w:val="000000" w:themeColor="text1"/>
                <w:sz w:val="24"/>
              </w:rPr>
              <w:t>是指液态塑封材料，</w:t>
            </w:r>
            <w:r w:rsidRPr="000D0DC1">
              <w:rPr>
                <w:rFonts w:hint="eastAsia"/>
                <w:color w:val="000000" w:themeColor="text1"/>
                <w:sz w:val="24"/>
              </w:rPr>
              <w:t xml:space="preserve">LMC </w:t>
            </w:r>
            <w:r w:rsidRPr="000D0DC1">
              <w:rPr>
                <w:rFonts w:hint="eastAsia"/>
                <w:color w:val="000000" w:themeColor="text1"/>
                <w:sz w:val="24"/>
              </w:rPr>
              <w:t>是通过将液态树脂挤压到产品中央，在塑封机温度和压力的作用下增强液态树脂的流动性，从而填充满整个晶圆。</w:t>
            </w:r>
            <w:r w:rsidRPr="000D0DC1">
              <w:rPr>
                <w:rFonts w:hint="eastAsia"/>
                <w:color w:val="000000" w:themeColor="text1"/>
                <w:sz w:val="24"/>
              </w:rPr>
              <w:t xml:space="preserve">LMC </w:t>
            </w:r>
            <w:r w:rsidRPr="000D0DC1">
              <w:rPr>
                <w:rFonts w:hint="eastAsia"/>
                <w:color w:val="000000" w:themeColor="text1"/>
                <w:sz w:val="24"/>
              </w:rPr>
              <w:t>具备可中低温固化、低翘曲、模塑过程无粉尘、低吸水率以及高可靠性等优点，是目前应用于晶圆级封装的相对成熟的塑封材料；</w:t>
            </w:r>
            <w:r w:rsidRPr="000D0DC1">
              <w:rPr>
                <w:rFonts w:hint="eastAsia"/>
                <w:color w:val="000000" w:themeColor="text1"/>
                <w:sz w:val="24"/>
              </w:rPr>
              <w:t>GMC</w:t>
            </w:r>
            <w:r w:rsidRPr="000D0DC1">
              <w:rPr>
                <w:rFonts w:hint="eastAsia"/>
                <w:color w:val="000000" w:themeColor="text1"/>
                <w:sz w:val="24"/>
              </w:rPr>
              <w:t>是指颗粒状环氧塑封材料，颗</w:t>
            </w:r>
            <w:r w:rsidRPr="000D0DC1">
              <w:rPr>
                <w:rFonts w:hint="eastAsia"/>
                <w:color w:val="000000" w:themeColor="text1"/>
                <w:sz w:val="24"/>
              </w:rPr>
              <w:lastRenderedPageBreak/>
              <w:t>粒状环氧塑封料在塑封过程采用均匀撒粉的方式，在预热后变为液态，将带有芯片的承载板浸入到树脂中而成型，</w:t>
            </w:r>
            <w:r>
              <w:rPr>
                <w:rFonts w:hint="eastAsia"/>
                <w:color w:val="000000" w:themeColor="text1"/>
                <w:sz w:val="24"/>
              </w:rPr>
              <w:t>具有</w:t>
            </w:r>
            <w:r w:rsidRPr="000D0DC1">
              <w:rPr>
                <w:rFonts w:hint="eastAsia"/>
                <w:color w:val="000000" w:themeColor="text1"/>
                <w:sz w:val="24"/>
              </w:rPr>
              <w:t>操作简单、工时较短、成本较低等优势。</w:t>
            </w:r>
          </w:p>
          <w:p w14:paraId="32EDEF0C" w14:textId="77777777" w:rsidR="00D8717D" w:rsidRPr="00D8717D" w:rsidRDefault="00D8717D" w:rsidP="00393485">
            <w:pPr>
              <w:spacing w:line="360" w:lineRule="auto"/>
              <w:rPr>
                <w:sz w:val="24"/>
              </w:rPr>
            </w:pPr>
            <w:r w:rsidRPr="00D8717D">
              <w:rPr>
                <w:rFonts w:ascii="宋体" w:eastAsia="宋体" w:hAnsi="宋体" w:cs="Times New Roman" w:hint="eastAsia"/>
                <w:b/>
                <w:bCs/>
                <w:iCs/>
                <w:color w:val="000000" w:themeColor="text1"/>
                <w:sz w:val="24"/>
                <w:szCs w:val="24"/>
              </w:rPr>
              <w:t>注：本次活动不涉及应当披露重大信息的特别说明，其他相关介绍、交流情况可参阅近期《投资者关系活动记录表》之内容和已对外披露正式公告。</w:t>
            </w:r>
          </w:p>
        </w:tc>
      </w:tr>
      <w:tr w:rsidR="00DC2966" w14:paraId="224D96CC" w14:textId="77777777" w:rsidTr="00173FBE">
        <w:tc>
          <w:tcPr>
            <w:tcW w:w="1731" w:type="dxa"/>
            <w:shd w:val="clear" w:color="auto" w:fill="auto"/>
            <w:vAlign w:val="center"/>
          </w:tcPr>
          <w:p w14:paraId="100CD0B5" w14:textId="77777777"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lastRenderedPageBreak/>
              <w:t>附件清单（如有）</w:t>
            </w:r>
          </w:p>
        </w:tc>
        <w:tc>
          <w:tcPr>
            <w:tcW w:w="6946" w:type="dxa"/>
            <w:shd w:val="clear" w:color="auto" w:fill="auto"/>
          </w:tcPr>
          <w:p w14:paraId="56AF68A0" w14:textId="77777777"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无</w:t>
            </w:r>
          </w:p>
        </w:tc>
      </w:tr>
      <w:tr w:rsidR="00DC2966" w14:paraId="608DA16F" w14:textId="77777777" w:rsidTr="00173FBE">
        <w:tc>
          <w:tcPr>
            <w:tcW w:w="1731" w:type="dxa"/>
            <w:shd w:val="clear" w:color="auto" w:fill="auto"/>
            <w:vAlign w:val="center"/>
          </w:tcPr>
          <w:p w14:paraId="159ECD54" w14:textId="77777777"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日期</w:t>
            </w:r>
          </w:p>
        </w:tc>
        <w:tc>
          <w:tcPr>
            <w:tcW w:w="6946" w:type="dxa"/>
            <w:shd w:val="clear" w:color="auto" w:fill="auto"/>
            <w:vAlign w:val="center"/>
          </w:tcPr>
          <w:p w14:paraId="0837D25B" w14:textId="48BE80A9" w:rsidR="00DC2966" w:rsidRDefault="00DC2966" w:rsidP="00831FB5">
            <w:pPr>
              <w:spacing w:line="360" w:lineRule="auto"/>
              <w:rPr>
                <w:rFonts w:ascii="宋体" w:eastAsia="宋体" w:hAnsi="宋体" w:cs="Times New Roman"/>
                <w:iCs/>
                <w:color w:val="000000" w:themeColor="text1"/>
                <w:sz w:val="24"/>
                <w:szCs w:val="24"/>
              </w:rPr>
            </w:pPr>
            <w:r>
              <w:rPr>
                <w:rFonts w:ascii="宋体" w:eastAsia="宋体" w:hAnsi="宋体" w:cs="Times New Roman" w:hint="eastAsia"/>
                <w:bCs/>
                <w:iCs/>
                <w:color w:val="000000" w:themeColor="text1"/>
                <w:sz w:val="24"/>
                <w:szCs w:val="24"/>
              </w:rPr>
              <w:t>202</w:t>
            </w:r>
            <w:r w:rsidR="001B230A">
              <w:rPr>
                <w:rFonts w:ascii="宋体" w:eastAsia="宋体" w:hAnsi="宋体" w:cs="Times New Roman"/>
                <w:bCs/>
                <w:iCs/>
                <w:color w:val="000000" w:themeColor="text1"/>
                <w:sz w:val="24"/>
                <w:szCs w:val="24"/>
              </w:rPr>
              <w:t>4</w:t>
            </w:r>
            <w:r>
              <w:rPr>
                <w:rFonts w:ascii="宋体" w:eastAsia="宋体" w:hAnsi="宋体" w:cs="Times New Roman" w:hint="eastAsia"/>
                <w:bCs/>
                <w:iCs/>
                <w:color w:val="000000" w:themeColor="text1"/>
                <w:sz w:val="24"/>
                <w:szCs w:val="24"/>
              </w:rPr>
              <w:t>年</w:t>
            </w:r>
            <w:r w:rsidR="00831FB5">
              <w:rPr>
                <w:rFonts w:ascii="宋体" w:eastAsia="宋体" w:hAnsi="宋体" w:cs="Times New Roman"/>
                <w:bCs/>
                <w:iCs/>
                <w:color w:val="000000" w:themeColor="text1"/>
                <w:sz w:val="24"/>
                <w:szCs w:val="24"/>
              </w:rPr>
              <w:t>11</w:t>
            </w:r>
            <w:r>
              <w:rPr>
                <w:rFonts w:ascii="宋体" w:eastAsia="宋体" w:hAnsi="宋体" w:cs="Times New Roman" w:hint="eastAsia"/>
                <w:iCs/>
                <w:color w:val="000000" w:themeColor="text1"/>
                <w:sz w:val="24"/>
                <w:szCs w:val="24"/>
              </w:rPr>
              <w:t xml:space="preserve">月 </w:t>
            </w:r>
            <w:r w:rsidR="00831FB5">
              <w:rPr>
                <w:rFonts w:ascii="宋体" w:eastAsia="宋体" w:hAnsi="宋体" w:cs="Times New Roman"/>
                <w:iCs/>
                <w:color w:val="000000" w:themeColor="text1"/>
                <w:sz w:val="24"/>
                <w:szCs w:val="24"/>
              </w:rPr>
              <w:t>25</w:t>
            </w:r>
            <w:r>
              <w:rPr>
                <w:rFonts w:ascii="宋体" w:eastAsia="宋体" w:hAnsi="宋体" w:cs="Times New Roman" w:hint="eastAsia"/>
                <w:iCs/>
                <w:color w:val="000000" w:themeColor="text1"/>
                <w:sz w:val="24"/>
                <w:szCs w:val="24"/>
              </w:rPr>
              <w:t>日</w:t>
            </w:r>
          </w:p>
        </w:tc>
      </w:tr>
    </w:tbl>
    <w:p w14:paraId="3476F7E4" w14:textId="77777777" w:rsidR="00DC2966" w:rsidRDefault="00DC2966" w:rsidP="00DC2966">
      <w:pPr>
        <w:keepNext/>
        <w:keepLines/>
        <w:spacing w:before="260" w:after="260" w:line="360" w:lineRule="auto"/>
        <w:outlineLvl w:val="1"/>
        <w:rPr>
          <w:color w:val="000000" w:themeColor="text1"/>
        </w:rPr>
      </w:pPr>
    </w:p>
    <w:p w14:paraId="5310B421" w14:textId="77777777" w:rsidR="001B443E" w:rsidRPr="00DC2966" w:rsidRDefault="001B443E" w:rsidP="00DC2966"/>
    <w:sectPr w:rsidR="001B443E" w:rsidRPr="00DC2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9643C" w14:textId="77777777" w:rsidR="005E6E8A" w:rsidRDefault="005E6E8A" w:rsidP="00C81FD8">
      <w:r>
        <w:separator/>
      </w:r>
    </w:p>
  </w:endnote>
  <w:endnote w:type="continuationSeparator" w:id="0">
    <w:p w14:paraId="0DB92FA0" w14:textId="77777777" w:rsidR="005E6E8A" w:rsidRDefault="005E6E8A" w:rsidP="00C8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9471" w14:textId="77777777" w:rsidR="005E6E8A" w:rsidRDefault="005E6E8A" w:rsidP="00C81FD8">
      <w:r>
        <w:separator/>
      </w:r>
    </w:p>
  </w:footnote>
  <w:footnote w:type="continuationSeparator" w:id="0">
    <w:p w14:paraId="0BFC052E" w14:textId="77777777" w:rsidR="005E6E8A" w:rsidRDefault="005E6E8A" w:rsidP="00C81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991"/>
    <w:multiLevelType w:val="hybridMultilevel"/>
    <w:tmpl w:val="F35EE94C"/>
    <w:lvl w:ilvl="0" w:tplc="79A07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4"/>
    <w:rsid w:val="00026AD9"/>
    <w:rsid w:val="00027353"/>
    <w:rsid w:val="000348AC"/>
    <w:rsid w:val="00041798"/>
    <w:rsid w:val="0007023E"/>
    <w:rsid w:val="00072983"/>
    <w:rsid w:val="000774A0"/>
    <w:rsid w:val="00090480"/>
    <w:rsid w:val="00092858"/>
    <w:rsid w:val="000967E4"/>
    <w:rsid w:val="00096B43"/>
    <w:rsid w:val="000A344F"/>
    <w:rsid w:val="000A493D"/>
    <w:rsid w:val="000B3F86"/>
    <w:rsid w:val="000D0DC1"/>
    <w:rsid w:val="000D7168"/>
    <w:rsid w:val="000F6608"/>
    <w:rsid w:val="00141650"/>
    <w:rsid w:val="00161159"/>
    <w:rsid w:val="00177BA5"/>
    <w:rsid w:val="00186169"/>
    <w:rsid w:val="001A1E29"/>
    <w:rsid w:val="001A228E"/>
    <w:rsid w:val="001B230A"/>
    <w:rsid w:val="001B443E"/>
    <w:rsid w:val="001C5E7C"/>
    <w:rsid w:val="001D4281"/>
    <w:rsid w:val="001D5CCC"/>
    <w:rsid w:val="001E762B"/>
    <w:rsid w:val="00202597"/>
    <w:rsid w:val="00202B8E"/>
    <w:rsid w:val="0020490F"/>
    <w:rsid w:val="00264BAF"/>
    <w:rsid w:val="00273235"/>
    <w:rsid w:val="00280149"/>
    <w:rsid w:val="002B29A4"/>
    <w:rsid w:val="002C6DC3"/>
    <w:rsid w:val="002E56DC"/>
    <w:rsid w:val="002E7C07"/>
    <w:rsid w:val="002F3907"/>
    <w:rsid w:val="003003F9"/>
    <w:rsid w:val="00316F49"/>
    <w:rsid w:val="003507E5"/>
    <w:rsid w:val="0036208B"/>
    <w:rsid w:val="00371450"/>
    <w:rsid w:val="00390B13"/>
    <w:rsid w:val="00393485"/>
    <w:rsid w:val="003A08D3"/>
    <w:rsid w:val="003D6CD4"/>
    <w:rsid w:val="003F5AC2"/>
    <w:rsid w:val="00414BD5"/>
    <w:rsid w:val="00440090"/>
    <w:rsid w:val="00442F31"/>
    <w:rsid w:val="00447C71"/>
    <w:rsid w:val="00452820"/>
    <w:rsid w:val="00454931"/>
    <w:rsid w:val="00463B6F"/>
    <w:rsid w:val="004B18EF"/>
    <w:rsid w:val="004B3991"/>
    <w:rsid w:val="004B767C"/>
    <w:rsid w:val="004F120B"/>
    <w:rsid w:val="004F424C"/>
    <w:rsid w:val="005001FB"/>
    <w:rsid w:val="00510ABC"/>
    <w:rsid w:val="00511633"/>
    <w:rsid w:val="005205A7"/>
    <w:rsid w:val="00521377"/>
    <w:rsid w:val="005546AD"/>
    <w:rsid w:val="00557BE4"/>
    <w:rsid w:val="00586E5B"/>
    <w:rsid w:val="005A7510"/>
    <w:rsid w:val="005B01B6"/>
    <w:rsid w:val="005C48A1"/>
    <w:rsid w:val="005D7E4D"/>
    <w:rsid w:val="005E5CE7"/>
    <w:rsid w:val="005E6356"/>
    <w:rsid w:val="005E6E8A"/>
    <w:rsid w:val="005F1905"/>
    <w:rsid w:val="005F648A"/>
    <w:rsid w:val="00600047"/>
    <w:rsid w:val="00601574"/>
    <w:rsid w:val="00612D9C"/>
    <w:rsid w:val="00614358"/>
    <w:rsid w:val="006152AD"/>
    <w:rsid w:val="0062767E"/>
    <w:rsid w:val="0063099F"/>
    <w:rsid w:val="00631237"/>
    <w:rsid w:val="00644342"/>
    <w:rsid w:val="00653A40"/>
    <w:rsid w:val="0066593B"/>
    <w:rsid w:val="006C0E70"/>
    <w:rsid w:val="006C6893"/>
    <w:rsid w:val="006C71FD"/>
    <w:rsid w:val="0070032D"/>
    <w:rsid w:val="0070688A"/>
    <w:rsid w:val="00725082"/>
    <w:rsid w:val="007423FB"/>
    <w:rsid w:val="0074354E"/>
    <w:rsid w:val="0078522C"/>
    <w:rsid w:val="00785800"/>
    <w:rsid w:val="00786364"/>
    <w:rsid w:val="0079126D"/>
    <w:rsid w:val="00792780"/>
    <w:rsid w:val="00800444"/>
    <w:rsid w:val="00800A99"/>
    <w:rsid w:val="00812CBD"/>
    <w:rsid w:val="00824411"/>
    <w:rsid w:val="0082747D"/>
    <w:rsid w:val="00827EDE"/>
    <w:rsid w:val="008314FC"/>
    <w:rsid w:val="00831FB5"/>
    <w:rsid w:val="0083270E"/>
    <w:rsid w:val="00832774"/>
    <w:rsid w:val="00851B42"/>
    <w:rsid w:val="008A11AF"/>
    <w:rsid w:val="008B2F54"/>
    <w:rsid w:val="008B6640"/>
    <w:rsid w:val="008E656C"/>
    <w:rsid w:val="00937627"/>
    <w:rsid w:val="00950349"/>
    <w:rsid w:val="009568D5"/>
    <w:rsid w:val="009A3E7F"/>
    <w:rsid w:val="009A4FCE"/>
    <w:rsid w:val="009B287C"/>
    <w:rsid w:val="009C34FF"/>
    <w:rsid w:val="009C6442"/>
    <w:rsid w:val="009E3981"/>
    <w:rsid w:val="00A10F42"/>
    <w:rsid w:val="00A20B23"/>
    <w:rsid w:val="00A213D8"/>
    <w:rsid w:val="00A656D3"/>
    <w:rsid w:val="00A744F3"/>
    <w:rsid w:val="00A833B5"/>
    <w:rsid w:val="00A83FBE"/>
    <w:rsid w:val="00A84B13"/>
    <w:rsid w:val="00A903C3"/>
    <w:rsid w:val="00A9341A"/>
    <w:rsid w:val="00AA2BB9"/>
    <w:rsid w:val="00AB0916"/>
    <w:rsid w:val="00AB1067"/>
    <w:rsid w:val="00AD17B2"/>
    <w:rsid w:val="00AD6B4F"/>
    <w:rsid w:val="00AE049C"/>
    <w:rsid w:val="00AF382E"/>
    <w:rsid w:val="00AF62C4"/>
    <w:rsid w:val="00B06CB1"/>
    <w:rsid w:val="00B24521"/>
    <w:rsid w:val="00B62749"/>
    <w:rsid w:val="00B90623"/>
    <w:rsid w:val="00C00C52"/>
    <w:rsid w:val="00C31920"/>
    <w:rsid w:val="00C440C9"/>
    <w:rsid w:val="00C4641E"/>
    <w:rsid w:val="00C46AB1"/>
    <w:rsid w:val="00C51481"/>
    <w:rsid w:val="00C665E7"/>
    <w:rsid w:val="00C667F8"/>
    <w:rsid w:val="00C81FD8"/>
    <w:rsid w:val="00CA75DC"/>
    <w:rsid w:val="00CB34B5"/>
    <w:rsid w:val="00CC2E65"/>
    <w:rsid w:val="00CC38AE"/>
    <w:rsid w:val="00CD5A8B"/>
    <w:rsid w:val="00CF5503"/>
    <w:rsid w:val="00D038D8"/>
    <w:rsid w:val="00D0577C"/>
    <w:rsid w:val="00D12149"/>
    <w:rsid w:val="00D1289A"/>
    <w:rsid w:val="00D152DE"/>
    <w:rsid w:val="00D22202"/>
    <w:rsid w:val="00D24C37"/>
    <w:rsid w:val="00D35643"/>
    <w:rsid w:val="00D4662A"/>
    <w:rsid w:val="00D55519"/>
    <w:rsid w:val="00D56303"/>
    <w:rsid w:val="00D73607"/>
    <w:rsid w:val="00D8717D"/>
    <w:rsid w:val="00D93633"/>
    <w:rsid w:val="00DC231F"/>
    <w:rsid w:val="00DC26BE"/>
    <w:rsid w:val="00DC2966"/>
    <w:rsid w:val="00DC58D3"/>
    <w:rsid w:val="00DD78E1"/>
    <w:rsid w:val="00E04584"/>
    <w:rsid w:val="00E21E9C"/>
    <w:rsid w:val="00E23D72"/>
    <w:rsid w:val="00E701EC"/>
    <w:rsid w:val="00E96154"/>
    <w:rsid w:val="00ED17F3"/>
    <w:rsid w:val="00ED3E9E"/>
    <w:rsid w:val="00EE6368"/>
    <w:rsid w:val="00EF35D7"/>
    <w:rsid w:val="00F4441F"/>
    <w:rsid w:val="00F44AF3"/>
    <w:rsid w:val="00F45912"/>
    <w:rsid w:val="00F65796"/>
    <w:rsid w:val="00F755F1"/>
    <w:rsid w:val="00F77E72"/>
    <w:rsid w:val="00F96F52"/>
    <w:rsid w:val="00FB0728"/>
    <w:rsid w:val="00FB226B"/>
    <w:rsid w:val="00FB4F76"/>
    <w:rsid w:val="00FB7753"/>
    <w:rsid w:val="00FF2B2E"/>
    <w:rsid w:val="00FF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E3226"/>
  <w15:chartTrackingRefBased/>
  <w15:docId w15:val="{6C776645-D6F6-4AA8-8C31-D09BA8A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81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81FD8"/>
    <w:rPr>
      <w:sz w:val="18"/>
      <w:szCs w:val="18"/>
    </w:rPr>
  </w:style>
  <w:style w:type="paragraph" w:styleId="a5">
    <w:name w:val="footer"/>
    <w:basedOn w:val="a"/>
    <w:link w:val="Char0"/>
    <w:uiPriority w:val="99"/>
    <w:unhideWhenUsed/>
    <w:rsid w:val="00C81FD8"/>
    <w:pPr>
      <w:tabs>
        <w:tab w:val="center" w:pos="4153"/>
        <w:tab w:val="right" w:pos="8306"/>
      </w:tabs>
      <w:snapToGrid w:val="0"/>
      <w:jc w:val="left"/>
    </w:pPr>
    <w:rPr>
      <w:sz w:val="18"/>
      <w:szCs w:val="18"/>
    </w:rPr>
  </w:style>
  <w:style w:type="character" w:customStyle="1" w:styleId="Char0">
    <w:name w:val="页脚 Char"/>
    <w:basedOn w:val="a0"/>
    <w:link w:val="a5"/>
    <w:uiPriority w:val="99"/>
    <w:rsid w:val="00C81FD8"/>
    <w:rPr>
      <w:sz w:val="18"/>
      <w:szCs w:val="18"/>
    </w:rPr>
  </w:style>
  <w:style w:type="paragraph" w:styleId="a6">
    <w:name w:val="List Paragraph"/>
    <w:basedOn w:val="a"/>
    <w:uiPriority w:val="34"/>
    <w:qFormat/>
    <w:rsid w:val="00E96154"/>
    <w:pPr>
      <w:ind w:firstLineChars="200" w:firstLine="420"/>
    </w:pPr>
  </w:style>
  <w:style w:type="character" w:styleId="a7">
    <w:name w:val="annotation reference"/>
    <w:basedOn w:val="a0"/>
    <w:uiPriority w:val="99"/>
    <w:semiHidden/>
    <w:unhideWhenUsed/>
    <w:rsid w:val="00D93633"/>
    <w:rPr>
      <w:sz w:val="21"/>
      <w:szCs w:val="21"/>
    </w:rPr>
  </w:style>
  <w:style w:type="paragraph" w:styleId="a8">
    <w:name w:val="annotation text"/>
    <w:basedOn w:val="a"/>
    <w:link w:val="Char1"/>
    <w:uiPriority w:val="99"/>
    <w:semiHidden/>
    <w:unhideWhenUsed/>
    <w:rsid w:val="00D93633"/>
    <w:pPr>
      <w:jc w:val="left"/>
    </w:pPr>
  </w:style>
  <w:style w:type="character" w:customStyle="1" w:styleId="Char1">
    <w:name w:val="批注文字 Char"/>
    <w:basedOn w:val="a0"/>
    <w:link w:val="a8"/>
    <w:uiPriority w:val="99"/>
    <w:semiHidden/>
    <w:rsid w:val="00D93633"/>
  </w:style>
  <w:style w:type="paragraph" w:styleId="a9">
    <w:name w:val="annotation subject"/>
    <w:basedOn w:val="a8"/>
    <w:next w:val="a8"/>
    <w:link w:val="Char2"/>
    <w:uiPriority w:val="99"/>
    <w:semiHidden/>
    <w:unhideWhenUsed/>
    <w:rsid w:val="00D93633"/>
    <w:rPr>
      <w:b/>
      <w:bCs/>
    </w:rPr>
  </w:style>
  <w:style w:type="character" w:customStyle="1" w:styleId="Char2">
    <w:name w:val="批注主题 Char"/>
    <w:basedOn w:val="Char1"/>
    <w:link w:val="a9"/>
    <w:uiPriority w:val="99"/>
    <w:semiHidden/>
    <w:rsid w:val="00D93633"/>
    <w:rPr>
      <w:b/>
      <w:bCs/>
    </w:rPr>
  </w:style>
  <w:style w:type="paragraph" w:styleId="aa">
    <w:name w:val="Balloon Text"/>
    <w:basedOn w:val="a"/>
    <w:link w:val="Char3"/>
    <w:uiPriority w:val="99"/>
    <w:semiHidden/>
    <w:unhideWhenUsed/>
    <w:rsid w:val="00D93633"/>
    <w:rPr>
      <w:sz w:val="18"/>
      <w:szCs w:val="18"/>
    </w:rPr>
  </w:style>
  <w:style w:type="character" w:customStyle="1" w:styleId="Char3">
    <w:name w:val="批注框文本 Char"/>
    <w:basedOn w:val="a0"/>
    <w:link w:val="aa"/>
    <w:uiPriority w:val="99"/>
    <w:semiHidden/>
    <w:rsid w:val="00D936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2024-11-25T10:16:00Z</dcterms:created>
  <dcterms:modified xsi:type="dcterms:W3CDTF">2024-11-25T10:29:00Z</dcterms:modified>
</cp:coreProperties>
</file>