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3090" w14:textId="77777777" w:rsidR="008F6D3B" w:rsidRPr="00F327FC" w:rsidRDefault="007170C7">
      <w:pPr>
        <w:rPr>
          <w:rFonts w:ascii="黑体" w:eastAsia="黑体" w:hAnsi="黑体" w:hint="eastAsia"/>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hint="eastAsia"/>
          <w:color w:val="FF0000"/>
          <w:sz w:val="44"/>
          <w:szCs w:val="44"/>
        </w:rPr>
      </w:pPr>
      <w:r w:rsidRPr="00F327FC">
        <w:rPr>
          <w:rFonts w:ascii="黑体" w:eastAsia="黑体" w:hAnsi="黑体" w:hint="eastAsia"/>
          <w:color w:val="FF0000"/>
          <w:sz w:val="44"/>
          <w:szCs w:val="44"/>
        </w:rPr>
        <w:t>投资者关系活动记录表</w:t>
      </w:r>
    </w:p>
    <w:p w14:paraId="2C005327" w14:textId="565BBF4D" w:rsidR="008F6D3B" w:rsidRDefault="007170C7" w:rsidP="00714154">
      <w:pPr>
        <w:jc w:val="right"/>
        <w:rPr>
          <w:rFonts w:ascii="宋体" w:eastAsia="宋体" w:hAnsi="宋体" w:hint="eastAsia"/>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001</w:t>
      </w:r>
    </w:p>
    <w:tbl>
      <w:tblPr>
        <w:tblStyle w:val="a9"/>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hint="eastAsia"/>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hint="eastAsia"/>
                <w:sz w:val="28"/>
                <w:szCs w:val="28"/>
              </w:rPr>
            </w:pPr>
            <w:r>
              <w:rPr>
                <w:rFonts w:ascii="宋体" w:eastAsia="宋体" w:hAnsi="宋体" w:hint="eastAsia"/>
                <w:sz w:val="28"/>
                <w:szCs w:val="28"/>
              </w:rPr>
              <w:t>参会单位</w:t>
            </w:r>
          </w:p>
        </w:tc>
        <w:tc>
          <w:tcPr>
            <w:tcW w:w="6749" w:type="dxa"/>
            <w:vAlign w:val="center"/>
          </w:tcPr>
          <w:p w14:paraId="17FF783B" w14:textId="5185F183" w:rsidR="008F6D3B" w:rsidRPr="00A10818" w:rsidRDefault="00404B14" w:rsidP="004F41D3">
            <w:pPr>
              <w:spacing w:line="540" w:lineRule="exact"/>
              <w:rPr>
                <w:rFonts w:ascii="宋体" w:eastAsia="宋体" w:hAnsi="宋体" w:hint="eastAsia"/>
                <w:sz w:val="28"/>
                <w:szCs w:val="28"/>
              </w:rPr>
            </w:pPr>
            <w:r>
              <w:rPr>
                <w:rFonts w:ascii="宋体" w:eastAsia="宋体" w:hAnsi="宋体" w:hint="eastAsia"/>
                <w:sz w:val="28"/>
                <w:szCs w:val="28"/>
              </w:rPr>
              <w:t>中国国际金融股份有限公司、上海宁泉资产管理有限公司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hint="eastAsia"/>
                <w:sz w:val="28"/>
                <w:szCs w:val="28"/>
              </w:rPr>
            </w:pPr>
            <w:r>
              <w:rPr>
                <w:rFonts w:ascii="宋体" w:eastAsia="宋体" w:hAnsi="宋体" w:hint="eastAsia"/>
                <w:sz w:val="28"/>
                <w:szCs w:val="28"/>
              </w:rPr>
              <w:t>时间</w:t>
            </w:r>
          </w:p>
        </w:tc>
        <w:tc>
          <w:tcPr>
            <w:tcW w:w="6749" w:type="dxa"/>
            <w:vAlign w:val="center"/>
          </w:tcPr>
          <w:p w14:paraId="55530FC8" w14:textId="683C8479" w:rsidR="008F6D3B" w:rsidRPr="00A10818" w:rsidRDefault="007170C7" w:rsidP="00A10818">
            <w:pPr>
              <w:spacing w:line="240" w:lineRule="auto"/>
              <w:rPr>
                <w:rFonts w:ascii="宋体" w:eastAsia="宋体" w:hAnsi="宋体" w:hint="eastAsia"/>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E102B2">
              <w:rPr>
                <w:rFonts w:ascii="宋体" w:eastAsia="宋体" w:hAnsi="宋体" w:hint="eastAsia"/>
                <w:sz w:val="28"/>
                <w:szCs w:val="28"/>
              </w:rPr>
              <w:t>2</w:t>
            </w:r>
            <w:r w:rsidRPr="00A10818">
              <w:rPr>
                <w:rFonts w:ascii="宋体" w:eastAsia="宋体" w:hAnsi="宋体" w:hint="eastAsia"/>
                <w:sz w:val="28"/>
                <w:szCs w:val="28"/>
              </w:rPr>
              <w:t>月</w:t>
            </w:r>
            <w:r w:rsidR="00E102B2">
              <w:rPr>
                <w:rFonts w:ascii="宋体" w:eastAsia="宋体" w:hAnsi="宋体" w:hint="eastAsia"/>
                <w:sz w:val="28"/>
                <w:szCs w:val="28"/>
              </w:rPr>
              <w:t>17</w:t>
            </w:r>
            <w:r w:rsidR="00A56397" w:rsidRPr="00A10818">
              <w:rPr>
                <w:rFonts w:ascii="宋体" w:eastAsia="宋体" w:hAnsi="宋体" w:hint="eastAsia"/>
                <w:sz w:val="28"/>
                <w:szCs w:val="28"/>
              </w:rPr>
              <w:t>日</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hint="eastAsia"/>
                <w:sz w:val="28"/>
                <w:szCs w:val="28"/>
              </w:rPr>
            </w:pPr>
            <w:r>
              <w:rPr>
                <w:rFonts w:ascii="宋体" w:eastAsia="宋体" w:hAnsi="宋体" w:hint="eastAsia"/>
                <w:sz w:val="28"/>
                <w:szCs w:val="28"/>
              </w:rPr>
              <w:t>地点及形式</w:t>
            </w:r>
          </w:p>
        </w:tc>
        <w:tc>
          <w:tcPr>
            <w:tcW w:w="6749" w:type="dxa"/>
            <w:vAlign w:val="center"/>
          </w:tcPr>
          <w:p w14:paraId="665FF475" w14:textId="3A7FD582" w:rsidR="008F6D3B" w:rsidRPr="00A10818" w:rsidRDefault="00A56397" w:rsidP="00A10818">
            <w:pPr>
              <w:spacing w:line="240" w:lineRule="auto"/>
              <w:rPr>
                <w:rFonts w:ascii="宋体" w:eastAsia="宋体" w:hAnsi="宋体" w:hint="eastAsia"/>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404B14">
              <w:rPr>
                <w:rFonts w:ascii="宋体" w:eastAsia="宋体" w:hAnsi="宋体" w:hint="eastAsia"/>
                <w:sz w:val="28"/>
                <w:szCs w:val="28"/>
              </w:rPr>
              <w:t>1006</w:t>
            </w:r>
            <w:r w:rsidRPr="00A10818">
              <w:rPr>
                <w:rFonts w:ascii="宋体" w:eastAsia="宋体" w:hAnsi="宋体" w:hint="eastAsia"/>
                <w:sz w:val="28"/>
                <w:szCs w:val="28"/>
              </w:rPr>
              <w:t>会</w:t>
            </w:r>
            <w:r w:rsidRPr="00A10818">
              <w:rPr>
                <w:rFonts w:ascii="宋体" w:eastAsia="宋体" w:hAnsi="宋体" w:cs="微软雅黑" w:hint="eastAsia"/>
                <w:sz w:val="28"/>
                <w:szCs w:val="28"/>
              </w:rPr>
              <w:t>议</w:t>
            </w:r>
            <w:r w:rsidRPr="00A10818">
              <w:rPr>
                <w:rFonts w:ascii="宋体" w:eastAsia="宋体" w:hAnsi="宋体" w:cs="MS Gothic" w:hint="eastAsia"/>
                <w:sz w:val="28"/>
                <w:szCs w:val="28"/>
              </w:rPr>
              <w:t>室</w:t>
            </w:r>
            <w:r w:rsidR="00A84FFF">
              <w:rPr>
                <w:rFonts w:ascii="宋体" w:eastAsia="宋体" w:hAnsi="宋体" w:cs="MS Gothic" w:hint="eastAsia"/>
                <w:sz w:val="28"/>
                <w:szCs w:val="28"/>
              </w:rPr>
              <w:t>视频会议</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hint="eastAsia"/>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hint="eastAsia"/>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hint="eastAsia"/>
                <w:sz w:val="28"/>
                <w:szCs w:val="28"/>
              </w:rPr>
            </w:pPr>
            <w:r>
              <w:rPr>
                <w:rFonts w:ascii="宋体" w:eastAsia="宋体" w:hAnsi="宋体" w:hint="eastAsia"/>
                <w:sz w:val="28"/>
                <w:szCs w:val="28"/>
              </w:rPr>
              <w:t>投资者关系活动主要内容</w:t>
            </w:r>
          </w:p>
        </w:tc>
        <w:tc>
          <w:tcPr>
            <w:tcW w:w="6749" w:type="dxa"/>
          </w:tcPr>
          <w:p w14:paraId="4EE14783"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问：公司与包钢股份稀土精矿交易定价机制如何？</w:t>
            </w:r>
          </w:p>
          <w:p w14:paraId="33813ECA" w14:textId="12BA218E"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w:t>
            </w:r>
            <w:r w:rsidRPr="00E102B2">
              <w:rPr>
                <w:rFonts w:ascii="宋体" w:eastAsia="宋体" w:hAnsi="宋体" w:hint="eastAsia"/>
                <w:sz w:val="28"/>
                <w:szCs w:val="28"/>
              </w:rPr>
              <w:lastRenderedPageBreak/>
              <w:t>行稳定。</w:t>
            </w:r>
          </w:p>
          <w:p w14:paraId="005288D4"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问：稀土精矿的库存周期会不会对公司的利润产生影响？</w:t>
            </w:r>
          </w:p>
          <w:p w14:paraId="7957DE64" w14:textId="09A5F0F2"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答：去年的稀土价格较为稳定，稀土精矿的价格也稳定在约1</w:t>
            </w:r>
            <w:r w:rsidR="00667A7A">
              <w:rPr>
                <w:rFonts w:ascii="宋体" w:eastAsia="宋体" w:hAnsi="宋体" w:hint="eastAsia"/>
                <w:sz w:val="28"/>
                <w:szCs w:val="28"/>
              </w:rPr>
              <w:t>.</w:t>
            </w:r>
            <w:r w:rsidRPr="00E102B2">
              <w:rPr>
                <w:rFonts w:ascii="宋体" w:eastAsia="宋体" w:hAnsi="宋体" w:hint="eastAsia"/>
                <w:sz w:val="28"/>
                <w:szCs w:val="28"/>
              </w:rPr>
              <w:t>6</w:t>
            </w:r>
            <w:r w:rsidR="00667A7A">
              <w:rPr>
                <w:rFonts w:ascii="宋体" w:eastAsia="宋体" w:hAnsi="宋体" w:hint="eastAsia"/>
                <w:sz w:val="28"/>
                <w:szCs w:val="28"/>
              </w:rPr>
              <w:t>万</w:t>
            </w:r>
            <w:r w:rsidRPr="00E102B2">
              <w:rPr>
                <w:rFonts w:ascii="宋体" w:eastAsia="宋体" w:hAnsi="宋体" w:hint="eastAsia"/>
                <w:sz w:val="28"/>
                <w:szCs w:val="28"/>
              </w:rPr>
              <w:t>元/</w:t>
            </w:r>
            <w:proofErr w:type="gramStart"/>
            <w:r w:rsidRPr="00E102B2">
              <w:rPr>
                <w:rFonts w:ascii="宋体" w:eastAsia="宋体" w:hAnsi="宋体" w:hint="eastAsia"/>
                <w:sz w:val="28"/>
                <w:szCs w:val="28"/>
              </w:rPr>
              <w:t>吨到2</w:t>
            </w:r>
            <w:r w:rsidR="00667A7A">
              <w:rPr>
                <w:rFonts w:ascii="宋体" w:eastAsia="宋体" w:hAnsi="宋体" w:hint="eastAsia"/>
                <w:sz w:val="28"/>
                <w:szCs w:val="28"/>
              </w:rPr>
              <w:t>万</w:t>
            </w:r>
            <w:r w:rsidRPr="00E102B2">
              <w:rPr>
                <w:rFonts w:ascii="宋体" w:eastAsia="宋体" w:hAnsi="宋体" w:hint="eastAsia"/>
                <w:sz w:val="28"/>
                <w:szCs w:val="28"/>
              </w:rPr>
              <w:t>元</w:t>
            </w:r>
            <w:proofErr w:type="gramEnd"/>
            <w:r w:rsidRPr="00E102B2">
              <w:rPr>
                <w:rFonts w:ascii="宋体" w:eastAsia="宋体" w:hAnsi="宋体" w:hint="eastAsia"/>
                <w:sz w:val="28"/>
                <w:szCs w:val="28"/>
              </w:rPr>
              <w:t>/吨之间，</w:t>
            </w:r>
            <w:r w:rsidR="00C009C3">
              <w:rPr>
                <w:rFonts w:ascii="宋体" w:eastAsia="宋体" w:hAnsi="宋体" w:hint="eastAsia"/>
                <w:sz w:val="28"/>
                <w:szCs w:val="28"/>
              </w:rPr>
              <w:t>稀土</w:t>
            </w:r>
            <w:r w:rsidRPr="00E102B2">
              <w:rPr>
                <w:rFonts w:ascii="宋体" w:eastAsia="宋体" w:hAnsi="宋体" w:hint="eastAsia"/>
                <w:sz w:val="28"/>
                <w:szCs w:val="28"/>
              </w:rPr>
              <w:t>精矿库存周期对当期利润的影响较小。</w:t>
            </w:r>
          </w:p>
          <w:p w14:paraId="3AFB9712"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问：未来轻稀土的总量控制指标和冶炼分离指标分配会不会逐渐向公司集中？预计今年的指标增量是多少？</w:t>
            </w:r>
          </w:p>
          <w:p w14:paraId="60DF4F40" w14:textId="6916D5D2"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答：《稀土管理条例》第十条明确规定：“国家根据稀土资源储量和种类差异、产业发展、生态保护、市场需求等因素，对稀土开采和稀土冶炼分离实行总量调控，并优化动态管理。” 国家下达指标会按照《条例》明确的稀土资源储量和种类差异、产业发展等因素对稀土开采和稀土冶炼分离实行总量调控，并优化动态管理，指标的具体增量还需要</w:t>
            </w:r>
            <w:r w:rsidR="00C009C3">
              <w:rPr>
                <w:rFonts w:ascii="宋体" w:eastAsia="宋体" w:hAnsi="宋体" w:hint="eastAsia"/>
                <w:sz w:val="28"/>
                <w:szCs w:val="28"/>
              </w:rPr>
              <w:t>综合考虑</w:t>
            </w:r>
            <w:r w:rsidRPr="00E102B2">
              <w:rPr>
                <w:rFonts w:ascii="宋体" w:eastAsia="宋体" w:hAnsi="宋体" w:hint="eastAsia"/>
                <w:sz w:val="28"/>
                <w:szCs w:val="28"/>
              </w:rPr>
              <w:t>市场情况</w:t>
            </w:r>
            <w:r w:rsidR="00C009C3">
              <w:rPr>
                <w:rFonts w:ascii="宋体" w:eastAsia="宋体" w:hAnsi="宋体" w:hint="eastAsia"/>
                <w:sz w:val="28"/>
                <w:szCs w:val="28"/>
              </w:rPr>
              <w:t>等因素</w:t>
            </w:r>
            <w:r w:rsidRPr="00E102B2">
              <w:rPr>
                <w:rFonts w:ascii="宋体" w:eastAsia="宋体" w:hAnsi="宋体" w:hint="eastAsia"/>
                <w:sz w:val="28"/>
                <w:szCs w:val="28"/>
              </w:rPr>
              <w:t>。</w:t>
            </w:r>
          </w:p>
          <w:p w14:paraId="71F02F8D"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问：公司的实际生产和稀土总量控制指标之间存在差异吗？</w:t>
            </w:r>
          </w:p>
          <w:p w14:paraId="265D243E" w14:textId="1AE1D712"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答：公司严格按照国家下达的总量控制指标组织生产，</w:t>
            </w:r>
            <w:r w:rsidR="00C009C3">
              <w:rPr>
                <w:rFonts w:ascii="宋体" w:eastAsia="宋体" w:hAnsi="宋体" w:hint="eastAsia"/>
                <w:sz w:val="28"/>
                <w:szCs w:val="28"/>
              </w:rPr>
              <w:t>同时</w:t>
            </w:r>
            <w:r w:rsidRPr="00E102B2">
              <w:rPr>
                <w:rFonts w:ascii="宋体" w:eastAsia="宋体" w:hAnsi="宋体" w:hint="eastAsia"/>
                <w:sz w:val="28"/>
                <w:szCs w:val="28"/>
              </w:rPr>
              <w:t>补充少量进口</w:t>
            </w:r>
            <w:proofErr w:type="gramStart"/>
            <w:r w:rsidRPr="00E102B2">
              <w:rPr>
                <w:rFonts w:ascii="宋体" w:eastAsia="宋体" w:hAnsi="宋体" w:hint="eastAsia"/>
                <w:sz w:val="28"/>
                <w:szCs w:val="28"/>
              </w:rPr>
              <w:t>矿</w:t>
            </w:r>
            <w:r w:rsidR="008D60B4">
              <w:rPr>
                <w:rFonts w:ascii="宋体" w:eastAsia="宋体" w:hAnsi="宋体"/>
                <w:sz w:val="28"/>
                <w:szCs w:val="28"/>
              </w:rPr>
              <w:t>满足</w:t>
            </w:r>
            <w:proofErr w:type="gramEnd"/>
            <w:r w:rsidRPr="00E102B2">
              <w:rPr>
                <w:rFonts w:ascii="宋体" w:eastAsia="宋体" w:hAnsi="宋体" w:hint="eastAsia"/>
                <w:sz w:val="28"/>
                <w:szCs w:val="28"/>
              </w:rPr>
              <w:t>市场需求。</w:t>
            </w:r>
          </w:p>
          <w:p w14:paraId="5E442747" w14:textId="3C561668"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问：公</w:t>
            </w:r>
            <w:r w:rsidR="00547A54">
              <w:rPr>
                <w:rFonts w:ascii="宋体" w:eastAsia="宋体" w:hAnsi="宋体" w:hint="eastAsia"/>
                <w:b/>
                <w:sz w:val="28"/>
                <w:szCs w:val="28"/>
              </w:rPr>
              <w:t>司如何在负责稀土冶炼分离的子公司中分配稀土冶炼分离指标</w:t>
            </w:r>
            <w:r w:rsidRPr="00E102B2">
              <w:rPr>
                <w:rFonts w:ascii="宋体" w:eastAsia="宋体" w:hAnsi="宋体" w:hint="eastAsia"/>
                <w:b/>
                <w:sz w:val="28"/>
                <w:szCs w:val="28"/>
              </w:rPr>
              <w:t>？</w:t>
            </w:r>
          </w:p>
          <w:p w14:paraId="77A3B6F1" w14:textId="4DAC2FD8" w:rsidR="00E102B2" w:rsidRPr="00E102B2" w:rsidRDefault="00547A54" w:rsidP="00E102B2">
            <w:pPr>
              <w:spacing w:line="520" w:lineRule="exact"/>
              <w:ind w:firstLineChars="200" w:firstLine="560"/>
              <w:rPr>
                <w:rFonts w:ascii="宋体" w:eastAsia="宋体" w:hAnsi="宋体" w:hint="eastAsia"/>
                <w:sz w:val="28"/>
                <w:szCs w:val="28"/>
              </w:rPr>
            </w:pPr>
            <w:r>
              <w:rPr>
                <w:rFonts w:ascii="宋体" w:eastAsia="宋体" w:hAnsi="宋体" w:hint="eastAsia"/>
                <w:sz w:val="28"/>
                <w:szCs w:val="28"/>
              </w:rPr>
              <w:t>答：公司根据各分</w:t>
            </w:r>
            <w:r w:rsidR="008D60B4">
              <w:rPr>
                <w:rFonts w:ascii="宋体" w:eastAsia="宋体" w:hAnsi="宋体" w:hint="eastAsia"/>
                <w:sz w:val="28"/>
                <w:szCs w:val="28"/>
              </w:rPr>
              <w:t>、</w:t>
            </w:r>
            <w:r>
              <w:rPr>
                <w:rFonts w:ascii="宋体" w:eastAsia="宋体" w:hAnsi="宋体" w:hint="eastAsia"/>
                <w:sz w:val="28"/>
                <w:szCs w:val="28"/>
              </w:rPr>
              <w:t>子公司的生产成本控制情况、环保情况等因素</w:t>
            </w:r>
            <w:r w:rsidR="00E102B2" w:rsidRPr="00E102B2">
              <w:rPr>
                <w:rFonts w:ascii="宋体" w:eastAsia="宋体" w:hAnsi="宋体" w:hint="eastAsia"/>
                <w:sz w:val="28"/>
                <w:szCs w:val="28"/>
              </w:rPr>
              <w:t xml:space="preserve">分配稀土冶炼分离指标，对环保不达标的企业不分配指标。 </w:t>
            </w:r>
          </w:p>
          <w:p w14:paraId="5EAE27D2"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lastRenderedPageBreak/>
              <w:t>问：公司稀土产品的销售模式是什么？长协和现货的占比大概是多少？</w:t>
            </w:r>
          </w:p>
          <w:p w14:paraId="5A3A8F42" w14:textId="77777777"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答：公司目前向下游磁材企业出售的稀土产品一般采取长协、零售和竞拍的销售模式，长协约占50%以上。</w:t>
            </w:r>
          </w:p>
          <w:p w14:paraId="1396CD5E" w14:textId="77777777"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问：公司布局稀土磁材业务，主要出售什么类型的产品？覆盖那些应用领域和哪些客户？原料全部是自给的吗？</w:t>
            </w:r>
          </w:p>
          <w:p w14:paraId="1B514254" w14:textId="310FAAF8"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答：公司自上市以来</w:t>
            </w:r>
            <w:r w:rsidR="008D60B4">
              <w:rPr>
                <w:rFonts w:ascii="宋体" w:eastAsia="宋体" w:hAnsi="宋体" w:hint="eastAsia"/>
                <w:sz w:val="28"/>
                <w:szCs w:val="28"/>
              </w:rPr>
              <w:t>通过资本运作</w:t>
            </w:r>
            <w:r w:rsidRPr="00E102B2">
              <w:rPr>
                <w:rFonts w:ascii="宋体" w:eastAsia="宋体" w:hAnsi="宋体" w:hint="eastAsia"/>
                <w:sz w:val="28"/>
                <w:szCs w:val="28"/>
              </w:rPr>
              <w:t>向下游</w:t>
            </w:r>
            <w:r w:rsidR="008D60B4">
              <w:rPr>
                <w:rFonts w:ascii="宋体" w:eastAsia="宋体" w:hAnsi="宋体" w:hint="eastAsia"/>
                <w:sz w:val="28"/>
                <w:szCs w:val="28"/>
              </w:rPr>
              <w:t>高端高附加值产业</w:t>
            </w:r>
            <w:proofErr w:type="gramStart"/>
            <w:r w:rsidR="008D60B4">
              <w:rPr>
                <w:rFonts w:ascii="宋体" w:eastAsia="宋体" w:hAnsi="宋体" w:hint="eastAsia"/>
                <w:sz w:val="28"/>
                <w:szCs w:val="28"/>
              </w:rPr>
              <w:t>延链补链强链</w:t>
            </w:r>
            <w:proofErr w:type="gramEnd"/>
            <w:r w:rsidR="008D60B4">
              <w:rPr>
                <w:rFonts w:ascii="宋体" w:eastAsia="宋体" w:hAnsi="宋体" w:hint="eastAsia"/>
                <w:sz w:val="28"/>
                <w:szCs w:val="28"/>
              </w:rPr>
              <w:t>。</w:t>
            </w:r>
            <w:r w:rsidR="008D60B4">
              <w:rPr>
                <w:rFonts w:ascii="宋体" w:eastAsia="宋体" w:hAnsi="宋体"/>
                <w:sz w:val="28"/>
                <w:szCs w:val="28"/>
              </w:rPr>
              <w:t>近年来</w:t>
            </w:r>
            <w:r w:rsidR="008D60B4">
              <w:rPr>
                <w:rFonts w:ascii="宋体" w:eastAsia="宋体" w:hAnsi="宋体" w:hint="eastAsia"/>
                <w:sz w:val="28"/>
                <w:szCs w:val="28"/>
              </w:rPr>
              <w:t>，专业化</w:t>
            </w:r>
            <w:r w:rsidRPr="00E102B2">
              <w:rPr>
                <w:rFonts w:ascii="宋体" w:eastAsia="宋体" w:hAnsi="宋体" w:hint="eastAsia"/>
                <w:sz w:val="28"/>
                <w:szCs w:val="28"/>
              </w:rPr>
              <w:t>整合包钢磁材、宁波展昊、北京三吉利、安徽永磁四家</w:t>
            </w:r>
            <w:r w:rsidR="008D60B4">
              <w:rPr>
                <w:rFonts w:ascii="宋体" w:eastAsia="宋体" w:hAnsi="宋体" w:hint="eastAsia"/>
                <w:sz w:val="28"/>
                <w:szCs w:val="28"/>
              </w:rPr>
              <w:t>所属</w:t>
            </w:r>
            <w:r w:rsidRPr="00E102B2">
              <w:rPr>
                <w:rFonts w:ascii="宋体" w:eastAsia="宋体" w:hAnsi="宋体" w:hint="eastAsia"/>
                <w:sz w:val="28"/>
                <w:szCs w:val="28"/>
              </w:rPr>
              <w:t>磁材企业，成立内蒙古北方稀土磁性材料有限责任公司（以下简称北方磁材）</w:t>
            </w:r>
            <w:r w:rsidR="00E2207B">
              <w:rPr>
                <w:rFonts w:ascii="宋体" w:eastAsia="宋体" w:hAnsi="宋体" w:hint="eastAsia"/>
                <w:sz w:val="28"/>
                <w:szCs w:val="28"/>
              </w:rPr>
              <w:t>，增强磁材产业竞争力和价值创造力</w:t>
            </w:r>
            <w:r w:rsidRPr="00E102B2">
              <w:rPr>
                <w:rFonts w:ascii="宋体" w:eastAsia="宋体" w:hAnsi="宋体" w:hint="eastAsia"/>
                <w:sz w:val="28"/>
                <w:szCs w:val="28"/>
              </w:rPr>
              <w:t>。北方磁材专业从事高品质钕铁硼速凝薄带合金及粘结钕铁硼（MQ粉）研发、生产和销售，具有9万吨产能，拥有行业先进的速凝合金生产设备和</w:t>
            </w:r>
            <w:proofErr w:type="gramStart"/>
            <w:r w:rsidRPr="00E102B2">
              <w:rPr>
                <w:rFonts w:ascii="宋体" w:eastAsia="宋体" w:hAnsi="宋体" w:hint="eastAsia"/>
                <w:sz w:val="28"/>
                <w:szCs w:val="28"/>
              </w:rPr>
              <w:t>自动化数智化</w:t>
            </w:r>
            <w:proofErr w:type="gramEnd"/>
            <w:r w:rsidRPr="00E102B2">
              <w:rPr>
                <w:rFonts w:ascii="宋体" w:eastAsia="宋体" w:hAnsi="宋体" w:hint="eastAsia"/>
                <w:sz w:val="28"/>
                <w:szCs w:val="28"/>
              </w:rPr>
              <w:t>技术水平一流的生产线及60多项速凝合金制备相关专利技术，生产的高品质磁材合金产品广泛应用于新能源汽车、风力发电、伺服马达、空调压缩机、机器人、扬声器、硬盘驱动器、传感器等领域</w:t>
            </w:r>
            <w:r w:rsidR="00D45FD1">
              <w:rPr>
                <w:rFonts w:ascii="宋体" w:eastAsia="宋体" w:hAnsi="宋体" w:hint="eastAsia"/>
                <w:sz w:val="28"/>
                <w:szCs w:val="28"/>
              </w:rPr>
              <w:t>。</w:t>
            </w:r>
            <w:r w:rsidR="00D45FD1" w:rsidRPr="00D45FD1">
              <w:rPr>
                <w:rFonts w:ascii="宋体" w:eastAsia="宋体" w:hAnsi="宋体" w:hint="eastAsia"/>
                <w:sz w:val="28"/>
                <w:szCs w:val="28"/>
              </w:rPr>
              <w:t>公司与安泰科技及子公司北方磁材合资成立了</w:t>
            </w:r>
            <w:r w:rsidR="00D45FD1">
              <w:rPr>
                <w:rFonts w:ascii="宋体" w:eastAsia="宋体" w:hAnsi="宋体" w:hint="eastAsia"/>
                <w:sz w:val="28"/>
                <w:szCs w:val="28"/>
              </w:rPr>
              <w:t>安泰北方科技有限公司，</w:t>
            </w:r>
            <w:r w:rsidR="00D45FD1" w:rsidRPr="00D45FD1">
              <w:rPr>
                <w:rFonts w:ascii="宋体" w:eastAsia="宋体" w:hAnsi="宋体" w:hint="eastAsia"/>
                <w:sz w:val="28"/>
                <w:szCs w:val="28"/>
              </w:rPr>
              <w:t>建成磁体生产线，丰富磁体产品品种，提高产品品质，提升磁性材料产业磁体产能规模、产品盈利能力和产业发展质量</w:t>
            </w:r>
            <w:r w:rsidR="00D45FD1">
              <w:rPr>
                <w:rFonts w:ascii="宋体" w:eastAsia="宋体" w:hAnsi="宋体" w:hint="eastAsia"/>
                <w:sz w:val="28"/>
                <w:szCs w:val="28"/>
              </w:rPr>
              <w:t>；</w:t>
            </w:r>
            <w:r w:rsidR="006F4E85" w:rsidRPr="006F4E85">
              <w:rPr>
                <w:rFonts w:ascii="宋体" w:eastAsia="宋体" w:hAnsi="宋体" w:hint="eastAsia"/>
                <w:sz w:val="28"/>
                <w:szCs w:val="28"/>
              </w:rPr>
              <w:t>与宁波</w:t>
            </w:r>
            <w:proofErr w:type="gramStart"/>
            <w:r w:rsidR="006F4E85" w:rsidRPr="006F4E85">
              <w:rPr>
                <w:rFonts w:ascii="宋体" w:eastAsia="宋体" w:hAnsi="宋体" w:hint="eastAsia"/>
                <w:sz w:val="28"/>
                <w:szCs w:val="28"/>
              </w:rPr>
              <w:t>招宝磁业有限公司</w:t>
            </w:r>
            <w:proofErr w:type="gramEnd"/>
            <w:r w:rsidR="006F4E85" w:rsidRPr="006F4E85">
              <w:rPr>
                <w:rFonts w:ascii="宋体" w:eastAsia="宋体" w:hAnsi="宋体" w:hint="eastAsia"/>
                <w:sz w:val="28"/>
                <w:szCs w:val="28"/>
              </w:rPr>
              <w:t>、苏州通润驱动设备股份有限公司、宁波</w:t>
            </w:r>
            <w:proofErr w:type="gramStart"/>
            <w:r w:rsidR="006F4E85" w:rsidRPr="006F4E85">
              <w:rPr>
                <w:rFonts w:ascii="宋体" w:eastAsia="宋体" w:hAnsi="宋体" w:hint="eastAsia"/>
                <w:sz w:val="28"/>
                <w:szCs w:val="28"/>
              </w:rPr>
              <w:t>西磁科技</w:t>
            </w:r>
            <w:proofErr w:type="gramEnd"/>
            <w:r w:rsidR="006F4E85" w:rsidRPr="006F4E85">
              <w:rPr>
                <w:rFonts w:ascii="宋体" w:eastAsia="宋体" w:hAnsi="宋体" w:hint="eastAsia"/>
                <w:sz w:val="28"/>
                <w:szCs w:val="28"/>
              </w:rPr>
              <w:t>发展股份有限公司共同出资成立北方招宝磁业（内蒙古）有限公司</w:t>
            </w:r>
            <w:r w:rsidR="006F4E85">
              <w:rPr>
                <w:rFonts w:ascii="宋体" w:eastAsia="宋体" w:hAnsi="宋体" w:hint="eastAsia"/>
                <w:sz w:val="28"/>
                <w:szCs w:val="28"/>
              </w:rPr>
              <w:t>，</w:t>
            </w:r>
            <w:r w:rsidR="004843A1" w:rsidRPr="004843A1">
              <w:rPr>
                <w:rFonts w:ascii="宋体" w:eastAsia="宋体" w:hAnsi="宋体" w:hint="eastAsia"/>
                <w:sz w:val="28"/>
                <w:szCs w:val="28"/>
              </w:rPr>
              <w:t>提升</w:t>
            </w:r>
            <w:r w:rsidR="004843A1" w:rsidRPr="004843A1">
              <w:rPr>
                <w:rFonts w:ascii="宋体" w:eastAsia="宋体" w:hAnsi="宋体" w:hint="eastAsia"/>
                <w:sz w:val="28"/>
                <w:szCs w:val="28"/>
              </w:rPr>
              <w:lastRenderedPageBreak/>
              <w:t>磁性材料</w:t>
            </w:r>
            <w:r w:rsidR="004843A1">
              <w:rPr>
                <w:rFonts w:ascii="宋体" w:eastAsia="宋体" w:hAnsi="宋体" w:hint="eastAsia"/>
                <w:sz w:val="28"/>
                <w:szCs w:val="28"/>
              </w:rPr>
              <w:t>产能和技术水平，增强磁性材料产品市场竞争力和产业</w:t>
            </w:r>
            <w:proofErr w:type="gramStart"/>
            <w:r w:rsidR="004843A1">
              <w:rPr>
                <w:rFonts w:ascii="宋体" w:eastAsia="宋体" w:hAnsi="宋体" w:hint="eastAsia"/>
                <w:sz w:val="28"/>
                <w:szCs w:val="28"/>
              </w:rPr>
              <w:t>链价值</w:t>
            </w:r>
            <w:proofErr w:type="gramEnd"/>
            <w:r w:rsidR="004843A1">
              <w:rPr>
                <w:rFonts w:ascii="宋体" w:eastAsia="宋体" w:hAnsi="宋体" w:hint="eastAsia"/>
                <w:sz w:val="28"/>
                <w:szCs w:val="28"/>
              </w:rPr>
              <w:t>创造能力</w:t>
            </w:r>
            <w:r w:rsidR="00D45FD1" w:rsidRPr="00D45FD1">
              <w:rPr>
                <w:rFonts w:ascii="宋体" w:eastAsia="宋体" w:hAnsi="宋体" w:hint="eastAsia"/>
                <w:sz w:val="28"/>
                <w:szCs w:val="28"/>
              </w:rPr>
              <w:t>。</w:t>
            </w:r>
            <w:r w:rsidRPr="00E102B2">
              <w:rPr>
                <w:rFonts w:ascii="宋体" w:eastAsia="宋体" w:hAnsi="宋体" w:hint="eastAsia"/>
                <w:sz w:val="28"/>
                <w:szCs w:val="28"/>
              </w:rPr>
              <w:t>与多家下游磁体企业建立了战略合作关系，</w:t>
            </w:r>
            <w:r w:rsidR="006F4E85">
              <w:rPr>
                <w:rFonts w:ascii="宋体" w:eastAsia="宋体" w:hAnsi="宋体" w:hint="eastAsia"/>
                <w:sz w:val="28"/>
                <w:szCs w:val="28"/>
              </w:rPr>
              <w:t>金力永磁、宁波韵升、正海磁材、中科三环等皆为公司主要客户，不断深化拓展海外市场。北方磁材的</w:t>
            </w:r>
            <w:r w:rsidRPr="00E102B2">
              <w:rPr>
                <w:rFonts w:ascii="宋体" w:eastAsia="宋体" w:hAnsi="宋体" w:hint="eastAsia"/>
                <w:sz w:val="28"/>
                <w:szCs w:val="28"/>
              </w:rPr>
              <w:t>原料</w:t>
            </w:r>
            <w:r w:rsidR="006F4E85">
              <w:rPr>
                <w:rFonts w:ascii="宋体" w:eastAsia="宋体" w:hAnsi="宋体" w:hint="eastAsia"/>
                <w:sz w:val="28"/>
                <w:szCs w:val="28"/>
              </w:rPr>
              <w:t>分为自有和外购两部分</w:t>
            </w:r>
            <w:r w:rsidRPr="00E102B2">
              <w:rPr>
                <w:rFonts w:ascii="宋体" w:eastAsia="宋体" w:hAnsi="宋体" w:hint="eastAsia"/>
                <w:sz w:val="28"/>
                <w:szCs w:val="28"/>
              </w:rPr>
              <w:t>，</w:t>
            </w:r>
            <w:r w:rsidR="006F4E85">
              <w:rPr>
                <w:rFonts w:ascii="宋体" w:eastAsia="宋体" w:hAnsi="宋体" w:hint="eastAsia"/>
                <w:sz w:val="28"/>
                <w:szCs w:val="28"/>
              </w:rPr>
              <w:t>公司不生产的</w:t>
            </w:r>
            <w:r w:rsidRPr="00E102B2">
              <w:rPr>
                <w:rFonts w:ascii="宋体" w:eastAsia="宋体" w:hAnsi="宋体" w:hint="eastAsia"/>
                <w:sz w:val="28"/>
                <w:szCs w:val="28"/>
              </w:rPr>
              <w:t>对外采购。</w:t>
            </w:r>
          </w:p>
          <w:p w14:paraId="176A4651" w14:textId="3B8E71C8" w:rsidR="00E102B2" w:rsidRPr="00E102B2" w:rsidRDefault="00E102B2" w:rsidP="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问：公司目前的资本开支情况</w:t>
            </w:r>
            <w:r w:rsidR="00547A54">
              <w:rPr>
                <w:rFonts w:ascii="宋体" w:eastAsia="宋体" w:hAnsi="宋体" w:hint="eastAsia"/>
                <w:b/>
                <w:sz w:val="28"/>
                <w:szCs w:val="28"/>
              </w:rPr>
              <w:t>如何</w:t>
            </w:r>
            <w:r w:rsidRPr="00E102B2">
              <w:rPr>
                <w:rFonts w:ascii="宋体" w:eastAsia="宋体" w:hAnsi="宋体" w:hint="eastAsia"/>
                <w:b/>
                <w:sz w:val="28"/>
                <w:szCs w:val="28"/>
              </w:rPr>
              <w:t>？未来在分红有规划吗？</w:t>
            </w:r>
          </w:p>
          <w:p w14:paraId="437278AA" w14:textId="425BBE0D" w:rsidR="0014515E"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答：公司目前</w:t>
            </w:r>
            <w:r w:rsidR="0014515E">
              <w:rPr>
                <w:rFonts w:ascii="宋体" w:eastAsia="宋体" w:hAnsi="宋体" w:hint="eastAsia"/>
                <w:sz w:val="28"/>
                <w:szCs w:val="28"/>
              </w:rPr>
              <w:t>较大</w:t>
            </w:r>
            <w:r w:rsidRPr="00E102B2">
              <w:rPr>
                <w:rFonts w:ascii="宋体" w:eastAsia="宋体" w:hAnsi="宋体" w:hint="eastAsia"/>
                <w:sz w:val="28"/>
                <w:szCs w:val="28"/>
              </w:rPr>
              <w:t>的资本开支是投资不超过78亿元建设</w:t>
            </w:r>
            <w:r w:rsidR="00C17C63">
              <w:rPr>
                <w:rFonts w:ascii="宋体" w:eastAsia="宋体" w:hAnsi="宋体" w:hint="eastAsia"/>
                <w:sz w:val="28"/>
                <w:szCs w:val="28"/>
              </w:rPr>
              <w:t>新一代绿色采选冶稀土</w:t>
            </w:r>
            <w:r w:rsidRPr="00E102B2">
              <w:rPr>
                <w:rFonts w:ascii="宋体" w:eastAsia="宋体" w:hAnsi="宋体" w:hint="eastAsia"/>
                <w:sz w:val="28"/>
                <w:szCs w:val="28"/>
              </w:rPr>
              <w:t>绿色冶炼升级改造项目，其他股权投资和基建技改投资都在按计划稳步进行。公司每年</w:t>
            </w:r>
            <w:r w:rsidR="00547A54">
              <w:rPr>
                <w:rFonts w:ascii="宋体" w:eastAsia="宋体" w:hAnsi="宋体" w:hint="eastAsia"/>
                <w:sz w:val="28"/>
                <w:szCs w:val="28"/>
              </w:rPr>
              <w:t>根据</w:t>
            </w:r>
            <w:r w:rsidRPr="00E102B2">
              <w:rPr>
                <w:rFonts w:ascii="宋体" w:eastAsia="宋体" w:hAnsi="宋体" w:hint="eastAsia"/>
                <w:sz w:val="28"/>
                <w:szCs w:val="28"/>
              </w:rPr>
              <w:t>市场形势、自身发展、资金情况和产业相关政策配套等制定投资计划</w:t>
            </w:r>
            <w:r w:rsidR="00C17C63">
              <w:rPr>
                <w:rFonts w:ascii="宋体" w:eastAsia="宋体" w:hAnsi="宋体" w:hint="eastAsia"/>
                <w:sz w:val="28"/>
                <w:szCs w:val="28"/>
              </w:rPr>
              <w:t>，按计划实施投资和项目建设</w:t>
            </w:r>
            <w:r w:rsidRPr="00E102B2">
              <w:rPr>
                <w:rFonts w:ascii="宋体" w:eastAsia="宋体" w:hAnsi="宋体" w:hint="eastAsia"/>
                <w:sz w:val="28"/>
                <w:szCs w:val="28"/>
              </w:rPr>
              <w:t>。</w:t>
            </w:r>
          </w:p>
          <w:p w14:paraId="631854EF" w14:textId="1263E7E8"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公司重视回报股东</w:t>
            </w:r>
            <w:r w:rsidRPr="002A3C87">
              <w:rPr>
                <w:rFonts w:ascii="宋体" w:eastAsia="宋体" w:hAnsi="宋体" w:hint="eastAsia"/>
                <w:sz w:val="28"/>
                <w:szCs w:val="28"/>
              </w:rPr>
              <w:t>，上市以来累计分红</w:t>
            </w:r>
            <w:r w:rsidR="002A3C87" w:rsidRPr="002A3C87">
              <w:rPr>
                <w:rFonts w:ascii="宋体" w:eastAsia="宋体" w:hAnsi="宋体"/>
                <w:sz w:val="28"/>
                <w:szCs w:val="28"/>
              </w:rPr>
              <w:t>54.19</w:t>
            </w:r>
            <w:r w:rsidRPr="002A3C87">
              <w:rPr>
                <w:rFonts w:ascii="宋体" w:eastAsia="宋体" w:hAnsi="宋体" w:hint="eastAsia"/>
                <w:sz w:val="28"/>
                <w:szCs w:val="28"/>
              </w:rPr>
              <w:t>亿元。2012-2021年度公司每年分红比例均超过30%，连续10年分红</w:t>
            </w:r>
            <w:proofErr w:type="gramStart"/>
            <w:r w:rsidRPr="002A3C87">
              <w:rPr>
                <w:rFonts w:ascii="宋体" w:eastAsia="宋体" w:hAnsi="宋体" w:hint="eastAsia"/>
                <w:sz w:val="28"/>
                <w:szCs w:val="28"/>
              </w:rPr>
              <w:t>比例超</w:t>
            </w:r>
            <w:proofErr w:type="gramEnd"/>
            <w:r w:rsidRPr="002A3C87">
              <w:rPr>
                <w:rFonts w:ascii="宋体" w:eastAsia="宋体" w:hAnsi="宋体" w:hint="eastAsia"/>
                <w:sz w:val="28"/>
                <w:szCs w:val="28"/>
              </w:rPr>
              <w:t>30%。2023年度分红比例低于30%，主要是由于留存未分配利润</w:t>
            </w:r>
            <w:r w:rsidRPr="00E102B2">
              <w:rPr>
                <w:rFonts w:ascii="宋体" w:eastAsia="宋体" w:hAnsi="宋体" w:hint="eastAsia"/>
                <w:sz w:val="28"/>
                <w:szCs w:val="28"/>
              </w:rPr>
              <w:t>用于公司绿色冶炼升级改造项目建设。</w:t>
            </w:r>
            <w:r w:rsidR="00FE2CD3">
              <w:rPr>
                <w:rFonts w:ascii="宋体" w:eastAsia="宋体" w:hAnsi="宋体" w:hint="eastAsia"/>
                <w:sz w:val="28"/>
                <w:szCs w:val="28"/>
              </w:rPr>
              <w:t>公司将坚持以“投资者为本”，按照《章程》《</w:t>
            </w:r>
            <w:r w:rsidR="00FE2CD3" w:rsidRPr="00FE2CD3">
              <w:rPr>
                <w:rFonts w:ascii="宋体" w:eastAsia="宋体" w:hAnsi="宋体" w:hint="eastAsia"/>
                <w:sz w:val="28"/>
                <w:szCs w:val="28"/>
              </w:rPr>
              <w:t>股东回报规划（2023—2025）</w:t>
            </w:r>
            <w:r w:rsidR="00FE2CD3">
              <w:rPr>
                <w:rFonts w:ascii="宋体" w:eastAsia="宋体" w:hAnsi="宋体" w:hint="eastAsia"/>
                <w:sz w:val="28"/>
                <w:szCs w:val="28"/>
              </w:rPr>
              <w:t>》，综合考虑公司</w:t>
            </w:r>
            <w:r w:rsidR="00FE2CD3" w:rsidRPr="00FE2CD3">
              <w:rPr>
                <w:rFonts w:ascii="宋体" w:eastAsia="宋体" w:hAnsi="宋体" w:hint="eastAsia"/>
                <w:sz w:val="28"/>
                <w:szCs w:val="28"/>
              </w:rPr>
              <w:t>盈利规模、现金流状况、所处发展阶段、</w:t>
            </w:r>
            <w:r w:rsidR="00FE2CD3">
              <w:rPr>
                <w:rFonts w:ascii="宋体" w:eastAsia="宋体" w:hAnsi="宋体" w:hint="eastAsia"/>
                <w:sz w:val="28"/>
                <w:szCs w:val="28"/>
              </w:rPr>
              <w:t>资本运作</w:t>
            </w:r>
            <w:r w:rsidR="00FE2CD3" w:rsidRPr="00FE2CD3">
              <w:rPr>
                <w:rFonts w:ascii="宋体" w:eastAsia="宋体" w:hAnsi="宋体" w:hint="eastAsia"/>
                <w:sz w:val="28"/>
                <w:szCs w:val="28"/>
              </w:rPr>
              <w:t>资金需求</w:t>
            </w:r>
            <w:r w:rsidR="00FE2CD3">
              <w:rPr>
                <w:rFonts w:ascii="宋体" w:eastAsia="宋体" w:hAnsi="宋体" w:hint="eastAsia"/>
                <w:sz w:val="28"/>
                <w:szCs w:val="28"/>
              </w:rPr>
              <w:t>等因素，制定实施现金分红政策，为股东和投资者创造更大价值，增强投资者获得感。</w:t>
            </w:r>
            <w:r w:rsidR="00FE2CD3" w:rsidRPr="00E102B2" w:rsidDel="00FE2CD3">
              <w:rPr>
                <w:rFonts w:ascii="宋体" w:eastAsia="宋体" w:hAnsi="宋体" w:hint="eastAsia"/>
                <w:sz w:val="28"/>
                <w:szCs w:val="28"/>
              </w:rPr>
              <w:t xml:space="preserve"> </w:t>
            </w:r>
          </w:p>
          <w:p w14:paraId="377F47EA" w14:textId="77777777" w:rsidR="00E102B2" w:rsidRPr="00E102B2" w:rsidRDefault="00E102B2">
            <w:pPr>
              <w:spacing w:line="520" w:lineRule="exact"/>
              <w:ind w:firstLineChars="200" w:firstLine="562"/>
              <w:rPr>
                <w:rFonts w:ascii="宋体" w:eastAsia="宋体" w:hAnsi="宋体" w:hint="eastAsia"/>
                <w:b/>
                <w:sz w:val="28"/>
                <w:szCs w:val="28"/>
              </w:rPr>
            </w:pPr>
            <w:r w:rsidRPr="00E102B2">
              <w:rPr>
                <w:rFonts w:ascii="宋体" w:eastAsia="宋体" w:hAnsi="宋体" w:hint="eastAsia"/>
                <w:b/>
                <w:sz w:val="28"/>
                <w:szCs w:val="28"/>
              </w:rPr>
              <w:t>问：请公司介绍一下绿色冶炼升级改造项目？</w:t>
            </w:r>
          </w:p>
          <w:p w14:paraId="28F6B5D9" w14:textId="0B189FA3"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答：为完整、准确、全面贯彻新发展理念，适应和构建新发展格局，紧抓市场机遇，进一步提升我国稀土</w:t>
            </w:r>
            <w:r w:rsidRPr="00E102B2">
              <w:rPr>
                <w:rFonts w:ascii="宋体" w:eastAsia="宋体" w:hAnsi="宋体" w:hint="eastAsia"/>
                <w:sz w:val="28"/>
                <w:szCs w:val="28"/>
              </w:rPr>
              <w:lastRenderedPageBreak/>
              <w:t>产业</w:t>
            </w:r>
            <w:proofErr w:type="gramStart"/>
            <w:r w:rsidRPr="00E102B2">
              <w:rPr>
                <w:rFonts w:ascii="宋体" w:eastAsia="宋体" w:hAnsi="宋体" w:hint="eastAsia"/>
                <w:sz w:val="28"/>
                <w:szCs w:val="28"/>
              </w:rPr>
              <w:t>链供应</w:t>
            </w:r>
            <w:proofErr w:type="gramEnd"/>
            <w:r w:rsidRPr="00E102B2">
              <w:rPr>
                <w:rFonts w:ascii="宋体" w:eastAsia="宋体" w:hAnsi="宋体" w:hint="eastAsia"/>
                <w:sz w:val="28"/>
                <w:szCs w:val="28"/>
              </w:rPr>
              <w:t>链韧性、资源供应保障能力和安全水平，以先进理念、技术、装备和管理为依托，致力将公司稀土冶炼分离产业板块打造为全球规模最大、技术领先、节能环保的行业引领型智能化绿色工厂，充分发挥规模效益和效率，推动形成集约化、现代化、基地化生产模式，进一步增强公司核心竞争力，推动高质量发展，2023年</w:t>
            </w:r>
            <w:r w:rsidR="00044BE2">
              <w:rPr>
                <w:rFonts w:ascii="宋体" w:eastAsia="宋体" w:hAnsi="宋体" w:hint="eastAsia"/>
                <w:sz w:val="28"/>
                <w:szCs w:val="28"/>
              </w:rPr>
              <w:t>3月</w:t>
            </w:r>
            <w:r w:rsidRPr="00E102B2">
              <w:rPr>
                <w:rFonts w:ascii="宋体" w:eastAsia="宋体" w:hAnsi="宋体" w:hint="eastAsia"/>
                <w:sz w:val="28"/>
                <w:szCs w:val="28"/>
              </w:rPr>
              <w:t>，经公司股东大会审议批准，决定以全资子公司包头华美稀土高科有限公司为实施主体，投资不超过78亿元建设</w:t>
            </w:r>
            <w:r w:rsidR="00044BE2">
              <w:rPr>
                <w:rFonts w:ascii="宋体" w:eastAsia="宋体" w:hAnsi="宋体" w:hint="eastAsia"/>
                <w:sz w:val="28"/>
                <w:szCs w:val="28"/>
              </w:rPr>
              <w:t>稀土</w:t>
            </w:r>
            <w:r w:rsidRPr="00E102B2">
              <w:rPr>
                <w:rFonts w:ascii="宋体" w:eastAsia="宋体" w:hAnsi="宋体" w:hint="eastAsia"/>
                <w:sz w:val="28"/>
                <w:szCs w:val="28"/>
              </w:rPr>
              <w:t>绿色冶炼升级改造项目。</w:t>
            </w:r>
          </w:p>
          <w:p w14:paraId="1BAB1782" w14:textId="023AEB06" w:rsidR="00E102B2" w:rsidRPr="00E102B2" w:rsidRDefault="00E102B2" w:rsidP="00E102B2">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该项目是公司成立以来投资规模最大、技术最先进、绿色发展水平最高的新一代稀土绿色采选</w:t>
            </w:r>
            <w:proofErr w:type="gramStart"/>
            <w:r w:rsidRPr="00E102B2">
              <w:rPr>
                <w:rFonts w:ascii="宋体" w:eastAsia="宋体" w:hAnsi="宋体" w:hint="eastAsia"/>
                <w:sz w:val="28"/>
                <w:szCs w:val="28"/>
              </w:rPr>
              <w:t>冶标</w:t>
            </w:r>
            <w:proofErr w:type="gramEnd"/>
            <w:r w:rsidRPr="00E102B2">
              <w:rPr>
                <w:rFonts w:ascii="宋体" w:eastAsia="宋体" w:hAnsi="宋体" w:hint="eastAsia"/>
                <w:sz w:val="28"/>
                <w:szCs w:val="28"/>
              </w:rPr>
              <w:t>志性工程，是公司</w:t>
            </w:r>
            <w:proofErr w:type="gramStart"/>
            <w:r w:rsidRPr="00E102B2">
              <w:rPr>
                <w:rFonts w:ascii="宋体" w:eastAsia="宋体" w:hAnsi="宋体" w:hint="eastAsia"/>
                <w:sz w:val="28"/>
                <w:szCs w:val="28"/>
              </w:rPr>
              <w:t>践行</w:t>
            </w:r>
            <w:proofErr w:type="gramEnd"/>
            <w:r w:rsidRPr="00E102B2">
              <w:rPr>
                <w:rFonts w:ascii="宋体" w:eastAsia="宋体" w:hAnsi="宋体" w:hint="eastAsia"/>
                <w:sz w:val="28"/>
                <w:szCs w:val="28"/>
              </w:rPr>
              <w:t>稀土产业高端化、智能化、绿色化转型的重要举措。项目自2023年4月正式启动，超过90余家单位参与建设，历经440余天奋战，一期工程于2024年10月建成投产。该项目对落后生产线进行产能置换，是新质生产力元素的重要代表，</w:t>
            </w:r>
            <w:proofErr w:type="gramStart"/>
            <w:r w:rsidRPr="00E102B2">
              <w:rPr>
                <w:rFonts w:ascii="宋体" w:eastAsia="宋体" w:hAnsi="宋体" w:hint="eastAsia"/>
                <w:sz w:val="28"/>
                <w:szCs w:val="28"/>
              </w:rPr>
              <w:t>产线工艺</w:t>
            </w:r>
            <w:proofErr w:type="gramEnd"/>
            <w:r w:rsidRPr="00E102B2">
              <w:rPr>
                <w:rFonts w:ascii="宋体" w:eastAsia="宋体" w:hAnsi="宋体" w:hint="eastAsia"/>
                <w:sz w:val="28"/>
                <w:szCs w:val="28"/>
              </w:rPr>
              <w:t>技术、装备、环保、生产能力均实现行业领先，可以根据客户需求灵活切换产品规格型号，最大程度满足</w:t>
            </w:r>
            <w:proofErr w:type="gramStart"/>
            <w:r w:rsidRPr="00E102B2">
              <w:rPr>
                <w:rFonts w:ascii="宋体" w:eastAsia="宋体" w:hAnsi="宋体" w:hint="eastAsia"/>
                <w:sz w:val="28"/>
                <w:szCs w:val="28"/>
              </w:rPr>
              <w:t>下游对</w:t>
            </w:r>
            <w:proofErr w:type="gramEnd"/>
            <w:r w:rsidRPr="00E102B2">
              <w:rPr>
                <w:rFonts w:ascii="宋体" w:eastAsia="宋体" w:hAnsi="宋体" w:hint="eastAsia"/>
                <w:sz w:val="28"/>
                <w:szCs w:val="28"/>
              </w:rPr>
              <w:t>各类原料产品的需求，通过自主创新和技术引进，力求打造集数字化、智能化、绿色化为一体的现代化世界一流稀土原材料生产企业。</w:t>
            </w:r>
          </w:p>
          <w:p w14:paraId="7AC99AC5" w14:textId="0B863FDF" w:rsidR="002419B9" w:rsidRPr="006705C7" w:rsidRDefault="00E102B2" w:rsidP="00182443">
            <w:pPr>
              <w:spacing w:line="520" w:lineRule="exact"/>
              <w:ind w:firstLineChars="200" w:firstLine="560"/>
              <w:rPr>
                <w:rFonts w:ascii="宋体" w:eastAsia="宋体" w:hAnsi="宋体" w:hint="eastAsia"/>
                <w:sz w:val="28"/>
                <w:szCs w:val="28"/>
              </w:rPr>
            </w:pPr>
            <w:r w:rsidRPr="00E102B2">
              <w:rPr>
                <w:rFonts w:ascii="宋体" w:eastAsia="宋体" w:hAnsi="宋体" w:hint="eastAsia"/>
                <w:sz w:val="28"/>
                <w:szCs w:val="28"/>
              </w:rPr>
              <w:t>下一步，公司将继续加快项目一期配套工程的收尾工作，进一步优化设备和工艺，</w:t>
            </w:r>
            <w:proofErr w:type="gramStart"/>
            <w:r w:rsidRPr="00E102B2">
              <w:rPr>
                <w:rFonts w:ascii="宋体" w:eastAsia="宋体" w:hAnsi="宋体" w:hint="eastAsia"/>
                <w:sz w:val="28"/>
                <w:szCs w:val="28"/>
              </w:rPr>
              <w:t>确保产线高效</w:t>
            </w:r>
            <w:proofErr w:type="gramEnd"/>
            <w:r w:rsidRPr="00E102B2">
              <w:rPr>
                <w:rFonts w:ascii="宋体" w:eastAsia="宋体" w:hAnsi="宋体" w:hint="eastAsia"/>
                <w:sz w:val="28"/>
                <w:szCs w:val="28"/>
              </w:rPr>
              <w:t>顺畅运行，并根据项目一期运行情况和市场情况，提前筹备项目二期建设。项目全部建成后，公司将具备处理58.09%REO混合稀土精矿能力19.8万吨/年，以REO计</w:t>
            </w:r>
            <w:r w:rsidRPr="00E102B2">
              <w:rPr>
                <w:rFonts w:ascii="宋体" w:eastAsia="宋体" w:hAnsi="宋体" w:hint="eastAsia"/>
                <w:sz w:val="28"/>
                <w:szCs w:val="28"/>
              </w:rPr>
              <w:lastRenderedPageBreak/>
              <w:t>11.5万吨/年；萃取分离能力10.7万吨/年（以REO计），沉淀和结晶能力14万吨/年（以REO计），灼烧能力3.9万吨/年（以REO计）。待新老产线替换磨合完成后，将对公司整体经营绩效、成本管控、原料端工艺提升等方面起到积极促进作用。</w:t>
            </w:r>
            <w:r w:rsidR="00182443" w:rsidRPr="00113C31">
              <w:rPr>
                <w:rFonts w:ascii="宋体" w:eastAsia="宋体" w:hAnsi="宋体" w:hint="eastAsia"/>
                <w:sz w:val="28"/>
                <w:szCs w:val="28"/>
              </w:rPr>
              <w:t>目前稀土市场以机器人为代表的下游提供新的</w:t>
            </w:r>
            <w:r w:rsidR="00113C31" w:rsidRPr="00113C31">
              <w:rPr>
                <w:rFonts w:ascii="宋体" w:eastAsia="宋体" w:hAnsi="宋体" w:hint="eastAsia"/>
                <w:sz w:val="28"/>
                <w:szCs w:val="28"/>
              </w:rPr>
              <w:t>需求</w:t>
            </w:r>
            <w:r w:rsidR="00182443" w:rsidRPr="00113C31">
              <w:rPr>
                <w:rFonts w:ascii="宋体" w:eastAsia="宋体" w:hAnsi="宋体" w:hint="eastAsia"/>
                <w:sz w:val="28"/>
                <w:szCs w:val="28"/>
              </w:rPr>
              <w:t>，</w:t>
            </w:r>
            <w:r w:rsidRPr="00E102B2">
              <w:rPr>
                <w:rFonts w:ascii="宋体" w:eastAsia="宋体" w:hAnsi="宋体" w:hint="eastAsia"/>
                <w:sz w:val="28"/>
                <w:szCs w:val="28"/>
              </w:rPr>
              <w:t>公司对行业未来持乐观态度，绿色冶炼升级改造项目是公司为当好“两个稀土基地”建设主力军提前赋能，是转型升级的典范。</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hint="eastAsia"/>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hint="eastAsia"/>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hint="eastAsia"/>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hint="eastAsia"/>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ECD0" w14:textId="77777777" w:rsidR="003907C4" w:rsidRDefault="003907C4">
      <w:pPr>
        <w:spacing w:line="240" w:lineRule="auto"/>
      </w:pPr>
      <w:r>
        <w:separator/>
      </w:r>
    </w:p>
  </w:endnote>
  <w:endnote w:type="continuationSeparator" w:id="0">
    <w:p w14:paraId="09357B40" w14:textId="77777777" w:rsidR="003907C4" w:rsidRDefault="00390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574822"/>
    </w:sdtPr>
    <w:sdtEndPr>
      <w:rPr>
        <w:rFonts w:ascii="宋体" w:eastAsia="宋体" w:hAnsi="宋体"/>
        <w:sz w:val="28"/>
        <w:szCs w:val="28"/>
      </w:rPr>
    </w:sdtEndPr>
    <w:sdtContent>
      <w:p w14:paraId="29580E54" w14:textId="77777777" w:rsidR="008F6D3B" w:rsidRDefault="007170C7">
        <w:pPr>
          <w:pStyle w:val="a5"/>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96EA9" w:rsidRPr="00A96EA9">
          <w:rPr>
            <w:rFonts w:ascii="宋体" w:eastAsia="宋体" w:hAnsi="宋体"/>
            <w:noProof/>
            <w:sz w:val="28"/>
            <w:szCs w:val="28"/>
            <w:lang w:val="zh-CN"/>
          </w:rPr>
          <w:t>3</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F3A6" w14:textId="77777777" w:rsidR="003907C4" w:rsidRDefault="003907C4">
      <w:pPr>
        <w:spacing w:line="240" w:lineRule="auto"/>
      </w:pPr>
      <w:r>
        <w:separator/>
      </w:r>
    </w:p>
  </w:footnote>
  <w:footnote w:type="continuationSeparator" w:id="0">
    <w:p w14:paraId="67056A31" w14:textId="77777777" w:rsidR="003907C4" w:rsidRDefault="003907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484" w14:textId="77777777" w:rsidR="008F6D3B" w:rsidRDefault="007170C7">
    <w:pPr>
      <w:rPr>
        <w:rFonts w:ascii="宋体" w:eastAsia="宋体" w:hAnsi="宋体" w:hint="eastAsia"/>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BB"/>
    <w:rsid w:val="00002450"/>
    <w:rsid w:val="00003ACB"/>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E74"/>
    <w:rsid w:val="00074CD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4B4"/>
    <w:rsid w:val="000E5F9C"/>
    <w:rsid w:val="000E6FD6"/>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290A"/>
    <w:rsid w:val="001B4C07"/>
    <w:rsid w:val="001B66C0"/>
    <w:rsid w:val="001C02D2"/>
    <w:rsid w:val="001C0F9B"/>
    <w:rsid w:val="001C29FD"/>
    <w:rsid w:val="001C2B1A"/>
    <w:rsid w:val="001C2EB1"/>
    <w:rsid w:val="001C3895"/>
    <w:rsid w:val="001C479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5068"/>
    <w:rsid w:val="002551CC"/>
    <w:rsid w:val="002558E0"/>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52D9"/>
    <w:rsid w:val="0030214B"/>
    <w:rsid w:val="00302674"/>
    <w:rsid w:val="00304076"/>
    <w:rsid w:val="00304270"/>
    <w:rsid w:val="0031597B"/>
    <w:rsid w:val="00316F4B"/>
    <w:rsid w:val="00320500"/>
    <w:rsid w:val="00323943"/>
    <w:rsid w:val="0032422C"/>
    <w:rsid w:val="0032453A"/>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07C4"/>
    <w:rsid w:val="00391B9D"/>
    <w:rsid w:val="003946E4"/>
    <w:rsid w:val="003951F5"/>
    <w:rsid w:val="003A22B8"/>
    <w:rsid w:val="003A3DA4"/>
    <w:rsid w:val="003A4021"/>
    <w:rsid w:val="003A53E1"/>
    <w:rsid w:val="003B282B"/>
    <w:rsid w:val="003B2A3F"/>
    <w:rsid w:val="003B4432"/>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6B3F"/>
    <w:rsid w:val="0040138C"/>
    <w:rsid w:val="004028CD"/>
    <w:rsid w:val="004028F9"/>
    <w:rsid w:val="0040328C"/>
    <w:rsid w:val="00404B14"/>
    <w:rsid w:val="0040741E"/>
    <w:rsid w:val="00411FC5"/>
    <w:rsid w:val="00415B67"/>
    <w:rsid w:val="004210AC"/>
    <w:rsid w:val="004224F3"/>
    <w:rsid w:val="00423223"/>
    <w:rsid w:val="00427BBC"/>
    <w:rsid w:val="0043342A"/>
    <w:rsid w:val="00435337"/>
    <w:rsid w:val="004366FF"/>
    <w:rsid w:val="00442140"/>
    <w:rsid w:val="00442CC2"/>
    <w:rsid w:val="00442E50"/>
    <w:rsid w:val="004454FF"/>
    <w:rsid w:val="0044560C"/>
    <w:rsid w:val="0044689C"/>
    <w:rsid w:val="00453A54"/>
    <w:rsid w:val="00453D05"/>
    <w:rsid w:val="0045443E"/>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ABC"/>
    <w:rsid w:val="005A1EEC"/>
    <w:rsid w:val="005A2650"/>
    <w:rsid w:val="005A3375"/>
    <w:rsid w:val="005A3607"/>
    <w:rsid w:val="005A5D76"/>
    <w:rsid w:val="005B403E"/>
    <w:rsid w:val="005B5010"/>
    <w:rsid w:val="005B5244"/>
    <w:rsid w:val="005B735C"/>
    <w:rsid w:val="005C0B3D"/>
    <w:rsid w:val="005C519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3895"/>
    <w:rsid w:val="0066468E"/>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416C"/>
    <w:rsid w:val="0072493C"/>
    <w:rsid w:val="00726D70"/>
    <w:rsid w:val="00731D5B"/>
    <w:rsid w:val="007343D8"/>
    <w:rsid w:val="00735E5B"/>
    <w:rsid w:val="00737ABF"/>
    <w:rsid w:val="00740B97"/>
    <w:rsid w:val="0074248B"/>
    <w:rsid w:val="0074644E"/>
    <w:rsid w:val="00750AC7"/>
    <w:rsid w:val="00752E4D"/>
    <w:rsid w:val="00755075"/>
    <w:rsid w:val="00762778"/>
    <w:rsid w:val="00763757"/>
    <w:rsid w:val="00763831"/>
    <w:rsid w:val="007700D6"/>
    <w:rsid w:val="00770D1B"/>
    <w:rsid w:val="0077381C"/>
    <w:rsid w:val="00773A3B"/>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13F5"/>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1751"/>
    <w:rsid w:val="00971B49"/>
    <w:rsid w:val="00973744"/>
    <w:rsid w:val="0097579E"/>
    <w:rsid w:val="00976196"/>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BDE"/>
    <w:rsid w:val="00A40804"/>
    <w:rsid w:val="00A43B63"/>
    <w:rsid w:val="00A43E6A"/>
    <w:rsid w:val="00A503F7"/>
    <w:rsid w:val="00A5081F"/>
    <w:rsid w:val="00A512CB"/>
    <w:rsid w:val="00A5389B"/>
    <w:rsid w:val="00A543D8"/>
    <w:rsid w:val="00A56397"/>
    <w:rsid w:val="00A60FC0"/>
    <w:rsid w:val="00A619FC"/>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0096"/>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7C1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509A8"/>
    <w:rsid w:val="00D517E1"/>
    <w:rsid w:val="00D528A9"/>
    <w:rsid w:val="00D542C5"/>
    <w:rsid w:val="00D605A8"/>
    <w:rsid w:val="00D617FD"/>
    <w:rsid w:val="00D6289B"/>
    <w:rsid w:val="00D62D38"/>
    <w:rsid w:val="00D63D2F"/>
    <w:rsid w:val="00D73C69"/>
    <w:rsid w:val="00D743EB"/>
    <w:rsid w:val="00D763E2"/>
    <w:rsid w:val="00D771EB"/>
    <w:rsid w:val="00D80235"/>
    <w:rsid w:val="00D80C5D"/>
    <w:rsid w:val="00D820F9"/>
    <w:rsid w:val="00D85E0C"/>
    <w:rsid w:val="00D8698F"/>
    <w:rsid w:val="00D9161C"/>
    <w:rsid w:val="00D94B1A"/>
    <w:rsid w:val="00D96DBF"/>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E6D"/>
    <w:rsid w:val="00EC3579"/>
    <w:rsid w:val="00EC7E39"/>
    <w:rsid w:val="00ED01C4"/>
    <w:rsid w:val="00ED1F61"/>
    <w:rsid w:val="00ED2059"/>
    <w:rsid w:val="00ED2960"/>
    <w:rsid w:val="00ED3B9C"/>
    <w:rsid w:val="00ED4C0C"/>
    <w:rsid w:val="00EE02B4"/>
    <w:rsid w:val="00EE2710"/>
    <w:rsid w:val="00EE2FBF"/>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437A"/>
    <w:rsid w:val="00F164D0"/>
    <w:rsid w:val="00F17541"/>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仿宋_GB2312" w:hAnsi="Times New Roman" w:cs="Times New Roman"/>
      <w:sz w:val="18"/>
      <w:szCs w:val="18"/>
    </w:rPr>
  </w:style>
  <w:style w:type="character" w:customStyle="1" w:styleId="a6">
    <w:name w:val="页脚 字符"/>
    <w:basedOn w:val="a0"/>
    <w:link w:val="a5"/>
    <w:uiPriority w:val="99"/>
    <w:qFormat/>
    <w:rPr>
      <w:rFonts w:ascii="Times New Roman" w:eastAsia="仿宋_GB2312" w:hAnsi="Times New Roman" w:cs="Times New Roman"/>
      <w:sz w:val="18"/>
      <w:szCs w:val="18"/>
    </w:rPr>
  </w:style>
  <w:style w:type="character" w:customStyle="1" w:styleId="a4">
    <w:name w:val="批注框文本 字符"/>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a">
    <w:name w:val="annotation reference"/>
    <w:basedOn w:val="a0"/>
    <w:uiPriority w:val="99"/>
    <w:semiHidden/>
    <w:unhideWhenUsed/>
    <w:rsid w:val="00CC4720"/>
    <w:rPr>
      <w:sz w:val="21"/>
      <w:szCs w:val="21"/>
    </w:rPr>
  </w:style>
  <w:style w:type="paragraph" w:styleId="ab">
    <w:name w:val="annotation text"/>
    <w:basedOn w:val="a"/>
    <w:link w:val="ac"/>
    <w:uiPriority w:val="99"/>
    <w:semiHidden/>
    <w:unhideWhenUsed/>
    <w:rsid w:val="00CC4720"/>
    <w:pPr>
      <w:jc w:val="left"/>
    </w:pPr>
  </w:style>
  <w:style w:type="character" w:customStyle="1" w:styleId="ac">
    <w:name w:val="批注文字 字符"/>
    <w:basedOn w:val="a0"/>
    <w:link w:val="ab"/>
    <w:uiPriority w:val="99"/>
    <w:semiHidden/>
    <w:rsid w:val="00CC4720"/>
    <w:rPr>
      <w:rFonts w:ascii="Times New Roman" w:eastAsia="仿宋_GB2312" w:hAnsi="Times New Roman" w:cs="Times New Roman"/>
      <w:kern w:val="2"/>
      <w:sz w:val="32"/>
      <w:szCs w:val="24"/>
    </w:rPr>
  </w:style>
  <w:style w:type="paragraph" w:styleId="ad">
    <w:name w:val="annotation subject"/>
    <w:basedOn w:val="ab"/>
    <w:next w:val="ab"/>
    <w:link w:val="ae"/>
    <w:uiPriority w:val="99"/>
    <w:semiHidden/>
    <w:unhideWhenUsed/>
    <w:rsid w:val="00CC4720"/>
    <w:rPr>
      <w:b/>
      <w:bCs/>
    </w:rPr>
  </w:style>
  <w:style w:type="character" w:customStyle="1" w:styleId="ae">
    <w:name w:val="批注主题 字符"/>
    <w:basedOn w:val="ac"/>
    <w:link w:val="ad"/>
    <w:uiPriority w:val="99"/>
    <w:semiHidden/>
    <w:rsid w:val="00CC4720"/>
    <w:rPr>
      <w:rFonts w:ascii="Times New Roman" w:eastAsia="仿宋_GB2312" w:hAnsi="Times New Roman" w:cs="Times New Roman"/>
      <w:b/>
      <w:bCs/>
      <w:kern w:val="2"/>
      <w:sz w:val="32"/>
      <w:szCs w:val="24"/>
    </w:rPr>
  </w:style>
  <w:style w:type="paragraph" w:styleId="af">
    <w:name w:val="Revision"/>
    <w:hidden/>
    <w:uiPriority w:val="99"/>
    <w:semiHidden/>
    <w:rsid w:val="005A3375"/>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6</Pages>
  <Words>438</Words>
  <Characters>2501</Characters>
  <Application>Microsoft Office Word</Application>
  <DocSecurity>0</DocSecurity>
  <Lines>20</Lines>
  <Paragraphs>5</Paragraphs>
  <ScaleCrop>false</ScaleCrop>
  <Company>神州网信技术有限公司</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xin zhang</cp:lastModifiedBy>
  <cp:revision>74</cp:revision>
  <cp:lastPrinted>2024-12-31T10:29:00Z</cp:lastPrinted>
  <dcterms:created xsi:type="dcterms:W3CDTF">2024-10-27T04:17:00Z</dcterms:created>
  <dcterms:modified xsi:type="dcterms:W3CDTF">2025-03-03T09:10:00Z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