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589C63B">
      <w:pPr>
        <w:spacing w:line="360" w:lineRule="auto"/>
        <w:ind w:firstLine="241" w:firstLineChars="100"/>
        <w:rPr>
          <w:rFonts w:ascii="Times New Roman" w:hAnsi="Times New Roman"/>
          <w:b/>
          <w:kern w:val="0"/>
          <w:sz w:val="30"/>
          <w:szCs w:val="30"/>
          <w:lang w:val="zh-CN" w:bidi="zh-CN"/>
        </w:rPr>
      </w:pPr>
      <w:r>
        <w:rPr>
          <w:rFonts w:ascii="Times New Roman" w:hAnsi="Times New Roman"/>
          <w:b/>
          <w:kern w:val="0"/>
          <w:sz w:val="24"/>
          <w:szCs w:val="24"/>
          <w:lang w:val="zh-CN" w:bidi="zh-CN"/>
        </w:rPr>
        <w:t>证券代码：688037</w:t>
      </w:r>
      <w:r>
        <w:rPr>
          <w:rFonts w:ascii="Times New Roman" w:hAnsi="Times New Roman"/>
          <w:b/>
          <w:kern w:val="0"/>
          <w:sz w:val="24"/>
          <w:szCs w:val="24"/>
          <w:lang w:val="zh-CN" w:bidi="zh-CN"/>
        </w:rPr>
        <w:tab/>
      </w:r>
      <w:r>
        <w:rPr>
          <w:rFonts w:ascii="Times New Roman" w:hAnsi="Times New Roman"/>
          <w:b/>
          <w:kern w:val="0"/>
          <w:sz w:val="24"/>
          <w:szCs w:val="24"/>
          <w:lang w:val="zh-CN" w:bidi="zh-CN"/>
        </w:rPr>
        <w:tab/>
      </w:r>
      <w:r>
        <w:rPr>
          <w:rFonts w:ascii="Times New Roman" w:hAnsi="Times New Roman"/>
          <w:b/>
          <w:kern w:val="0"/>
          <w:sz w:val="24"/>
          <w:szCs w:val="24"/>
          <w:lang w:val="zh-CN" w:bidi="zh-CN"/>
        </w:rPr>
        <w:tab/>
      </w:r>
      <w:r>
        <w:rPr>
          <w:rFonts w:ascii="Times New Roman" w:hAnsi="Times New Roman"/>
          <w:b/>
          <w:kern w:val="0"/>
          <w:sz w:val="24"/>
          <w:szCs w:val="24"/>
          <w:lang w:val="zh-CN" w:bidi="zh-CN"/>
        </w:rPr>
        <w:tab/>
      </w:r>
      <w:r>
        <w:rPr>
          <w:rFonts w:ascii="Times New Roman" w:hAnsi="Times New Roman"/>
          <w:b/>
          <w:kern w:val="0"/>
          <w:sz w:val="24"/>
          <w:szCs w:val="24"/>
          <w:lang w:val="zh-CN" w:bidi="zh-CN"/>
        </w:rPr>
        <w:tab/>
      </w:r>
      <w:r>
        <w:rPr>
          <w:rFonts w:ascii="Times New Roman" w:hAnsi="Times New Roman"/>
          <w:b/>
          <w:kern w:val="0"/>
          <w:sz w:val="24"/>
          <w:szCs w:val="24"/>
          <w:lang w:val="zh-CN" w:bidi="zh-CN"/>
        </w:rPr>
        <w:tab/>
      </w:r>
      <w:r>
        <w:rPr>
          <w:rFonts w:ascii="Times New Roman" w:hAnsi="Times New Roman"/>
          <w:b/>
          <w:kern w:val="0"/>
          <w:sz w:val="24"/>
          <w:szCs w:val="24"/>
          <w:lang w:val="zh-CN" w:bidi="zh-CN"/>
        </w:rPr>
        <w:tab/>
      </w:r>
      <w:r>
        <w:rPr>
          <w:rFonts w:ascii="Times New Roman" w:hAnsi="Times New Roman"/>
          <w:b/>
          <w:kern w:val="0"/>
          <w:sz w:val="24"/>
          <w:szCs w:val="24"/>
          <w:lang w:val="zh-CN" w:bidi="zh-CN"/>
        </w:rPr>
        <w:tab/>
      </w:r>
      <w:r>
        <w:rPr>
          <w:rFonts w:ascii="Times New Roman" w:hAnsi="Times New Roman"/>
          <w:b/>
          <w:kern w:val="0"/>
          <w:sz w:val="24"/>
          <w:szCs w:val="24"/>
          <w:lang w:val="zh-CN" w:bidi="zh-CN"/>
        </w:rPr>
        <w:tab/>
      </w:r>
      <w:r>
        <w:rPr>
          <w:rFonts w:ascii="Times New Roman" w:hAnsi="Times New Roman"/>
          <w:b/>
          <w:kern w:val="0"/>
          <w:sz w:val="24"/>
          <w:szCs w:val="24"/>
          <w:lang w:val="zh-CN" w:bidi="zh-CN"/>
        </w:rPr>
        <w:tab/>
      </w:r>
      <w:r>
        <w:rPr>
          <w:rFonts w:ascii="Times New Roman" w:hAnsi="Times New Roman"/>
          <w:b/>
          <w:kern w:val="0"/>
          <w:sz w:val="24"/>
          <w:szCs w:val="24"/>
          <w:lang w:bidi="zh-CN"/>
        </w:rPr>
        <w:t xml:space="preserve">                   </w:t>
      </w:r>
      <w:r>
        <w:rPr>
          <w:rFonts w:ascii="Times New Roman" w:hAnsi="Times New Roman"/>
          <w:b/>
          <w:kern w:val="0"/>
          <w:sz w:val="24"/>
          <w:szCs w:val="24"/>
          <w:lang w:val="zh-CN" w:bidi="zh-CN"/>
        </w:rPr>
        <w:t>证券简称：芯源微</w:t>
      </w:r>
    </w:p>
    <w:p w14:paraId="2186AEB6">
      <w:pPr>
        <w:spacing w:before="312" w:beforeLines="100" w:after="156" w:afterLines="50" w:line="360" w:lineRule="auto"/>
        <w:ind w:firstLine="602" w:firstLineChars="200"/>
        <w:jc w:val="center"/>
        <w:rPr>
          <w:rFonts w:ascii="Times New Roman" w:hAnsi="Times New Roman"/>
          <w:b/>
          <w:kern w:val="0"/>
          <w:sz w:val="30"/>
          <w:szCs w:val="30"/>
          <w:lang w:val="zh-CN" w:bidi="zh-CN"/>
        </w:rPr>
      </w:pPr>
      <w:r>
        <w:rPr>
          <w:rFonts w:ascii="Times New Roman" w:hAnsi="Times New Roman"/>
          <w:b/>
          <w:kern w:val="0"/>
          <w:sz w:val="30"/>
          <w:szCs w:val="30"/>
          <w:lang w:val="zh-CN" w:bidi="zh-CN"/>
        </w:rPr>
        <w:t>沈阳芯源微电子设备股份有限公司投资者关系活动记录表</w:t>
      </w:r>
    </w:p>
    <w:p w14:paraId="46E93776">
      <w:pPr>
        <w:spacing w:line="360" w:lineRule="auto"/>
        <w:ind w:firstLine="120" w:firstLineChars="50"/>
        <w:jc w:val="right"/>
        <w:rPr>
          <w:rFonts w:ascii="Times New Roman" w:hAnsi="Times New Roman"/>
          <w:kern w:val="0"/>
          <w:sz w:val="24"/>
          <w:szCs w:val="24"/>
          <w:lang w:bidi="zh-CN"/>
        </w:rPr>
      </w:pPr>
      <w:r>
        <w:rPr>
          <w:rFonts w:ascii="Times New Roman" w:hAnsi="Times New Roman"/>
          <w:kern w:val="0"/>
          <w:sz w:val="24"/>
          <w:szCs w:val="24"/>
          <w:lang w:val="zh-CN" w:bidi="zh-CN"/>
        </w:rPr>
        <w:t>编号：202</w:t>
      </w:r>
      <w:r>
        <w:rPr>
          <w:rFonts w:hint="eastAsia" w:ascii="Times New Roman" w:hAnsi="Times New Roman"/>
          <w:kern w:val="0"/>
          <w:sz w:val="24"/>
          <w:szCs w:val="24"/>
          <w:lang w:bidi="zh-CN"/>
        </w:rPr>
        <w:t>5</w:t>
      </w:r>
      <w:r>
        <w:rPr>
          <w:rFonts w:ascii="Times New Roman" w:hAnsi="Times New Roman"/>
          <w:kern w:val="0"/>
          <w:sz w:val="24"/>
          <w:szCs w:val="24"/>
          <w:lang w:val="zh-CN" w:bidi="zh-CN"/>
        </w:rPr>
        <w:t>-</w:t>
      </w:r>
      <w:r>
        <w:rPr>
          <w:rFonts w:ascii="Times New Roman" w:hAnsi="Times New Roman"/>
          <w:kern w:val="0"/>
          <w:sz w:val="24"/>
          <w:szCs w:val="24"/>
          <w:lang w:bidi="zh-CN"/>
        </w:rPr>
        <w:t>0</w:t>
      </w:r>
      <w:r>
        <w:rPr>
          <w:rFonts w:hint="eastAsia" w:ascii="Times New Roman" w:hAnsi="Times New Roman"/>
          <w:kern w:val="0"/>
          <w:sz w:val="24"/>
          <w:szCs w:val="24"/>
          <w:lang w:bidi="zh-CN"/>
        </w:rPr>
        <w:t>1</w:t>
      </w:r>
    </w:p>
    <w:tbl>
      <w:tblPr>
        <w:tblStyle w:val="6"/>
        <w:tblW w:w="8276" w:type="dxa"/>
        <w:tblInd w:w="170" w:type="dxa"/>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Layout w:type="fixed"/>
        <w:tblCellMar>
          <w:top w:w="0" w:type="dxa"/>
          <w:left w:w="57" w:type="dxa"/>
          <w:bottom w:w="0" w:type="dxa"/>
          <w:right w:w="57" w:type="dxa"/>
        </w:tblCellMar>
      </w:tblPr>
      <w:tblGrid>
        <w:gridCol w:w="1828"/>
        <w:gridCol w:w="6448"/>
      </w:tblGrid>
      <w:tr w14:paraId="1B70988A">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57" w:type="dxa"/>
            <w:bottom w:w="0" w:type="dxa"/>
            <w:right w:w="57" w:type="dxa"/>
          </w:tblCellMar>
        </w:tblPrEx>
        <w:trPr>
          <w:trHeight w:val="1396" w:hRule="atLeast"/>
        </w:trPr>
        <w:tc>
          <w:tcPr>
            <w:tcW w:w="1828" w:type="dxa"/>
            <w:vAlign w:val="center"/>
          </w:tcPr>
          <w:p w14:paraId="605791BC">
            <w:pPr>
              <w:pStyle w:val="8"/>
              <w:rPr>
                <w:rFonts w:hint="eastAsia" w:asciiTheme="minorEastAsia" w:hAnsiTheme="minorEastAsia" w:eastAsiaTheme="minorEastAsia" w:cstheme="minorEastAsia"/>
              </w:rPr>
            </w:pPr>
            <w:r>
              <w:rPr>
                <w:rFonts w:hint="eastAsia" w:asciiTheme="minorEastAsia" w:hAnsiTheme="minorEastAsia" w:eastAsiaTheme="minorEastAsia" w:cstheme="minorEastAsia"/>
              </w:rPr>
              <w:t>投资者关系活动类别</w:t>
            </w:r>
          </w:p>
        </w:tc>
        <w:tc>
          <w:tcPr>
            <w:tcW w:w="6448" w:type="dxa"/>
            <w:vAlign w:val="center"/>
          </w:tcPr>
          <w:p w14:paraId="1A7ECF03">
            <w:pPr>
              <w:pStyle w:val="8"/>
              <w:jc w:val="both"/>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iCs/>
                <w:color w:val="000000"/>
                <w:sz w:val="24"/>
                <w:szCs w:val="24"/>
              </w:rPr>
              <w:sym w:font="Wingdings 2" w:char="00A3"/>
            </w:r>
            <w:r>
              <w:rPr>
                <w:rFonts w:hint="eastAsia" w:asciiTheme="minorEastAsia" w:hAnsiTheme="minorEastAsia" w:eastAsiaTheme="minorEastAsia" w:cstheme="minorEastAsia"/>
                <w:b w:val="0"/>
                <w:bCs w:val="0"/>
                <w:sz w:val="24"/>
                <w:szCs w:val="24"/>
                <w:lang w:eastAsia="zh-CN"/>
              </w:rPr>
              <w:t>特定对象调研</w:t>
            </w:r>
            <w:r>
              <w:rPr>
                <w:rFonts w:hint="eastAsia" w:asciiTheme="minorEastAsia" w:hAnsiTheme="minorEastAsia" w:eastAsiaTheme="minorEastAsia" w:cstheme="minorEastAsia"/>
                <w:b w:val="0"/>
                <w:bCs w:val="0"/>
                <w:sz w:val="24"/>
                <w:szCs w:val="24"/>
                <w:lang w:val="en-US" w:eastAsia="zh-CN"/>
              </w:rPr>
              <w:t xml:space="preserve">       </w:t>
            </w:r>
            <w:r>
              <w:rPr>
                <w:rFonts w:hint="eastAsia" w:asciiTheme="minorEastAsia" w:hAnsiTheme="minorEastAsia" w:eastAsiaTheme="minorEastAsia" w:cstheme="minorEastAsia"/>
                <w:b w:val="0"/>
                <w:bCs w:val="0"/>
                <w:iCs/>
                <w:color w:val="000000"/>
                <w:sz w:val="24"/>
                <w:szCs w:val="24"/>
              </w:rPr>
              <w:sym w:font="Wingdings 2" w:char="00A3"/>
            </w:r>
            <w:r>
              <w:rPr>
                <w:rFonts w:hint="eastAsia" w:asciiTheme="minorEastAsia" w:hAnsiTheme="minorEastAsia" w:eastAsiaTheme="minorEastAsia" w:cstheme="minorEastAsia"/>
                <w:b w:val="0"/>
                <w:bCs w:val="0"/>
                <w:sz w:val="24"/>
                <w:szCs w:val="24"/>
                <w:lang w:eastAsia="zh-CN"/>
              </w:rPr>
              <w:t>分析师会议</w:t>
            </w:r>
            <w:r>
              <w:rPr>
                <w:rFonts w:hint="eastAsia" w:asciiTheme="minorEastAsia" w:hAnsiTheme="minorEastAsia" w:eastAsiaTheme="minorEastAsia" w:cstheme="minorEastAsia"/>
                <w:b w:val="0"/>
                <w:bCs w:val="0"/>
                <w:sz w:val="24"/>
                <w:szCs w:val="24"/>
                <w:lang w:val="en-US" w:eastAsia="zh-CN"/>
              </w:rPr>
              <w:t xml:space="preserve"> </w:t>
            </w:r>
          </w:p>
          <w:p w14:paraId="0DD86748">
            <w:pPr>
              <w:pStyle w:val="8"/>
              <w:jc w:val="both"/>
              <w:rPr>
                <w:rFonts w:hint="eastAsia" w:asciiTheme="minorEastAsia" w:hAnsiTheme="minorEastAsia" w:eastAsiaTheme="minorEastAsia" w:cstheme="minorEastAsia"/>
                <w:b w:val="0"/>
                <w:bCs w:val="0"/>
                <w:sz w:val="24"/>
                <w:szCs w:val="24"/>
                <w:lang w:eastAsia="zh-CN"/>
              </w:rPr>
            </w:pPr>
            <w:r>
              <w:rPr>
                <w:rFonts w:hint="eastAsia" w:asciiTheme="minorEastAsia" w:hAnsiTheme="minorEastAsia" w:eastAsiaTheme="minorEastAsia" w:cstheme="minorEastAsia"/>
                <w:b w:val="0"/>
                <w:bCs w:val="0"/>
                <w:iCs/>
                <w:color w:val="000000"/>
                <w:sz w:val="24"/>
                <w:szCs w:val="24"/>
              </w:rPr>
              <w:sym w:font="Wingdings 2" w:char="00A3"/>
            </w:r>
            <w:r>
              <w:rPr>
                <w:rFonts w:hint="eastAsia" w:asciiTheme="minorEastAsia" w:hAnsiTheme="minorEastAsia" w:eastAsiaTheme="minorEastAsia" w:cstheme="minorEastAsia"/>
                <w:b w:val="0"/>
                <w:bCs w:val="0"/>
                <w:sz w:val="24"/>
                <w:szCs w:val="24"/>
                <w:lang w:eastAsia="zh-CN"/>
              </w:rPr>
              <w:t xml:space="preserve">媒体采访           </w:t>
            </w:r>
            <w:r>
              <w:rPr>
                <w:rFonts w:hint="eastAsia" w:asciiTheme="minorEastAsia" w:hAnsiTheme="minorEastAsia" w:eastAsiaTheme="minorEastAsia" w:cstheme="minorEastAsia"/>
                <w:b w:val="0"/>
                <w:bCs w:val="0"/>
                <w:iCs/>
                <w:color w:val="000000"/>
                <w:sz w:val="24"/>
                <w:szCs w:val="24"/>
              </w:rPr>
              <w:sym w:font="Wingdings 2" w:char="00A3"/>
            </w:r>
            <w:r>
              <w:rPr>
                <w:rFonts w:hint="eastAsia" w:asciiTheme="minorEastAsia" w:hAnsiTheme="minorEastAsia" w:eastAsiaTheme="minorEastAsia" w:cstheme="minorEastAsia"/>
                <w:b w:val="0"/>
                <w:bCs w:val="0"/>
                <w:sz w:val="24"/>
                <w:szCs w:val="24"/>
                <w:lang w:eastAsia="zh-CN"/>
              </w:rPr>
              <w:t xml:space="preserve">业绩说明会 </w:t>
            </w:r>
          </w:p>
          <w:p w14:paraId="41FEE9AE">
            <w:pPr>
              <w:pStyle w:val="8"/>
              <w:jc w:val="both"/>
              <w:rPr>
                <w:rFonts w:hint="eastAsia" w:asciiTheme="minorEastAsia" w:hAnsiTheme="minorEastAsia" w:eastAsiaTheme="minorEastAsia" w:cstheme="minorEastAsia"/>
                <w:b w:val="0"/>
                <w:bCs w:val="0"/>
                <w:sz w:val="24"/>
                <w:szCs w:val="24"/>
                <w:lang w:eastAsia="zh-CN"/>
              </w:rPr>
            </w:pPr>
            <w:r>
              <w:rPr>
                <w:rFonts w:hint="eastAsia" w:asciiTheme="minorEastAsia" w:hAnsiTheme="minorEastAsia" w:eastAsiaTheme="minorEastAsia" w:cstheme="minorEastAsia"/>
                <w:b w:val="0"/>
                <w:bCs w:val="0"/>
                <w:iCs/>
                <w:color w:val="000000"/>
                <w:sz w:val="24"/>
                <w:szCs w:val="24"/>
              </w:rPr>
              <w:sym w:font="Wingdings 2" w:char="00A3"/>
            </w:r>
            <w:r>
              <w:rPr>
                <w:rFonts w:hint="eastAsia" w:asciiTheme="minorEastAsia" w:hAnsiTheme="minorEastAsia" w:eastAsiaTheme="minorEastAsia" w:cstheme="minorEastAsia"/>
                <w:b w:val="0"/>
                <w:bCs w:val="0"/>
                <w:sz w:val="24"/>
                <w:szCs w:val="24"/>
                <w:lang w:eastAsia="zh-CN"/>
              </w:rPr>
              <w:t>新闻发布会</w:t>
            </w:r>
            <w:r>
              <w:rPr>
                <w:rFonts w:hint="eastAsia" w:asciiTheme="minorEastAsia" w:hAnsiTheme="minorEastAsia" w:eastAsiaTheme="minorEastAsia" w:cstheme="minorEastAsia"/>
                <w:b w:val="0"/>
                <w:bCs w:val="0"/>
                <w:sz w:val="24"/>
                <w:szCs w:val="24"/>
                <w:lang w:val="en-US" w:eastAsia="zh-CN"/>
              </w:rPr>
              <w:t xml:space="preserve">         </w:t>
            </w:r>
            <w:r>
              <w:rPr>
                <w:rFonts w:hint="eastAsia" w:asciiTheme="minorEastAsia" w:hAnsiTheme="minorEastAsia" w:eastAsiaTheme="minorEastAsia" w:cstheme="minorEastAsia"/>
                <w:b w:val="0"/>
                <w:bCs w:val="0"/>
                <w:iCs/>
                <w:color w:val="000000"/>
                <w:sz w:val="24"/>
                <w:szCs w:val="24"/>
              </w:rPr>
              <w:sym w:font="Wingdings 2" w:char="00A3"/>
            </w:r>
            <w:r>
              <w:rPr>
                <w:rFonts w:hint="eastAsia" w:asciiTheme="minorEastAsia" w:hAnsiTheme="minorEastAsia" w:eastAsiaTheme="minorEastAsia" w:cstheme="minorEastAsia"/>
                <w:b w:val="0"/>
                <w:bCs w:val="0"/>
                <w:sz w:val="24"/>
                <w:szCs w:val="24"/>
                <w:lang w:eastAsia="zh-CN"/>
              </w:rPr>
              <w:t>路演活动</w:t>
            </w:r>
          </w:p>
          <w:p w14:paraId="6B579EB6">
            <w:pPr>
              <w:pStyle w:val="8"/>
              <w:jc w:val="both"/>
              <w:rPr>
                <w:rFonts w:hint="eastAsia" w:asciiTheme="minorEastAsia" w:hAnsiTheme="minorEastAsia" w:eastAsiaTheme="minorEastAsia" w:cstheme="minorEastAsia"/>
              </w:rPr>
            </w:pPr>
            <w:r>
              <w:rPr>
                <w:rFonts w:hint="eastAsia" w:asciiTheme="minorEastAsia" w:hAnsiTheme="minorEastAsia" w:eastAsiaTheme="minorEastAsia" w:cstheme="minorEastAsia"/>
                <w:b w:val="0"/>
                <w:bCs w:val="0"/>
                <w:iCs/>
                <w:color w:val="000000"/>
                <w:sz w:val="24"/>
                <w:szCs w:val="24"/>
              </w:rPr>
              <w:sym w:font="Wingdings 2" w:char="00A3"/>
            </w:r>
            <w:r>
              <w:rPr>
                <w:rFonts w:hint="eastAsia" w:asciiTheme="minorEastAsia" w:hAnsiTheme="minorEastAsia" w:eastAsiaTheme="minorEastAsia" w:cstheme="minorEastAsia"/>
                <w:b w:val="0"/>
                <w:bCs w:val="0"/>
                <w:sz w:val="24"/>
                <w:szCs w:val="24"/>
              </w:rPr>
              <w:t xml:space="preserve">现场参观           </w:t>
            </w:r>
            <w:r>
              <w:rPr>
                <w:rFonts w:hint="eastAsia" w:asciiTheme="minorEastAsia" w:hAnsiTheme="minorEastAsia" w:eastAsiaTheme="minorEastAsia" w:cstheme="minorEastAsia"/>
                <w:b w:val="0"/>
                <w:bCs w:val="0"/>
                <w:iCs/>
                <w:color w:val="000000"/>
                <w:sz w:val="24"/>
                <w:szCs w:val="24"/>
              </w:rPr>
              <w:sym w:font="Wingdings 2" w:char="0052"/>
            </w:r>
            <w:r>
              <w:rPr>
                <w:rFonts w:hint="eastAsia" w:asciiTheme="minorEastAsia" w:hAnsiTheme="minorEastAsia" w:eastAsiaTheme="minorEastAsia" w:cstheme="minorEastAsia"/>
                <w:b w:val="0"/>
                <w:bCs w:val="0"/>
                <w:sz w:val="24"/>
                <w:szCs w:val="24"/>
              </w:rPr>
              <w:t>其他</w:t>
            </w:r>
          </w:p>
        </w:tc>
      </w:tr>
      <w:tr w14:paraId="22AB374E">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57" w:type="dxa"/>
            <w:bottom w:w="0" w:type="dxa"/>
            <w:right w:w="57" w:type="dxa"/>
          </w:tblCellMar>
        </w:tblPrEx>
        <w:trPr>
          <w:trHeight w:val="90" w:hRule="atLeast"/>
        </w:trPr>
        <w:tc>
          <w:tcPr>
            <w:tcW w:w="1828" w:type="dxa"/>
            <w:vAlign w:val="center"/>
          </w:tcPr>
          <w:p w14:paraId="03180FFF">
            <w:pPr>
              <w:pStyle w:val="8"/>
              <w:rPr>
                <w:rFonts w:hint="eastAsia" w:asciiTheme="minorEastAsia" w:hAnsiTheme="minorEastAsia" w:eastAsiaTheme="minorEastAsia" w:cstheme="minorEastAsia"/>
              </w:rPr>
            </w:pPr>
            <w:r>
              <w:rPr>
                <w:rFonts w:hint="eastAsia" w:asciiTheme="minorEastAsia" w:hAnsiTheme="minorEastAsia" w:eastAsiaTheme="minorEastAsia" w:cstheme="minorEastAsia"/>
              </w:rPr>
              <w:t>参与单位名称</w:t>
            </w:r>
          </w:p>
        </w:tc>
        <w:tc>
          <w:tcPr>
            <w:tcW w:w="6448" w:type="dxa"/>
            <w:vAlign w:val="center"/>
          </w:tcPr>
          <w:tbl>
            <w:tblPr>
              <w:tblStyle w:val="6"/>
              <w:tblW w:w="4321" w:type="dxa"/>
              <w:tblInd w:w="0" w:type="dxa"/>
              <w:tblLayout w:type="fixed"/>
              <w:tblCellMar>
                <w:top w:w="0" w:type="dxa"/>
                <w:left w:w="108" w:type="dxa"/>
                <w:bottom w:w="0" w:type="dxa"/>
                <w:right w:w="108" w:type="dxa"/>
              </w:tblCellMar>
            </w:tblPr>
            <w:tblGrid>
              <w:gridCol w:w="4321"/>
            </w:tblGrid>
            <w:tr w14:paraId="1120DE25">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0CCDB88C">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百川财富(北京)投资管理有限公司</w:t>
                  </w:r>
                </w:p>
              </w:tc>
            </w:tr>
            <w:tr w14:paraId="767B07C9">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513BC609">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百年保险资产管理有限责任公司</w:t>
                  </w:r>
                </w:p>
              </w:tc>
            </w:tr>
            <w:tr w14:paraId="37E627C5">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2AD98D3B">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宝盈基金管理有限公司</w:t>
                  </w:r>
                </w:p>
              </w:tc>
            </w:tr>
            <w:tr w14:paraId="32B07267">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026DD8BE">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北方华创科技集团股份有限公司</w:t>
                  </w:r>
                </w:p>
              </w:tc>
            </w:tr>
            <w:tr w14:paraId="221654FD">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2F3D2237">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北京泓澄投资管理有限公司</w:t>
                  </w:r>
                </w:p>
              </w:tc>
            </w:tr>
            <w:tr w14:paraId="377AE635">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14015B23">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北京橡果资产管理有限公司</w:t>
                  </w:r>
                </w:p>
              </w:tc>
            </w:tr>
            <w:tr w14:paraId="5894934C">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103CF2DC">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博时基金管理有限公司</w:t>
                  </w:r>
                </w:p>
              </w:tc>
            </w:tr>
            <w:tr w14:paraId="6C632EB2">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6F210482">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财通证券股份有限公司</w:t>
                  </w:r>
                </w:p>
              </w:tc>
            </w:tr>
            <w:tr w14:paraId="428CCFDE">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4A759C80">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财通证券资产管理有限公司</w:t>
                  </w:r>
                </w:p>
              </w:tc>
            </w:tr>
            <w:tr w14:paraId="3BE6859D">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4B2A2B65">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诚通证券股份有限公司</w:t>
                  </w:r>
                </w:p>
              </w:tc>
            </w:tr>
            <w:tr w14:paraId="0E5F4124">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40F10057">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创金合信基金管理有限公司</w:t>
                  </w:r>
                </w:p>
              </w:tc>
            </w:tr>
            <w:tr w14:paraId="2AB68AE3">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3AD7F6A8">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大成基金管理有限公司</w:t>
                  </w:r>
                </w:p>
              </w:tc>
            </w:tr>
            <w:tr w14:paraId="72718AA4">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503CDBCC">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东方阿尔法基金管理有限公司</w:t>
                  </w:r>
                </w:p>
              </w:tc>
            </w:tr>
            <w:tr w14:paraId="5BEAA5AB">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32AF5C5D">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东方财富证券股份有限公司</w:t>
                  </w:r>
                </w:p>
              </w:tc>
            </w:tr>
            <w:tr w14:paraId="794B02D6">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4E604146">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东方基金管理股份有限公司</w:t>
                  </w:r>
                </w:p>
              </w:tc>
            </w:tr>
            <w:tr w14:paraId="6E5526B5">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1D3B0CC1">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东吴人寿保险股份有限公司</w:t>
                  </w:r>
                </w:p>
              </w:tc>
            </w:tr>
            <w:tr w14:paraId="14DCDF7E">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6AC2B4A4">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东吴证券股份有限公司</w:t>
                  </w:r>
                </w:p>
              </w:tc>
            </w:tr>
            <w:tr w14:paraId="6E97A821">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30E9FA13">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东亚前海证券有限责任公司</w:t>
                  </w:r>
                </w:p>
              </w:tc>
            </w:tr>
            <w:tr w14:paraId="1EE1EB21">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69CA0CF0">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敦和资产管理有限公司</w:t>
                  </w:r>
                </w:p>
              </w:tc>
            </w:tr>
            <w:tr w14:paraId="0578007D">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51F16962">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方正证券股份有限公司</w:t>
                  </w:r>
                </w:p>
              </w:tc>
            </w:tr>
            <w:tr w14:paraId="43A080BD">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5615A182">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富安达基金管理有限公司</w:t>
                  </w:r>
                </w:p>
              </w:tc>
            </w:tr>
            <w:tr w14:paraId="339F1858">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075F7A40">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富国基金管理有限公司</w:t>
                  </w:r>
                </w:p>
              </w:tc>
            </w:tr>
            <w:tr w14:paraId="600C1832">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15CD1BF0">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格林基金管理有限公司</w:t>
                  </w:r>
                </w:p>
              </w:tc>
            </w:tr>
            <w:tr w14:paraId="7F1322FE">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30AC7157">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工银安盛人寿保险有限公司</w:t>
                  </w:r>
                </w:p>
              </w:tc>
            </w:tr>
            <w:tr w14:paraId="7537469E">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0347BEB6">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工银瑞信基金管理有限公司</w:t>
                  </w:r>
                </w:p>
              </w:tc>
            </w:tr>
            <w:tr w14:paraId="75E4B640">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03B5120D">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光大保德信基金管理有限公司</w:t>
                  </w:r>
                </w:p>
              </w:tc>
            </w:tr>
            <w:tr w14:paraId="6C09235C">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76EDCF90">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广发证券股份有限公司</w:t>
                  </w:r>
                </w:p>
              </w:tc>
            </w:tr>
            <w:tr w14:paraId="76BB6347">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683D1620">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国海证券股份有限公司</w:t>
                  </w:r>
                </w:p>
              </w:tc>
            </w:tr>
            <w:tr w14:paraId="1796CBCC">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604267FC">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国联安基金管理有限公司</w:t>
                  </w:r>
                </w:p>
              </w:tc>
            </w:tr>
            <w:tr w14:paraId="13502858">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21A550D5">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国联民生证券股份有限公司</w:t>
                  </w:r>
                </w:p>
              </w:tc>
            </w:tr>
            <w:tr w14:paraId="7F1B6BBE">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5909BF65">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国融基金管理有限公司</w:t>
                  </w:r>
                </w:p>
              </w:tc>
            </w:tr>
            <w:tr w14:paraId="39628F8B">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0AA47D9C">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国盛证券有限责任公司</w:t>
                  </w:r>
                </w:p>
              </w:tc>
            </w:tr>
            <w:tr w14:paraId="38882EB8">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3F1556E3">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国泰君安证券股份有限公司</w:t>
                  </w:r>
                </w:p>
              </w:tc>
            </w:tr>
            <w:tr w14:paraId="6AAE977E">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2358615A">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国投瑞银基金管理有限公司</w:t>
                  </w:r>
                </w:p>
              </w:tc>
            </w:tr>
            <w:tr w14:paraId="39D79CBD">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259854C2">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国新投资有限公司</w:t>
                  </w:r>
                </w:p>
              </w:tc>
            </w:tr>
            <w:tr w14:paraId="0FDFC2C9">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5C61BA81">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国信证券股份有限公司</w:t>
                  </w:r>
                </w:p>
              </w:tc>
            </w:tr>
            <w:tr w14:paraId="65EB43EF">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440AAF2E">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国元证券股份有限公司</w:t>
                  </w:r>
                </w:p>
              </w:tc>
            </w:tr>
            <w:tr w14:paraId="714BBC55">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020DE629">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海富通基金管理有限公司</w:t>
                  </w:r>
                </w:p>
              </w:tc>
            </w:tr>
            <w:tr w14:paraId="6ECA6267">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67056F10">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海通证券股份有限公司</w:t>
                  </w:r>
                </w:p>
              </w:tc>
            </w:tr>
            <w:tr w14:paraId="0678C52C">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0DC6949F">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红杉资本股权投资管理(天津)有限公司</w:t>
                  </w:r>
                </w:p>
              </w:tc>
            </w:tr>
            <w:tr w14:paraId="3F9766BE">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22A06467">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宏利基金管理有限公司</w:t>
                  </w:r>
                </w:p>
              </w:tc>
            </w:tr>
            <w:tr w14:paraId="18A2920A">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71D534DC">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华安证券股份有限公司</w:t>
                  </w:r>
                </w:p>
              </w:tc>
            </w:tr>
            <w:tr w14:paraId="7B747A11">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31B47E70">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华创证券有限责任公司</w:t>
                  </w:r>
                </w:p>
              </w:tc>
            </w:tr>
            <w:tr w14:paraId="625675E3">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31C86C86">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华泰保兴基金管理有限公司</w:t>
                  </w:r>
                </w:p>
              </w:tc>
            </w:tr>
            <w:tr w14:paraId="1E61BDD2">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1AD358F6">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华泰证券股份有限公司</w:t>
                  </w:r>
                </w:p>
              </w:tc>
            </w:tr>
            <w:tr w14:paraId="5A31E03A">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69FF88E3">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华西证券股份有限公司</w:t>
                  </w:r>
                </w:p>
              </w:tc>
            </w:tr>
            <w:tr w14:paraId="4148B935">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09834B4D">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华夏基金管理有限公司</w:t>
                  </w:r>
                </w:p>
              </w:tc>
            </w:tr>
            <w:tr w14:paraId="7231B2FB">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09A2BD3F">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华鑫证券有限责任公司</w:t>
                  </w:r>
                </w:p>
              </w:tc>
            </w:tr>
            <w:tr w14:paraId="6A208DE8">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299C6993">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华源证券股份有限公司</w:t>
                  </w:r>
                </w:p>
              </w:tc>
            </w:tr>
            <w:tr w14:paraId="22872D7C">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115B53A0">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汇百川基金管理有限公司</w:t>
                  </w:r>
                </w:p>
              </w:tc>
            </w:tr>
            <w:tr w14:paraId="1FF72F9E">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27AE8DD5">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汇添富基金管理股份有限公司</w:t>
                  </w:r>
                </w:p>
              </w:tc>
            </w:tr>
            <w:tr w14:paraId="234BDE53">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6F1BD9E7">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嘉实基金管理有限公司</w:t>
                  </w:r>
                </w:p>
              </w:tc>
            </w:tr>
            <w:tr w14:paraId="4A5F271F">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1D360628">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金信基金管理有限公司</w:t>
                  </w:r>
                </w:p>
              </w:tc>
            </w:tr>
            <w:tr w14:paraId="29548BC2">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33A980AA">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景顺长城基金管理有限公司</w:t>
                  </w:r>
                </w:p>
              </w:tc>
            </w:tr>
            <w:tr w14:paraId="65110CD9">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2607A7F4">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九泰基金管理有限公司</w:t>
                  </w:r>
                </w:p>
              </w:tc>
            </w:tr>
            <w:tr w14:paraId="2294B9BA">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7510AFD0">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开源证券股份有限公司</w:t>
                  </w:r>
                </w:p>
              </w:tc>
            </w:tr>
            <w:tr w14:paraId="6DB0672C">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1B77BA6F">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民生加银基金管理有限公司</w:t>
                  </w:r>
                </w:p>
              </w:tc>
            </w:tr>
            <w:tr w14:paraId="45B36113">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0EA343DB">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民生证券股份有限公司</w:t>
                  </w:r>
                </w:p>
              </w:tc>
            </w:tr>
            <w:tr w14:paraId="73971088">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206C682D">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摩根大通证券(中国)有限公司</w:t>
                  </w:r>
                </w:p>
              </w:tc>
            </w:tr>
            <w:tr w14:paraId="13659668">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40CD0F96">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摩根士丹利基金管理(中国)有限公司</w:t>
                  </w:r>
                </w:p>
              </w:tc>
            </w:tr>
            <w:tr w14:paraId="55CA9446">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1990A77D">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南方基金管理股份有限公司</w:t>
                  </w:r>
                </w:p>
              </w:tc>
            </w:tr>
            <w:tr w14:paraId="21293E3F">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3D90974F">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南华基金管理有限公司</w:t>
                  </w:r>
                </w:p>
              </w:tc>
            </w:tr>
            <w:tr w14:paraId="3A0C930F">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160F8E3F">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农银汇理基金管理有限公司</w:t>
                  </w:r>
                </w:p>
              </w:tc>
            </w:tr>
            <w:tr w14:paraId="66C25030">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45BE7911">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农银人寿保险股份有限公司</w:t>
                  </w:r>
                </w:p>
              </w:tc>
            </w:tr>
            <w:tr w14:paraId="51580AA5">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0FAF4FDE">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诺安基金管理有限公司</w:t>
                  </w:r>
                </w:p>
              </w:tc>
            </w:tr>
            <w:tr w14:paraId="1D57C3D0">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71723219">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鹏华基金管理有限公司</w:t>
                  </w:r>
                </w:p>
              </w:tc>
            </w:tr>
            <w:tr w14:paraId="523EA256">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20B1D3C3">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平安基金管理有限公司</w:t>
                  </w:r>
                </w:p>
              </w:tc>
            </w:tr>
            <w:tr w14:paraId="49C51CB6">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51EFB1B8">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平安银行股份有限公司</w:t>
                  </w:r>
                </w:p>
              </w:tc>
            </w:tr>
            <w:tr w14:paraId="45B39A6A">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076387C5">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瑞信证券(中国)有限公司</w:t>
                  </w:r>
                </w:p>
              </w:tc>
            </w:tr>
            <w:tr w14:paraId="485EB2C6">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481874AC">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山西证券股份有限公司</w:t>
                  </w:r>
                </w:p>
              </w:tc>
            </w:tr>
            <w:tr w14:paraId="66E41369">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16FAF7D5">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上海歌汝私募基金管理有限公司</w:t>
                  </w:r>
                </w:p>
              </w:tc>
            </w:tr>
            <w:tr w14:paraId="45506130">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17F2689C">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上海光大证券资产管理有限公司</w:t>
                  </w:r>
                </w:p>
              </w:tc>
            </w:tr>
            <w:tr w14:paraId="545C3AF9">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11BC9279">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上海盘京投资管理中心(有限合伙)</w:t>
                  </w:r>
                </w:p>
              </w:tc>
            </w:tr>
            <w:tr w14:paraId="46EB8323">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52218C5E">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上海钦沐资产管理合伙企业(有限合伙)</w:t>
                  </w:r>
                </w:p>
              </w:tc>
            </w:tr>
            <w:tr w14:paraId="673B85B3">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125A354A">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上海申银万国证券研究所有限公司</w:t>
                  </w:r>
                </w:p>
              </w:tc>
            </w:tr>
            <w:tr w14:paraId="610561C1">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7629EEB5">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上海弢盛资产管理有限公司</w:t>
                  </w:r>
                </w:p>
              </w:tc>
            </w:tr>
            <w:tr w14:paraId="7F1D9A94">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5B1FEDAB">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上海远海私募基金管理有限公司</w:t>
                  </w:r>
                </w:p>
              </w:tc>
            </w:tr>
            <w:tr w14:paraId="3D9AA4DF">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62239B85">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上海证券有限责任公司</w:t>
                  </w:r>
                </w:p>
              </w:tc>
            </w:tr>
            <w:tr w14:paraId="6FF93123">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637A589B">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上海重阳投资管理股份有限公司</w:t>
                  </w:r>
                </w:p>
              </w:tc>
            </w:tr>
            <w:tr w14:paraId="22D0B281">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0909D759">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深圳进门财经科技股份有限公司</w:t>
                  </w:r>
                </w:p>
              </w:tc>
            </w:tr>
            <w:tr w14:paraId="629207AA">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7D7D1C0F">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深圳望正资产管理有限公司</w:t>
                  </w:r>
                </w:p>
              </w:tc>
            </w:tr>
            <w:tr w14:paraId="033B688C">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16E04CD9">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首创证券股份有限公司</w:t>
                  </w:r>
                </w:p>
              </w:tc>
            </w:tr>
            <w:tr w14:paraId="04637ED7">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24A10A85">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太平洋证券股份有限公司</w:t>
                  </w:r>
                </w:p>
              </w:tc>
            </w:tr>
            <w:tr w14:paraId="376BEAB7">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501E9367">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太平资产管理有限公司</w:t>
                  </w:r>
                </w:p>
              </w:tc>
            </w:tr>
            <w:tr w14:paraId="107EA90E">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3B3F9DA9">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天弘基金管理有限公司</w:t>
                  </w:r>
                </w:p>
              </w:tc>
            </w:tr>
            <w:tr w14:paraId="1A478086">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2CAB1B5B">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天治基金管理有限公司</w:t>
                  </w:r>
                </w:p>
              </w:tc>
            </w:tr>
            <w:tr w14:paraId="501ACC51">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2972B6BE">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铜冠投资(上海)有限公司</w:t>
                  </w:r>
                </w:p>
              </w:tc>
            </w:tr>
            <w:tr w14:paraId="14F04C6A">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2990CF40">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万家基金管理有限公司</w:t>
                  </w:r>
                </w:p>
              </w:tc>
            </w:tr>
            <w:tr w14:paraId="538D6691">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3694F052">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西部利得基金管理有限公司</w:t>
                  </w:r>
                </w:p>
              </w:tc>
            </w:tr>
            <w:tr w14:paraId="77C4DBC7">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3F0DD4F3">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西部证券股份有限公司</w:t>
                  </w:r>
                </w:p>
              </w:tc>
            </w:tr>
            <w:tr w14:paraId="1912570E">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2554133E">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新华基金管理股份有限公司</w:t>
                  </w:r>
                </w:p>
              </w:tc>
            </w:tr>
            <w:tr w14:paraId="627F321A">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2A47100C">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新沃基金管理有限公司</w:t>
                  </w:r>
                </w:p>
              </w:tc>
            </w:tr>
            <w:tr w14:paraId="4965AEDF">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0CF7AF15">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兴业基金管理有限公司</w:t>
                  </w:r>
                </w:p>
              </w:tc>
            </w:tr>
            <w:tr w14:paraId="0F6427A5">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4F2167EC">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兴业证券股份有限公司</w:t>
                  </w:r>
                </w:p>
              </w:tc>
            </w:tr>
            <w:tr w14:paraId="3EAB5538">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47FAC549">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循远资产管理(上海)有限公司</w:t>
                  </w:r>
                </w:p>
              </w:tc>
            </w:tr>
            <w:tr w14:paraId="0D969470">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1E7FBEF9">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易方达基金管理有限公司</w:t>
                  </w:r>
                </w:p>
              </w:tc>
            </w:tr>
            <w:tr w14:paraId="6DCFFB41">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0C868DC9">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益民基金管理有限公司</w:t>
                  </w:r>
                </w:p>
              </w:tc>
            </w:tr>
            <w:tr w14:paraId="3A50A653">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30060CAC">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银华基金管理股份有限公司</w:t>
                  </w:r>
                </w:p>
              </w:tc>
            </w:tr>
            <w:tr w14:paraId="505E6CD3">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22385F1F">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永赢基金管理有限公司</w:t>
                  </w:r>
                </w:p>
              </w:tc>
            </w:tr>
            <w:tr w14:paraId="07E0B583">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6375FB29">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甬兴证券有限公司</w:t>
                  </w:r>
                </w:p>
              </w:tc>
            </w:tr>
            <w:tr w14:paraId="137EBCC0">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1D642079">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长城基金管理有限公司</w:t>
                  </w:r>
                </w:p>
              </w:tc>
            </w:tr>
            <w:tr w14:paraId="461DFE19">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5D94095C">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长城证券股份有限公司</w:t>
                  </w:r>
                </w:p>
              </w:tc>
            </w:tr>
            <w:tr w14:paraId="2F937D41">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0E997D98">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长江证券股份有限公司</w:t>
                  </w:r>
                </w:p>
              </w:tc>
            </w:tr>
            <w:tr w14:paraId="0BAB45BC">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7810C6F7">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长盛基金管理有限公司</w:t>
                  </w:r>
                </w:p>
              </w:tc>
            </w:tr>
            <w:tr w14:paraId="21B607FE">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2842521C">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招商基金管理有限公司</w:t>
                  </w:r>
                </w:p>
              </w:tc>
            </w:tr>
            <w:tr w14:paraId="48049AF5">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51A1DD86">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招商信诺资产管理有限公司</w:t>
                  </w:r>
                </w:p>
              </w:tc>
            </w:tr>
            <w:tr w14:paraId="1AAE98E6">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3842CC5C">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招商证券股份有限公司</w:t>
                  </w:r>
                </w:p>
              </w:tc>
            </w:tr>
            <w:tr w14:paraId="2BB63E16">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330A2290">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浙商证券股份有限公司</w:t>
                  </w:r>
                </w:p>
              </w:tc>
            </w:tr>
            <w:tr w14:paraId="69BA14C2">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7E0FCCCE">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中国国际金融股份有限公司</w:t>
                  </w:r>
                </w:p>
              </w:tc>
            </w:tr>
            <w:tr w14:paraId="6C65FCCA">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17D7BF00">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中国人寿资产管理有限公司</w:t>
                  </w:r>
                </w:p>
              </w:tc>
            </w:tr>
            <w:tr w14:paraId="5770F55C">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279E6389">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中海基金管理有限公司</w:t>
                  </w:r>
                </w:p>
              </w:tc>
            </w:tr>
            <w:tr w14:paraId="314949C9">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3F6ECE0A">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中航证券有限公司</w:t>
                  </w:r>
                </w:p>
              </w:tc>
            </w:tr>
            <w:tr w14:paraId="478E8B13">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28FB281A">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中金基金管理有限公司</w:t>
                  </w:r>
                </w:p>
              </w:tc>
            </w:tr>
            <w:tr w14:paraId="35E33028">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37977619">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中欧基金管理有限公司</w:t>
                  </w:r>
                </w:p>
              </w:tc>
            </w:tr>
            <w:tr w14:paraId="0542EE3F">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6444C290">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中泰证券股份有限公司</w:t>
                  </w:r>
                </w:p>
              </w:tc>
            </w:tr>
            <w:tr w14:paraId="2780E28A">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633BED22">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中信保诚基金管理有限公司</w:t>
                  </w:r>
                </w:p>
              </w:tc>
            </w:tr>
            <w:tr w14:paraId="5E585C82">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11F4D037">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中信建投证券股份有限公司</w:t>
                  </w:r>
                </w:p>
              </w:tc>
            </w:tr>
            <w:tr w14:paraId="6BB58380">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02907B6F">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中信证券股份有限公司</w:t>
                  </w:r>
                </w:p>
              </w:tc>
            </w:tr>
            <w:tr w14:paraId="3D91356A">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635E2D96">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中银国际证券股份有限公司</w:t>
                  </w:r>
                </w:p>
              </w:tc>
            </w:tr>
            <w:tr w14:paraId="56F626B3">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2F535CF1">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中邮创业基金管理股份有限公司</w:t>
                  </w:r>
                </w:p>
              </w:tc>
            </w:tr>
            <w:tr w14:paraId="7ED443E9">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566ED46D">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中邮证券有限责任公司</w:t>
                  </w:r>
                </w:p>
              </w:tc>
            </w:tr>
            <w:tr w14:paraId="24489946">
              <w:tblPrEx>
                <w:tblCellMar>
                  <w:top w:w="0" w:type="dxa"/>
                  <w:left w:w="108" w:type="dxa"/>
                  <w:bottom w:w="0" w:type="dxa"/>
                  <w:right w:w="108" w:type="dxa"/>
                </w:tblCellMar>
              </w:tblPrEx>
              <w:trPr>
                <w:trHeight w:val="270" w:hRule="atLeast"/>
              </w:trPr>
              <w:tc>
                <w:tcPr>
                  <w:tcW w:w="4321" w:type="dxa"/>
                  <w:tcBorders>
                    <w:top w:val="nil"/>
                    <w:left w:val="nil"/>
                    <w:bottom w:val="nil"/>
                    <w:right w:val="nil"/>
                  </w:tcBorders>
                  <w:shd w:val="clear" w:color="auto" w:fill="auto"/>
                  <w:noWrap/>
                  <w:vAlign w:val="center"/>
                </w:tcPr>
                <w:p w14:paraId="36DB818F">
                  <w:pPr>
                    <w:widowControl/>
                    <w:jc w:val="left"/>
                    <w:textAlignment w:val="center"/>
                    <w:rPr>
                      <w:rFonts w:hint="eastAsia" w:ascii="宋体" w:hAnsi="宋体" w:cs="宋体"/>
                      <w:color w:val="000000"/>
                      <w:sz w:val="22"/>
                    </w:rPr>
                  </w:pPr>
                  <w:r>
                    <w:rPr>
                      <w:rFonts w:hint="eastAsia" w:ascii="宋体" w:hAnsi="宋体" w:cs="宋体"/>
                      <w:color w:val="000000"/>
                      <w:kern w:val="0"/>
                      <w:sz w:val="22"/>
                      <w:lang w:bidi="ar"/>
                    </w:rPr>
                    <w:t>朱雀基金管理有限公司</w:t>
                  </w:r>
                </w:p>
              </w:tc>
            </w:tr>
          </w:tbl>
          <w:p w14:paraId="34C91EB1">
            <w:pPr>
              <w:pStyle w:val="8"/>
              <w:jc w:val="both"/>
              <w:rPr>
                <w:rFonts w:hint="eastAsia" w:asciiTheme="minorEastAsia" w:hAnsiTheme="minorEastAsia" w:eastAsiaTheme="minorEastAsia" w:cstheme="minorEastAsia"/>
                <w:b w:val="0"/>
                <w:bCs w:val="0"/>
                <w:lang w:val="en-US"/>
              </w:rPr>
            </w:pPr>
          </w:p>
        </w:tc>
      </w:tr>
      <w:tr w14:paraId="44F7B228">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57" w:type="dxa"/>
            <w:bottom w:w="0" w:type="dxa"/>
            <w:right w:w="57" w:type="dxa"/>
          </w:tblCellMar>
        </w:tblPrEx>
        <w:trPr>
          <w:trHeight w:val="883" w:hRule="atLeast"/>
        </w:trPr>
        <w:tc>
          <w:tcPr>
            <w:tcW w:w="1828" w:type="dxa"/>
            <w:vAlign w:val="center"/>
          </w:tcPr>
          <w:p w14:paraId="1D757E5C">
            <w:pPr>
              <w:pStyle w:val="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时间</w:t>
            </w:r>
          </w:p>
        </w:tc>
        <w:tc>
          <w:tcPr>
            <w:tcW w:w="6448" w:type="dxa"/>
            <w:vAlign w:val="center"/>
          </w:tcPr>
          <w:p w14:paraId="3F7D4CCA">
            <w:pPr>
              <w:pStyle w:val="8"/>
              <w:jc w:val="both"/>
              <w:rPr>
                <w:rFonts w:hint="eastAsia" w:asciiTheme="minorEastAsia" w:hAnsiTheme="minorEastAsia" w:eastAsiaTheme="minorEastAsia" w:cstheme="minorEastAsia"/>
                <w:b w:val="0"/>
                <w:bCs w:val="0"/>
                <w:sz w:val="24"/>
                <w:szCs w:val="24"/>
              </w:rPr>
            </w:pPr>
            <w:r>
              <w:rPr>
                <w:rFonts w:hint="eastAsia" w:asciiTheme="minorEastAsia" w:hAnsiTheme="minorEastAsia" w:eastAsiaTheme="minorEastAsia" w:cstheme="minorEastAsia"/>
                <w:b w:val="0"/>
                <w:bCs w:val="0"/>
                <w:sz w:val="24"/>
                <w:szCs w:val="24"/>
              </w:rPr>
              <w:t>202</w:t>
            </w:r>
            <w:r>
              <w:rPr>
                <w:rFonts w:hint="eastAsia" w:asciiTheme="minorEastAsia" w:hAnsiTheme="minorEastAsia" w:eastAsiaTheme="minorEastAsia" w:cstheme="minorEastAsia"/>
                <w:b w:val="0"/>
                <w:bCs w:val="0"/>
                <w:sz w:val="24"/>
                <w:szCs w:val="24"/>
                <w:lang w:val="en-US" w:eastAsia="zh-CN"/>
              </w:rPr>
              <w:t>5</w:t>
            </w:r>
            <w:r>
              <w:rPr>
                <w:rFonts w:hint="eastAsia" w:asciiTheme="minorEastAsia" w:hAnsiTheme="minorEastAsia" w:eastAsiaTheme="minorEastAsia" w:cstheme="minorEastAsia"/>
                <w:b w:val="0"/>
                <w:bCs w:val="0"/>
                <w:sz w:val="24"/>
                <w:szCs w:val="24"/>
              </w:rPr>
              <w:t>年</w:t>
            </w:r>
            <w:r>
              <w:rPr>
                <w:rFonts w:hint="eastAsia" w:asciiTheme="minorEastAsia" w:hAnsiTheme="minorEastAsia" w:eastAsiaTheme="minorEastAsia" w:cstheme="minorEastAsia"/>
                <w:b w:val="0"/>
                <w:bCs w:val="0"/>
                <w:sz w:val="24"/>
                <w:szCs w:val="24"/>
                <w:lang w:val="en-US" w:eastAsia="zh-CN"/>
              </w:rPr>
              <w:t>3</w:t>
            </w:r>
            <w:r>
              <w:rPr>
                <w:rFonts w:hint="eastAsia" w:asciiTheme="minorEastAsia" w:hAnsiTheme="minorEastAsia" w:eastAsiaTheme="minorEastAsia" w:cstheme="minorEastAsia"/>
                <w:b w:val="0"/>
                <w:bCs w:val="0"/>
                <w:sz w:val="24"/>
                <w:szCs w:val="24"/>
              </w:rPr>
              <w:t>月</w:t>
            </w:r>
            <w:r>
              <w:rPr>
                <w:rFonts w:hint="eastAsia" w:asciiTheme="minorEastAsia" w:hAnsiTheme="minorEastAsia" w:eastAsiaTheme="minorEastAsia" w:cstheme="minorEastAsia"/>
                <w:b w:val="0"/>
                <w:bCs w:val="0"/>
                <w:sz w:val="24"/>
                <w:szCs w:val="24"/>
                <w:lang w:val="en-US" w:eastAsia="zh-CN"/>
              </w:rPr>
              <w:t>11</w:t>
            </w:r>
            <w:r>
              <w:rPr>
                <w:rFonts w:hint="eastAsia" w:asciiTheme="minorEastAsia" w:hAnsiTheme="minorEastAsia" w:eastAsiaTheme="minorEastAsia" w:cstheme="minorEastAsia"/>
                <w:b w:val="0"/>
                <w:bCs w:val="0"/>
                <w:sz w:val="24"/>
                <w:szCs w:val="24"/>
              </w:rPr>
              <w:t>日</w:t>
            </w:r>
          </w:p>
        </w:tc>
      </w:tr>
      <w:tr w14:paraId="2631832E">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57" w:type="dxa"/>
            <w:bottom w:w="0" w:type="dxa"/>
            <w:right w:w="57" w:type="dxa"/>
          </w:tblCellMar>
        </w:tblPrEx>
        <w:trPr>
          <w:trHeight w:val="861" w:hRule="atLeast"/>
        </w:trPr>
        <w:tc>
          <w:tcPr>
            <w:tcW w:w="1828" w:type="dxa"/>
            <w:vAlign w:val="center"/>
          </w:tcPr>
          <w:p w14:paraId="6D7A7B06">
            <w:pPr>
              <w:pStyle w:val="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地点</w:t>
            </w:r>
          </w:p>
        </w:tc>
        <w:tc>
          <w:tcPr>
            <w:tcW w:w="6448" w:type="dxa"/>
            <w:vAlign w:val="center"/>
          </w:tcPr>
          <w:p w14:paraId="0ECE94DC">
            <w:pPr>
              <w:pStyle w:val="8"/>
              <w:jc w:val="both"/>
              <w:rPr>
                <w:rFonts w:hint="eastAsia" w:asciiTheme="minorEastAsia" w:hAnsiTheme="minorEastAsia" w:eastAsiaTheme="minorEastAsia" w:cstheme="minorEastAsia"/>
                <w:b w:val="0"/>
                <w:bCs w:val="0"/>
                <w:sz w:val="24"/>
                <w:szCs w:val="24"/>
                <w:lang w:eastAsia="zh-CN"/>
              </w:rPr>
            </w:pPr>
            <w:r>
              <w:rPr>
                <w:rFonts w:hint="eastAsia" w:asciiTheme="minorEastAsia" w:hAnsiTheme="minorEastAsia" w:eastAsiaTheme="minorEastAsia" w:cstheme="minorEastAsia"/>
                <w:b w:val="0"/>
                <w:bCs w:val="0"/>
                <w:sz w:val="24"/>
                <w:szCs w:val="24"/>
                <w:lang w:val="en-US" w:eastAsia="zh-CN"/>
              </w:rPr>
              <w:t>公司会议室</w:t>
            </w:r>
          </w:p>
        </w:tc>
      </w:tr>
      <w:tr w14:paraId="2E891E79">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57" w:type="dxa"/>
            <w:bottom w:w="0" w:type="dxa"/>
            <w:right w:w="57" w:type="dxa"/>
          </w:tblCellMar>
        </w:tblPrEx>
        <w:trPr>
          <w:trHeight w:val="971" w:hRule="atLeast"/>
        </w:trPr>
        <w:tc>
          <w:tcPr>
            <w:tcW w:w="1828" w:type="dxa"/>
            <w:vAlign w:val="center"/>
          </w:tcPr>
          <w:p w14:paraId="259A8519">
            <w:pPr>
              <w:pStyle w:val="8"/>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lang w:eastAsia="zh-CN"/>
              </w:rPr>
              <w:t>上市公司接待人员姓名</w:t>
            </w:r>
          </w:p>
        </w:tc>
        <w:tc>
          <w:tcPr>
            <w:tcW w:w="6448" w:type="dxa"/>
            <w:vAlign w:val="center"/>
          </w:tcPr>
          <w:p w14:paraId="28FE434E">
            <w:pPr>
              <w:pStyle w:val="8"/>
              <w:jc w:val="both"/>
              <w:rPr>
                <w:rFonts w:hint="eastAsia" w:asciiTheme="minorEastAsia" w:hAnsiTheme="minorEastAsia" w:eastAsiaTheme="minorEastAsia" w:cstheme="minorEastAsia"/>
                <w:b w:val="0"/>
                <w:bCs w:val="0"/>
                <w:sz w:val="24"/>
                <w:szCs w:val="24"/>
                <w:lang w:eastAsia="zh-CN"/>
              </w:rPr>
            </w:pPr>
            <w:r>
              <w:rPr>
                <w:rFonts w:hint="eastAsia" w:asciiTheme="minorEastAsia" w:hAnsiTheme="minorEastAsia" w:eastAsiaTheme="minorEastAsia" w:cstheme="minorEastAsia"/>
                <w:b w:val="0"/>
                <w:bCs w:val="0"/>
                <w:sz w:val="24"/>
                <w:szCs w:val="24"/>
                <w:lang w:val="en-US" w:eastAsia="zh-CN"/>
              </w:rPr>
              <w:t>董事长</w:t>
            </w:r>
            <w:r>
              <w:rPr>
                <w:rFonts w:hint="eastAsia" w:asciiTheme="minorEastAsia" w:hAnsiTheme="minorEastAsia" w:eastAsiaTheme="minorEastAsia" w:cstheme="minorEastAsia"/>
                <w:b w:val="0"/>
                <w:bCs w:val="0"/>
                <w:sz w:val="24"/>
                <w:szCs w:val="24"/>
                <w:lang w:eastAsia="zh-CN"/>
              </w:rPr>
              <w:t xml:space="preserve">     </w:t>
            </w:r>
            <w:r>
              <w:rPr>
                <w:rFonts w:hint="eastAsia" w:asciiTheme="minorEastAsia" w:hAnsiTheme="minorEastAsia" w:eastAsiaTheme="minorEastAsia" w:cstheme="minorEastAsia"/>
                <w:b w:val="0"/>
                <w:bCs w:val="0"/>
                <w:sz w:val="24"/>
                <w:szCs w:val="24"/>
                <w:lang w:val="en-US" w:eastAsia="zh-CN"/>
              </w:rPr>
              <w:t xml:space="preserve"> </w:t>
            </w:r>
            <w:r>
              <w:rPr>
                <w:rFonts w:hint="eastAsia" w:asciiTheme="minorEastAsia" w:hAnsiTheme="minorEastAsia" w:eastAsiaTheme="minorEastAsia" w:cstheme="minorEastAsia"/>
                <w:b w:val="0"/>
                <w:bCs w:val="0"/>
                <w:sz w:val="24"/>
                <w:szCs w:val="24"/>
                <w:lang w:eastAsia="zh-CN"/>
              </w:rPr>
              <w:t xml:space="preserve"> </w:t>
            </w:r>
            <w:r>
              <w:rPr>
                <w:rFonts w:hint="eastAsia" w:asciiTheme="minorEastAsia" w:hAnsiTheme="minorEastAsia" w:eastAsiaTheme="minorEastAsia" w:cstheme="minorEastAsia"/>
                <w:b w:val="0"/>
                <w:bCs w:val="0"/>
                <w:sz w:val="24"/>
                <w:szCs w:val="24"/>
                <w:lang w:val="en-US" w:eastAsia="zh-CN"/>
              </w:rPr>
              <w:t>宗润福</w:t>
            </w:r>
          </w:p>
          <w:p w14:paraId="268DF1FC">
            <w:pPr>
              <w:pStyle w:val="8"/>
              <w:jc w:val="both"/>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b w:val="0"/>
                <w:bCs w:val="0"/>
                <w:sz w:val="24"/>
                <w:szCs w:val="24"/>
                <w:lang w:eastAsia="zh-CN"/>
              </w:rPr>
              <w:t>董事会秘书   刘书杰</w:t>
            </w:r>
          </w:p>
        </w:tc>
      </w:tr>
      <w:tr w14:paraId="2276CC80">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57" w:type="dxa"/>
            <w:bottom w:w="0" w:type="dxa"/>
            <w:right w:w="57" w:type="dxa"/>
          </w:tblCellMar>
        </w:tblPrEx>
        <w:trPr>
          <w:trHeight w:val="90" w:hRule="atLeast"/>
        </w:trPr>
        <w:tc>
          <w:tcPr>
            <w:tcW w:w="1828" w:type="dxa"/>
            <w:vAlign w:val="center"/>
          </w:tcPr>
          <w:p w14:paraId="5D62DE33">
            <w:pPr>
              <w:pStyle w:val="8"/>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投资者关系活动主要内容介绍</w:t>
            </w:r>
          </w:p>
        </w:tc>
        <w:tc>
          <w:tcPr>
            <w:tcW w:w="6448" w:type="dxa"/>
            <w:vAlign w:val="center"/>
          </w:tcPr>
          <w:p w14:paraId="7F714E8F">
            <w:pPr>
              <w:spacing w:after="156" w:afterLines="50" w:line="360" w:lineRule="auto"/>
              <w:rPr>
                <w:rFonts w:ascii="Times New Roman" w:hAnsi="Times New Roman"/>
                <w:b/>
                <w:bCs/>
                <w:sz w:val="24"/>
                <w:szCs w:val="24"/>
              </w:rPr>
            </w:pPr>
            <w:r>
              <w:rPr>
                <w:rFonts w:hint="eastAsia" w:ascii="Times New Roman" w:hAnsi="Times New Roman"/>
                <w:b/>
                <w:bCs/>
                <w:sz w:val="24"/>
                <w:szCs w:val="24"/>
              </w:rPr>
              <w:t>一、筹划控制权变更事项进展介绍</w:t>
            </w:r>
          </w:p>
          <w:p w14:paraId="356C3B34">
            <w:pPr>
              <w:spacing w:after="156" w:afterLines="50" w:line="360" w:lineRule="auto"/>
              <w:rPr>
                <w:rFonts w:ascii="Times New Roman" w:hAnsi="Times New Roman"/>
                <w:sz w:val="24"/>
                <w:szCs w:val="24"/>
              </w:rPr>
            </w:pPr>
            <w:r>
              <w:rPr>
                <w:rFonts w:hint="eastAsia" w:ascii="Times New Roman" w:hAnsi="Times New Roman"/>
                <w:sz w:val="24"/>
                <w:szCs w:val="24"/>
              </w:rPr>
              <w:t>尊敬的各位投资者，大家晚上好！</w:t>
            </w:r>
          </w:p>
          <w:p w14:paraId="1C44EEC1">
            <w:pPr>
              <w:spacing w:after="156" w:afterLines="50" w:line="360" w:lineRule="auto"/>
              <w:rPr>
                <w:rFonts w:ascii="Times New Roman" w:hAnsi="Times New Roman"/>
                <w:sz w:val="24"/>
                <w:szCs w:val="24"/>
              </w:rPr>
            </w:pPr>
            <w:r>
              <w:rPr>
                <w:rFonts w:hint="eastAsia" w:ascii="Times New Roman" w:hAnsi="Times New Roman"/>
                <w:sz w:val="24"/>
                <w:szCs w:val="24"/>
              </w:rPr>
              <w:t>我是芯源微董事长宗润福，感谢大家对公司筹划控制权变更事项的关注，我简单介绍本次交易的背景，然后我们转入问答交流环节。</w:t>
            </w:r>
          </w:p>
          <w:p w14:paraId="16BAAD16">
            <w:pPr>
              <w:spacing w:after="156" w:afterLines="50" w:line="360" w:lineRule="auto"/>
              <w:rPr>
                <w:rFonts w:ascii="Times New Roman" w:hAnsi="Times New Roman"/>
                <w:sz w:val="24"/>
                <w:szCs w:val="24"/>
              </w:rPr>
            </w:pPr>
            <w:r>
              <w:rPr>
                <w:rFonts w:hint="eastAsia" w:ascii="Times New Roman" w:hAnsi="Times New Roman"/>
                <w:sz w:val="24"/>
                <w:szCs w:val="24"/>
              </w:rPr>
              <w:t>本次交易是由公司、现有股东、北方华创多方统筹协商、并报地方国资及监管部门审查后开展的一次重要战略整合，是积极响应国家战略、充分应对市场竞争、持续突破核心技术大背景下的“强强联合”，是国内半导体装备企业整合的“里程碑”事件。</w:t>
            </w:r>
          </w:p>
          <w:p w14:paraId="7FB7960A">
            <w:pPr>
              <w:spacing w:after="156" w:afterLines="50" w:line="360" w:lineRule="auto"/>
              <w:rPr>
                <w:rFonts w:ascii="Times New Roman" w:hAnsi="Times New Roman"/>
                <w:sz w:val="24"/>
                <w:szCs w:val="24"/>
              </w:rPr>
            </w:pPr>
            <w:r>
              <w:rPr>
                <w:rFonts w:hint="eastAsia" w:ascii="Times New Roman" w:hAnsi="Times New Roman"/>
                <w:sz w:val="24"/>
                <w:szCs w:val="24"/>
              </w:rPr>
              <w:t>本次控制权收购拟采取“两步走”方案，第一步由北方华创通过“一对一”协议转让的方式受让先进制造持有的公司9.49%股份，交易定价为停牌前收盘价88.48元；第二步由北方华创通过“公开挂牌竞买”等方式积极争取公司控制权。</w:t>
            </w:r>
          </w:p>
          <w:p w14:paraId="6654F35A">
            <w:pPr>
              <w:spacing w:after="156" w:afterLines="50" w:line="360" w:lineRule="auto"/>
              <w:rPr>
                <w:rFonts w:ascii="Times New Roman" w:hAnsi="Times New Roman"/>
                <w:sz w:val="24"/>
                <w:szCs w:val="24"/>
              </w:rPr>
            </w:pPr>
            <w:r>
              <w:rPr>
                <w:rFonts w:hint="eastAsia" w:ascii="Times New Roman" w:hAnsi="Times New Roman"/>
                <w:sz w:val="24"/>
                <w:szCs w:val="24"/>
              </w:rPr>
              <w:t>未来，如上述交易顺利完成，公司产品将能有效填补北方华创在涂胶显影、高端化学清洗、先进封装等领域的产品空白，双方将合力打造国内产品线最丰富、覆盖面最广的半导体装备集团化企业，为客户提供一体化解决方案。公司也将与新晋股东北方华创通力配合，积极采取措施开展业务融合及战略协同，为股东创造更大的价值。</w:t>
            </w:r>
          </w:p>
          <w:p w14:paraId="5A4F6303">
            <w:pPr>
              <w:spacing w:after="156" w:afterLines="50" w:line="360" w:lineRule="auto"/>
              <w:rPr>
                <w:rFonts w:ascii="Times New Roman" w:hAnsi="Times New Roman"/>
                <w:sz w:val="24"/>
                <w:szCs w:val="24"/>
              </w:rPr>
            </w:pPr>
            <w:r>
              <w:rPr>
                <w:rFonts w:hint="eastAsia" w:ascii="Times New Roman" w:hAnsi="Times New Roman"/>
                <w:sz w:val="24"/>
                <w:szCs w:val="24"/>
              </w:rPr>
              <w:t>需要提示的是，上述交易的完成还需履行一系列法定程序，包括国资监管部门批准、股东自愿性股份限售承诺豁免、股东公开征集转让审批、交易所合规确认等，我们将继续秉持审慎态度，严格遵循监管要求，积极推进各项工作，也提请广大投资者注意投资风险。</w:t>
            </w:r>
          </w:p>
          <w:p w14:paraId="5923A3C8">
            <w:pPr>
              <w:pStyle w:val="13"/>
              <w:spacing w:line="360" w:lineRule="auto"/>
              <w:ind w:firstLine="0" w:firstLineChars="0"/>
              <w:rPr>
                <w:rFonts w:hint="eastAsia" w:asciiTheme="minorEastAsia" w:hAnsiTheme="minorEastAsia" w:eastAsiaTheme="minorEastAsia" w:cstheme="minorEastAsia"/>
                <w:sz w:val="24"/>
                <w:szCs w:val="24"/>
              </w:rPr>
            </w:pPr>
            <w:r>
              <w:rPr>
                <w:rFonts w:hint="eastAsia" w:ascii="Times New Roman" w:hAnsi="Times New Roman"/>
                <w:sz w:val="24"/>
                <w:szCs w:val="24"/>
              </w:rPr>
              <w:t>最后，再次感谢各位的关注与支持，期待与大家共同见证这一战略布局的丰硕成果！</w:t>
            </w:r>
          </w:p>
          <w:p w14:paraId="3D28177B">
            <w:pPr>
              <w:pStyle w:val="13"/>
              <w:spacing w:line="360" w:lineRule="auto"/>
              <w:ind w:firstLine="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 </w:t>
            </w:r>
          </w:p>
          <w:p w14:paraId="7EB6AA06">
            <w:pPr>
              <w:spacing w:after="156" w:afterLines="50" w:line="360" w:lineRule="auto"/>
              <w:rPr>
                <w:rFonts w:ascii="Times New Roman" w:hAnsi="Times New Roman"/>
                <w:b/>
                <w:bCs/>
                <w:sz w:val="24"/>
                <w:szCs w:val="24"/>
              </w:rPr>
            </w:pPr>
            <w:r>
              <w:rPr>
                <w:rFonts w:hint="eastAsia" w:ascii="Times New Roman" w:hAnsi="Times New Roman"/>
                <w:b/>
                <w:bCs/>
                <w:sz w:val="24"/>
                <w:szCs w:val="24"/>
              </w:rPr>
              <w:t>二、投资者问答环节</w:t>
            </w:r>
          </w:p>
          <w:p w14:paraId="7A9867BD">
            <w:pPr>
              <w:spacing w:after="156" w:afterLines="50" w:line="360" w:lineRule="auto"/>
              <w:rPr>
                <w:rFonts w:ascii="Times New Roman" w:hAnsi="Times New Roman"/>
                <w:b/>
                <w:bCs/>
                <w:sz w:val="24"/>
                <w:szCs w:val="24"/>
              </w:rPr>
            </w:pPr>
            <w:r>
              <w:rPr>
                <w:rFonts w:hint="eastAsia" w:ascii="Times New Roman" w:hAnsi="Times New Roman"/>
                <w:b/>
                <w:bCs/>
                <w:sz w:val="24"/>
                <w:szCs w:val="24"/>
              </w:rPr>
              <w:t>1、北方华创最终持股比例会达到什么样的水平，后续是否还有进一步争取更多股权的计划？</w:t>
            </w:r>
          </w:p>
          <w:p w14:paraId="2E4E76C8">
            <w:pPr>
              <w:spacing w:after="156" w:afterLines="50" w:line="360" w:lineRule="auto"/>
              <w:rPr>
                <w:rFonts w:hint="eastAsia" w:ascii="Times New Roman" w:hAnsi="Times New Roman"/>
                <w:sz w:val="24"/>
                <w:szCs w:val="24"/>
              </w:rPr>
            </w:pPr>
            <w:r>
              <w:rPr>
                <w:rFonts w:hint="eastAsia" w:ascii="Times New Roman" w:hAnsi="Times New Roman"/>
                <w:sz w:val="24"/>
                <w:szCs w:val="24"/>
              </w:rPr>
              <w:t>根据公司目前掌握的信息，本次收购分两步走，第一步北方华创受让先进制造持有的公司9.49%的股份，第二步由北方华创通过“公开挂牌竞买”等方式积极争取公司控制权。后续控制权变更事项有相关进展，或股东有其他诉求，公司也将及时通过公告的形式与大家交互。</w:t>
            </w:r>
          </w:p>
          <w:p w14:paraId="132F9C91">
            <w:pPr>
              <w:spacing w:after="156" w:afterLines="50" w:line="360" w:lineRule="auto"/>
              <w:rPr>
                <w:rFonts w:ascii="Times New Roman" w:hAnsi="Times New Roman"/>
                <w:b/>
                <w:bCs/>
                <w:sz w:val="24"/>
                <w:szCs w:val="24"/>
              </w:rPr>
            </w:pPr>
            <w:r>
              <w:rPr>
                <w:rFonts w:hint="eastAsia" w:ascii="Times New Roman" w:hAnsi="Times New Roman"/>
                <w:b/>
                <w:bCs/>
                <w:sz w:val="24"/>
                <w:szCs w:val="24"/>
              </w:rPr>
              <w:t>2、本次拟引入北方华创作为公司战略投资方，会对公司业务起到怎样的积极影响？</w:t>
            </w:r>
          </w:p>
          <w:p w14:paraId="6D9AA81B">
            <w:pPr>
              <w:spacing w:after="156" w:afterLines="50" w:line="360" w:lineRule="auto"/>
              <w:rPr>
                <w:rFonts w:ascii="Times New Roman" w:hAnsi="Times New Roman"/>
                <w:sz w:val="24"/>
                <w:szCs w:val="24"/>
              </w:rPr>
            </w:pPr>
            <w:r>
              <w:rPr>
                <w:rFonts w:hint="eastAsia" w:ascii="Times New Roman" w:hAnsi="Times New Roman"/>
                <w:sz w:val="24"/>
                <w:szCs w:val="24"/>
              </w:rPr>
              <w:t>本次拟引入北方华创作为公司战略投资方，将推动两家公司在研发、供应链、客户资源等方面开展全面共享，实现全方位协同：</w:t>
            </w:r>
          </w:p>
          <w:p w14:paraId="61301835">
            <w:pPr>
              <w:spacing w:after="156" w:afterLines="50" w:line="360" w:lineRule="auto"/>
              <w:rPr>
                <w:rFonts w:ascii="Times New Roman" w:hAnsi="Times New Roman"/>
                <w:sz w:val="24"/>
                <w:szCs w:val="24"/>
              </w:rPr>
            </w:pPr>
            <w:r>
              <w:rPr>
                <w:rFonts w:hint="eastAsia" w:ascii="Times New Roman" w:hAnsi="Times New Roman"/>
                <w:b/>
                <w:bCs/>
                <w:sz w:val="24"/>
                <w:szCs w:val="24"/>
              </w:rPr>
              <w:t>研发方面：</w:t>
            </w:r>
            <w:r>
              <w:rPr>
                <w:rFonts w:hint="eastAsia" w:ascii="Times New Roman" w:hAnsi="Times New Roman"/>
                <w:sz w:val="24"/>
                <w:szCs w:val="24"/>
              </w:rPr>
              <w:t>对共性技术开展合作研发，共享研发成果，节约研发资源，提高研发效率；</w:t>
            </w:r>
          </w:p>
          <w:p w14:paraId="0D1D8199">
            <w:pPr>
              <w:spacing w:after="156" w:afterLines="50" w:line="360" w:lineRule="auto"/>
              <w:rPr>
                <w:rFonts w:ascii="Times New Roman" w:hAnsi="Times New Roman"/>
                <w:sz w:val="24"/>
                <w:szCs w:val="24"/>
              </w:rPr>
            </w:pPr>
            <w:r>
              <w:rPr>
                <w:rFonts w:hint="eastAsia" w:ascii="Times New Roman" w:hAnsi="Times New Roman"/>
                <w:b/>
                <w:bCs/>
                <w:sz w:val="24"/>
                <w:szCs w:val="24"/>
              </w:rPr>
              <w:t>供应链方面：</w:t>
            </w:r>
            <w:r>
              <w:rPr>
                <w:rFonts w:hint="eastAsia" w:ascii="Times New Roman" w:hAnsi="Times New Roman"/>
                <w:sz w:val="24"/>
                <w:szCs w:val="24"/>
              </w:rPr>
              <w:t>共享零部件资源和渠道，维护供应链安全；发挥采购规模效应，持续降低采购成本；</w:t>
            </w:r>
          </w:p>
          <w:p w14:paraId="400183FA">
            <w:pPr>
              <w:spacing w:after="156" w:afterLines="50" w:line="360" w:lineRule="auto"/>
              <w:rPr>
                <w:rFonts w:ascii="Times New Roman" w:hAnsi="Times New Roman"/>
                <w:sz w:val="24"/>
                <w:szCs w:val="24"/>
              </w:rPr>
            </w:pPr>
            <w:r>
              <w:rPr>
                <w:rFonts w:hint="eastAsia" w:ascii="Times New Roman" w:hAnsi="Times New Roman"/>
                <w:b/>
                <w:bCs/>
                <w:sz w:val="24"/>
                <w:szCs w:val="24"/>
              </w:rPr>
              <w:t>客户方面：</w:t>
            </w:r>
            <w:r>
              <w:rPr>
                <w:rFonts w:hint="eastAsia" w:ascii="Times New Roman" w:hAnsi="Times New Roman"/>
                <w:sz w:val="24"/>
                <w:szCs w:val="24"/>
              </w:rPr>
              <w:t>共享客户资源；打造整体解决方案，协同销售。</w:t>
            </w:r>
          </w:p>
          <w:p w14:paraId="5C4F6B96">
            <w:pPr>
              <w:spacing w:after="156" w:afterLines="50" w:line="360" w:lineRule="auto"/>
              <w:rPr>
                <w:rFonts w:hint="eastAsia" w:ascii="Times New Roman" w:hAnsi="Times New Roman"/>
                <w:b/>
                <w:bCs/>
                <w:sz w:val="24"/>
                <w:szCs w:val="24"/>
              </w:rPr>
            </w:pPr>
            <w:r>
              <w:rPr>
                <w:rFonts w:hint="eastAsia" w:ascii="Times New Roman" w:hAnsi="Times New Roman"/>
                <w:b/>
                <w:bCs/>
                <w:sz w:val="24"/>
                <w:szCs w:val="24"/>
              </w:rPr>
              <w:t>3、收并购之后，公司的经营层是否有变化，股份交割预计在多长时间内完成？</w:t>
            </w:r>
          </w:p>
          <w:p w14:paraId="10175412">
            <w:pPr>
              <w:spacing w:after="156" w:afterLines="50" w:line="360" w:lineRule="auto"/>
              <w:rPr>
                <w:rFonts w:ascii="Times New Roman" w:hAnsi="Times New Roman"/>
                <w:sz w:val="24"/>
                <w:szCs w:val="24"/>
              </w:rPr>
            </w:pPr>
            <w:r>
              <w:rPr>
                <w:rFonts w:hint="eastAsia" w:ascii="Times New Roman" w:hAnsi="Times New Roman"/>
                <w:sz w:val="24"/>
                <w:szCs w:val="24"/>
              </w:rPr>
              <w:t>在本次交易推进的过程中，公司始终与北方华创保持良好沟通，双方都是半导体设备领域知名企业，均高度认可核心团队在公司创业发展过程中的重要作用。公司作为科创板上市公司，各方面管理规范稳健，未来也将会继续发挥管理团队的带头作用，同时充分借鉴北方华创好的管理经验，确保公司各项经营稳定高效。</w:t>
            </w:r>
          </w:p>
          <w:p w14:paraId="01EB14A6">
            <w:pPr>
              <w:spacing w:after="156" w:afterLines="50" w:line="360" w:lineRule="auto"/>
              <w:rPr>
                <w:rFonts w:hint="eastAsia" w:ascii="Times New Roman" w:hAnsi="Times New Roman"/>
                <w:sz w:val="24"/>
                <w:szCs w:val="24"/>
              </w:rPr>
            </w:pPr>
            <w:r>
              <w:rPr>
                <w:rFonts w:hint="eastAsia" w:ascii="Times New Roman" w:hAnsi="Times New Roman"/>
                <w:sz w:val="24"/>
                <w:szCs w:val="24"/>
              </w:rPr>
              <w:t>因本次股份交割涉及民营股东和国资股东，程序有差异，会有时间上的错位，还涉及限售股份豁免、公开征集转让、国资审批等事项，整个交割会争取尽快完成，目前各项工作都在稳步推进，后续公司将及时发布相关公告。</w:t>
            </w:r>
          </w:p>
          <w:p w14:paraId="3C473BF2">
            <w:pPr>
              <w:spacing w:after="156" w:afterLines="50" w:line="360" w:lineRule="auto"/>
              <w:rPr>
                <w:rFonts w:hint="eastAsia" w:ascii="Times New Roman" w:hAnsi="Times New Roman"/>
                <w:b/>
                <w:bCs/>
                <w:sz w:val="24"/>
                <w:szCs w:val="24"/>
              </w:rPr>
            </w:pPr>
            <w:r>
              <w:rPr>
                <w:rFonts w:hint="eastAsia" w:ascii="Times New Roman" w:hAnsi="Times New Roman"/>
                <w:b/>
                <w:bCs/>
                <w:sz w:val="24"/>
                <w:szCs w:val="24"/>
              </w:rPr>
              <w:t>4、股东变更对公司现有业务及未来战略会有哪些影响？</w:t>
            </w:r>
          </w:p>
          <w:p w14:paraId="13D38A82">
            <w:pPr>
              <w:spacing w:after="156" w:afterLines="50" w:line="360" w:lineRule="auto"/>
              <w:rPr>
                <w:rFonts w:hint="eastAsia" w:ascii="Times New Roman" w:hAnsi="Times New Roman"/>
                <w:sz w:val="24"/>
                <w:szCs w:val="24"/>
              </w:rPr>
            </w:pPr>
            <w:r>
              <w:rPr>
                <w:rFonts w:hint="eastAsia" w:ascii="Times New Roman" w:hAnsi="Times New Roman"/>
                <w:sz w:val="24"/>
                <w:szCs w:val="24"/>
              </w:rPr>
              <w:t>股东变动除了在资本层面强强整合，业务层面也会深度协同。公司整体战略发展大方向预计不会发生大的变化，但北方华创的入驻会帮助公司持续修正和完善大方向。北方华创是平台型公司，芯源微是细分领域龙头，后续双方还有很多可以整合、协同的点，不过具体细节还需双方进一步讨论后确定。</w:t>
            </w:r>
          </w:p>
          <w:p w14:paraId="3DF0FF1C">
            <w:pPr>
              <w:spacing w:after="156" w:afterLines="50" w:line="360" w:lineRule="auto"/>
              <w:rPr>
                <w:rFonts w:ascii="Times New Roman" w:hAnsi="Times New Roman"/>
                <w:b/>
                <w:bCs/>
                <w:sz w:val="24"/>
                <w:szCs w:val="24"/>
              </w:rPr>
            </w:pPr>
            <w:r>
              <w:rPr>
                <w:rFonts w:hint="eastAsia" w:ascii="Times New Roman" w:hAnsi="Times New Roman"/>
                <w:b/>
                <w:bCs/>
                <w:sz w:val="24"/>
                <w:szCs w:val="24"/>
              </w:rPr>
              <w:t>5、公司未来是否会在目前未涉及的环节重点发力？</w:t>
            </w:r>
          </w:p>
          <w:p w14:paraId="6177AC29">
            <w:pPr>
              <w:spacing w:after="156" w:afterLines="50" w:line="360" w:lineRule="auto"/>
              <w:rPr>
                <w:rFonts w:hint="eastAsia" w:ascii="Times New Roman" w:hAnsi="Times New Roman"/>
                <w:sz w:val="24"/>
                <w:szCs w:val="24"/>
              </w:rPr>
            </w:pPr>
            <w:r>
              <w:rPr>
                <w:rFonts w:hint="eastAsia" w:ascii="Times New Roman" w:hAnsi="Times New Roman"/>
                <w:sz w:val="24"/>
                <w:szCs w:val="24"/>
              </w:rPr>
              <w:t>公司会继续深耕现有产品主赛道，同时做好其他新产品的研发和储备。</w:t>
            </w:r>
          </w:p>
          <w:p w14:paraId="1E58DD13">
            <w:pPr>
              <w:spacing w:after="156" w:afterLines="50" w:line="360" w:lineRule="auto"/>
              <w:rPr>
                <w:rFonts w:ascii="Times New Roman" w:hAnsi="Times New Roman"/>
                <w:b/>
                <w:bCs/>
                <w:sz w:val="24"/>
                <w:szCs w:val="24"/>
              </w:rPr>
            </w:pPr>
            <w:r>
              <w:rPr>
                <w:rFonts w:hint="eastAsia" w:ascii="Times New Roman" w:hAnsi="Times New Roman"/>
                <w:b/>
                <w:bCs/>
                <w:sz w:val="24"/>
                <w:szCs w:val="24"/>
              </w:rPr>
              <w:t>6、北方华创如果取得公司的控制权，后续董事会席位如何安排？</w:t>
            </w:r>
          </w:p>
          <w:p w14:paraId="1437D0B8">
            <w:pPr>
              <w:spacing w:after="156" w:afterLines="50" w:line="360" w:lineRule="auto"/>
              <w:rPr>
                <w:rFonts w:ascii="Times New Roman" w:hAnsi="Times New Roman"/>
                <w:sz w:val="24"/>
                <w:szCs w:val="24"/>
              </w:rPr>
            </w:pPr>
            <w:r>
              <w:rPr>
                <w:rFonts w:hint="eastAsia" w:ascii="Times New Roman" w:hAnsi="Times New Roman"/>
                <w:sz w:val="24"/>
                <w:szCs w:val="24"/>
              </w:rPr>
              <w:t>公司未来董事会席位安排将按照相关法律法规及监管规则并由股东充分协商后确定，请持续关注公司后续公告。</w:t>
            </w:r>
          </w:p>
          <w:p w14:paraId="56F8E3E6">
            <w:pPr>
              <w:spacing w:after="156" w:afterLines="50" w:line="360" w:lineRule="auto"/>
              <w:rPr>
                <w:rFonts w:ascii="Times New Roman" w:hAnsi="Times New Roman"/>
                <w:b/>
                <w:bCs/>
                <w:sz w:val="24"/>
                <w:szCs w:val="24"/>
              </w:rPr>
            </w:pPr>
            <w:r>
              <w:rPr>
                <w:rFonts w:hint="eastAsia" w:ascii="Times New Roman" w:hAnsi="Times New Roman"/>
                <w:b/>
                <w:bCs/>
                <w:sz w:val="24"/>
                <w:szCs w:val="24"/>
              </w:rPr>
              <w:t>7、如果北方华创成功获得控股股东地位，是否会对公司管理层及业务层面进行改组？</w:t>
            </w:r>
          </w:p>
          <w:p w14:paraId="476C2B94">
            <w:pPr>
              <w:spacing w:after="156" w:afterLines="50" w:line="360" w:lineRule="auto"/>
              <w:rPr>
                <w:rFonts w:ascii="Times New Roman" w:hAnsi="Times New Roman"/>
                <w:sz w:val="24"/>
                <w:szCs w:val="24"/>
              </w:rPr>
            </w:pPr>
            <w:r>
              <w:rPr>
                <w:rFonts w:hint="eastAsia" w:ascii="Times New Roman" w:hAnsi="Times New Roman"/>
                <w:sz w:val="24"/>
                <w:szCs w:val="24"/>
              </w:rPr>
              <w:t>北方华创已和公司管理团队建立了良好的沟通机制，支持公司管理团队继续带领公司前进，同时充分赋能公司各项业务快速、稳健发展。</w:t>
            </w:r>
          </w:p>
          <w:p w14:paraId="1BD0A1BD">
            <w:pPr>
              <w:spacing w:after="156" w:afterLines="50" w:line="360" w:lineRule="auto"/>
              <w:rPr>
                <w:rFonts w:ascii="Times New Roman" w:hAnsi="Times New Roman"/>
                <w:b/>
                <w:bCs/>
                <w:sz w:val="24"/>
                <w:szCs w:val="24"/>
              </w:rPr>
            </w:pPr>
            <w:r>
              <w:rPr>
                <w:rFonts w:hint="eastAsia" w:ascii="Times New Roman" w:hAnsi="Times New Roman"/>
                <w:b/>
                <w:bCs/>
                <w:sz w:val="24"/>
                <w:szCs w:val="24"/>
              </w:rPr>
              <w:t>8、本次北方华创拟取得控制权，是否有不能达成的相关风险？</w:t>
            </w:r>
          </w:p>
          <w:p w14:paraId="583DE124">
            <w:pPr>
              <w:spacing w:after="156" w:afterLines="50" w:line="360" w:lineRule="auto"/>
              <w:rPr>
                <w:rFonts w:hint="eastAsia" w:asciiTheme="minorEastAsia" w:hAnsiTheme="minorEastAsia" w:eastAsiaTheme="minorEastAsia" w:cstheme="minorEastAsia"/>
                <w:sz w:val="24"/>
                <w:szCs w:val="24"/>
              </w:rPr>
            </w:pPr>
            <w:r>
              <w:rPr>
                <w:rFonts w:hint="eastAsia" w:ascii="Times New Roman" w:hAnsi="Times New Roman"/>
                <w:sz w:val="24"/>
                <w:szCs w:val="24"/>
              </w:rPr>
              <w:t xml:space="preserve">先进制造实控人郑广文先生的自愿性股份限售承诺豁免事项需通过公司2025年第一次临时股东大会审议。此外，中科天盛的股份要通过公开征集转让的方式转让，北方华创会积极通过公开挂牌竞买等方式继续增持公司股份并取得对公司的控制权，也提醒广大投资者注意投资风险。 </w:t>
            </w:r>
            <w:bookmarkStart w:id="0" w:name="_GoBack"/>
            <w:bookmarkEnd w:id="0"/>
          </w:p>
        </w:tc>
      </w:tr>
      <w:tr w14:paraId="72F8D5D9">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57" w:type="dxa"/>
            <w:bottom w:w="0" w:type="dxa"/>
            <w:right w:w="57" w:type="dxa"/>
          </w:tblCellMar>
        </w:tblPrEx>
        <w:trPr>
          <w:trHeight w:val="820" w:hRule="atLeast"/>
        </w:trPr>
        <w:tc>
          <w:tcPr>
            <w:tcW w:w="1828" w:type="dxa"/>
            <w:vAlign w:val="center"/>
          </w:tcPr>
          <w:p w14:paraId="42901BD6">
            <w:pPr>
              <w:pStyle w:val="8"/>
              <w:rPr>
                <w:rFonts w:hint="eastAsia" w:asciiTheme="minorEastAsia" w:hAnsiTheme="minorEastAsia" w:eastAsiaTheme="minorEastAsia" w:cstheme="minorEastAsia"/>
              </w:rPr>
            </w:pPr>
            <w:r>
              <w:rPr>
                <w:rFonts w:hint="eastAsia" w:asciiTheme="minorEastAsia" w:hAnsiTheme="minorEastAsia" w:eastAsiaTheme="minorEastAsia" w:cstheme="minorEastAsia"/>
              </w:rPr>
              <w:t>附件清单</w:t>
            </w:r>
          </w:p>
        </w:tc>
        <w:tc>
          <w:tcPr>
            <w:tcW w:w="6448" w:type="dxa"/>
            <w:vAlign w:val="center"/>
          </w:tcPr>
          <w:p w14:paraId="2D88C4F6">
            <w:pPr>
              <w:pStyle w:val="8"/>
              <w:jc w:val="both"/>
              <w:rPr>
                <w:rFonts w:hint="eastAsia" w:asciiTheme="minorEastAsia" w:hAnsiTheme="minorEastAsia" w:eastAsiaTheme="minorEastAsia" w:cstheme="minorEastAsia"/>
                <w:b w:val="0"/>
                <w:bCs w:val="0"/>
              </w:rPr>
            </w:pPr>
            <w:r>
              <w:rPr>
                <w:rFonts w:hint="eastAsia" w:asciiTheme="minorEastAsia" w:hAnsiTheme="minorEastAsia" w:eastAsiaTheme="minorEastAsia" w:cstheme="minorEastAsia"/>
                <w:b w:val="0"/>
                <w:bCs w:val="0"/>
              </w:rPr>
              <w:t>无</w:t>
            </w:r>
          </w:p>
        </w:tc>
      </w:tr>
      <w:tr w14:paraId="570274F0">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57" w:type="dxa"/>
            <w:bottom w:w="0" w:type="dxa"/>
            <w:right w:w="57" w:type="dxa"/>
          </w:tblCellMar>
        </w:tblPrEx>
        <w:trPr>
          <w:trHeight w:val="1311" w:hRule="atLeast"/>
        </w:trPr>
        <w:tc>
          <w:tcPr>
            <w:tcW w:w="1828" w:type="dxa"/>
            <w:vAlign w:val="center"/>
          </w:tcPr>
          <w:p w14:paraId="3987D1B8">
            <w:pPr>
              <w:spacing w:line="360" w:lineRule="auto"/>
              <w:jc w:val="center"/>
              <w:rPr>
                <w:rFonts w:hint="eastAsia" w:asciiTheme="minorEastAsia" w:hAnsiTheme="minorEastAsia" w:eastAsiaTheme="minorEastAsia" w:cstheme="minorEastAsia"/>
                <w:b/>
                <w:iCs/>
                <w:color w:val="000000"/>
                <w:sz w:val="22"/>
              </w:rPr>
            </w:pPr>
            <w:r>
              <w:rPr>
                <w:rFonts w:hint="eastAsia" w:asciiTheme="minorEastAsia" w:hAnsiTheme="minorEastAsia" w:eastAsiaTheme="minorEastAsia" w:cstheme="minorEastAsia"/>
                <w:b/>
                <w:iCs/>
                <w:color w:val="000000"/>
                <w:sz w:val="22"/>
              </w:rPr>
              <w:t>本次活动是否涉及应当披露重大信息</w:t>
            </w:r>
          </w:p>
        </w:tc>
        <w:tc>
          <w:tcPr>
            <w:tcW w:w="6448" w:type="dxa"/>
            <w:vAlign w:val="center"/>
          </w:tcPr>
          <w:p w14:paraId="2A854DB2">
            <w:pPr>
              <w:spacing w:line="360" w:lineRule="auto"/>
              <w:jc w:val="left"/>
              <w:rPr>
                <w:rFonts w:hint="eastAsia" w:asciiTheme="minorEastAsia" w:hAnsiTheme="minorEastAsia" w:eastAsiaTheme="minorEastAsia" w:cstheme="minorEastAsia"/>
                <w:sz w:val="22"/>
              </w:rPr>
            </w:pPr>
            <w:r>
              <w:rPr>
                <w:rFonts w:hint="eastAsia" w:asciiTheme="minorEastAsia" w:hAnsiTheme="minorEastAsia" w:eastAsiaTheme="minorEastAsia" w:cstheme="minorEastAsia"/>
                <w:kern w:val="0"/>
                <w:sz w:val="22"/>
                <w:lang w:val="zh-CN" w:bidi="zh-CN"/>
              </w:rPr>
              <w:t>不涉及</w:t>
            </w:r>
          </w:p>
        </w:tc>
      </w:tr>
    </w:tbl>
    <w:p w14:paraId="144CFBC6">
      <w:pPr>
        <w:rPr>
          <w:rFonts w:ascii="Times New Roman" w:hAnsi="Times New Roma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ourier New">
    <w:panose1 w:val="02070309020205020404"/>
    <w:charset w:val="00"/>
    <w:family w:val="modern"/>
    <w:pitch w:val="default"/>
    <w:sig w:usb0="E0002EFF" w:usb1="C0007843" w:usb2="00000009" w:usb3="00000000" w:csb0="400001FF" w:csb1="FFFF0000"/>
  </w:font>
  <w:font w:name="Wingdings 2">
    <w:panose1 w:val="05020102010507070707"/>
    <w:charset w:val="02"/>
    <w:family w:val="roman"/>
    <w:pitch w:val="default"/>
    <w:sig w:usb0="00000000" w:usb1="00000000" w:usb2="00000000" w:usb3="00000000" w:csb0="8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18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zBkNTNmNWE2N2FmZjQ3YjgyNTE0OGFiYzI0YTU4NjcifQ=="/>
  </w:docVars>
  <w:rsids>
    <w:rsidRoot w:val="00172A27"/>
    <w:rsid w:val="000013FB"/>
    <w:rsid w:val="0000718B"/>
    <w:rsid w:val="00013787"/>
    <w:rsid w:val="00026206"/>
    <w:rsid w:val="0004208B"/>
    <w:rsid w:val="00050682"/>
    <w:rsid w:val="00057746"/>
    <w:rsid w:val="00071F00"/>
    <w:rsid w:val="00075386"/>
    <w:rsid w:val="00075C1B"/>
    <w:rsid w:val="0008017B"/>
    <w:rsid w:val="00085CB8"/>
    <w:rsid w:val="00096F08"/>
    <w:rsid w:val="00097BF0"/>
    <w:rsid w:val="000B1036"/>
    <w:rsid w:val="000C058D"/>
    <w:rsid w:val="000D130B"/>
    <w:rsid w:val="000D4479"/>
    <w:rsid w:val="000E73FC"/>
    <w:rsid w:val="000F2864"/>
    <w:rsid w:val="000F54D4"/>
    <w:rsid w:val="001078E5"/>
    <w:rsid w:val="00112281"/>
    <w:rsid w:val="00120CF8"/>
    <w:rsid w:val="001230F7"/>
    <w:rsid w:val="001327BF"/>
    <w:rsid w:val="00141552"/>
    <w:rsid w:val="00146419"/>
    <w:rsid w:val="00161934"/>
    <w:rsid w:val="00170BC2"/>
    <w:rsid w:val="00172A27"/>
    <w:rsid w:val="00177690"/>
    <w:rsid w:val="00186014"/>
    <w:rsid w:val="00186AEE"/>
    <w:rsid w:val="001949F1"/>
    <w:rsid w:val="001B1CF3"/>
    <w:rsid w:val="001C023F"/>
    <w:rsid w:val="001E3729"/>
    <w:rsid w:val="001E6606"/>
    <w:rsid w:val="001E6CA1"/>
    <w:rsid w:val="001F2870"/>
    <w:rsid w:val="001F5BCC"/>
    <w:rsid w:val="001F6946"/>
    <w:rsid w:val="00204756"/>
    <w:rsid w:val="002112F2"/>
    <w:rsid w:val="002245A9"/>
    <w:rsid w:val="00224769"/>
    <w:rsid w:val="0022612C"/>
    <w:rsid w:val="00232CA9"/>
    <w:rsid w:val="002378D5"/>
    <w:rsid w:val="00242F6E"/>
    <w:rsid w:val="00246CB0"/>
    <w:rsid w:val="00247C11"/>
    <w:rsid w:val="00251525"/>
    <w:rsid w:val="00257C07"/>
    <w:rsid w:val="002621EB"/>
    <w:rsid w:val="00282408"/>
    <w:rsid w:val="0028685F"/>
    <w:rsid w:val="00290077"/>
    <w:rsid w:val="002900DE"/>
    <w:rsid w:val="002957A9"/>
    <w:rsid w:val="002A05FB"/>
    <w:rsid w:val="002A2632"/>
    <w:rsid w:val="002A7B44"/>
    <w:rsid w:val="002C4B07"/>
    <w:rsid w:val="002D4A3E"/>
    <w:rsid w:val="002E1194"/>
    <w:rsid w:val="002E6122"/>
    <w:rsid w:val="002F18B8"/>
    <w:rsid w:val="002F34A9"/>
    <w:rsid w:val="002F4D3B"/>
    <w:rsid w:val="002F5503"/>
    <w:rsid w:val="00310418"/>
    <w:rsid w:val="0032243D"/>
    <w:rsid w:val="00324889"/>
    <w:rsid w:val="003266B9"/>
    <w:rsid w:val="0034314D"/>
    <w:rsid w:val="0036220C"/>
    <w:rsid w:val="00363B7A"/>
    <w:rsid w:val="00372E31"/>
    <w:rsid w:val="003738F8"/>
    <w:rsid w:val="0037398C"/>
    <w:rsid w:val="00397775"/>
    <w:rsid w:val="003A7360"/>
    <w:rsid w:val="003D0180"/>
    <w:rsid w:val="003D1611"/>
    <w:rsid w:val="003D1F8F"/>
    <w:rsid w:val="003D7C37"/>
    <w:rsid w:val="003E13D5"/>
    <w:rsid w:val="004018D2"/>
    <w:rsid w:val="0041680B"/>
    <w:rsid w:val="00420A53"/>
    <w:rsid w:val="004457AF"/>
    <w:rsid w:val="00445D5F"/>
    <w:rsid w:val="0045053E"/>
    <w:rsid w:val="004579C1"/>
    <w:rsid w:val="00457C83"/>
    <w:rsid w:val="004804B1"/>
    <w:rsid w:val="00481066"/>
    <w:rsid w:val="004825C7"/>
    <w:rsid w:val="00485875"/>
    <w:rsid w:val="00487109"/>
    <w:rsid w:val="00492711"/>
    <w:rsid w:val="00497933"/>
    <w:rsid w:val="004A0E41"/>
    <w:rsid w:val="004B274A"/>
    <w:rsid w:val="004C6E8A"/>
    <w:rsid w:val="004D0044"/>
    <w:rsid w:val="004D0E90"/>
    <w:rsid w:val="004D2196"/>
    <w:rsid w:val="004D4772"/>
    <w:rsid w:val="004F7E50"/>
    <w:rsid w:val="005005EE"/>
    <w:rsid w:val="00546AD4"/>
    <w:rsid w:val="00546B65"/>
    <w:rsid w:val="00565184"/>
    <w:rsid w:val="00567B92"/>
    <w:rsid w:val="00571DCB"/>
    <w:rsid w:val="00583FF7"/>
    <w:rsid w:val="0058572E"/>
    <w:rsid w:val="005979AC"/>
    <w:rsid w:val="005B49FA"/>
    <w:rsid w:val="005C0BE1"/>
    <w:rsid w:val="005D4C4F"/>
    <w:rsid w:val="005E1B60"/>
    <w:rsid w:val="005E5F65"/>
    <w:rsid w:val="005F24E4"/>
    <w:rsid w:val="00601EB4"/>
    <w:rsid w:val="0060551E"/>
    <w:rsid w:val="006128A0"/>
    <w:rsid w:val="00643498"/>
    <w:rsid w:val="00644613"/>
    <w:rsid w:val="00644AEB"/>
    <w:rsid w:val="00647391"/>
    <w:rsid w:val="00647D50"/>
    <w:rsid w:val="00675A35"/>
    <w:rsid w:val="006821B3"/>
    <w:rsid w:val="006A5A12"/>
    <w:rsid w:val="006B67B9"/>
    <w:rsid w:val="006C0726"/>
    <w:rsid w:val="006C1AB7"/>
    <w:rsid w:val="006C5BF1"/>
    <w:rsid w:val="006F5CE4"/>
    <w:rsid w:val="00706A38"/>
    <w:rsid w:val="00720108"/>
    <w:rsid w:val="00736C8A"/>
    <w:rsid w:val="00741826"/>
    <w:rsid w:val="007445D3"/>
    <w:rsid w:val="00750240"/>
    <w:rsid w:val="0075081E"/>
    <w:rsid w:val="007646FA"/>
    <w:rsid w:val="007707C1"/>
    <w:rsid w:val="007729BA"/>
    <w:rsid w:val="0077414D"/>
    <w:rsid w:val="007754D1"/>
    <w:rsid w:val="00782DCC"/>
    <w:rsid w:val="00787343"/>
    <w:rsid w:val="00787AB5"/>
    <w:rsid w:val="007A2CF7"/>
    <w:rsid w:val="007B7EEE"/>
    <w:rsid w:val="007D3625"/>
    <w:rsid w:val="007D576A"/>
    <w:rsid w:val="007F4463"/>
    <w:rsid w:val="007F482A"/>
    <w:rsid w:val="007F58EF"/>
    <w:rsid w:val="007F637B"/>
    <w:rsid w:val="008002A3"/>
    <w:rsid w:val="008135E8"/>
    <w:rsid w:val="0081552C"/>
    <w:rsid w:val="00823BA0"/>
    <w:rsid w:val="008244AF"/>
    <w:rsid w:val="00831845"/>
    <w:rsid w:val="0083314D"/>
    <w:rsid w:val="00845FE6"/>
    <w:rsid w:val="0086454C"/>
    <w:rsid w:val="008710A0"/>
    <w:rsid w:val="00890D43"/>
    <w:rsid w:val="00892871"/>
    <w:rsid w:val="008A178E"/>
    <w:rsid w:val="008F3686"/>
    <w:rsid w:val="00905838"/>
    <w:rsid w:val="00916227"/>
    <w:rsid w:val="00916BCC"/>
    <w:rsid w:val="0094367A"/>
    <w:rsid w:val="00946049"/>
    <w:rsid w:val="0095342A"/>
    <w:rsid w:val="00961919"/>
    <w:rsid w:val="00962B4C"/>
    <w:rsid w:val="009721C6"/>
    <w:rsid w:val="00991656"/>
    <w:rsid w:val="009B28AB"/>
    <w:rsid w:val="009B482F"/>
    <w:rsid w:val="009B6530"/>
    <w:rsid w:val="009B7CE7"/>
    <w:rsid w:val="009C18BF"/>
    <w:rsid w:val="009C4A5F"/>
    <w:rsid w:val="009D5C30"/>
    <w:rsid w:val="009F7C6F"/>
    <w:rsid w:val="00A01636"/>
    <w:rsid w:val="00A06538"/>
    <w:rsid w:val="00A21D33"/>
    <w:rsid w:val="00A26D5E"/>
    <w:rsid w:val="00A278E0"/>
    <w:rsid w:val="00A33B8C"/>
    <w:rsid w:val="00A36D3E"/>
    <w:rsid w:val="00A45A2E"/>
    <w:rsid w:val="00A47FDE"/>
    <w:rsid w:val="00A55CF0"/>
    <w:rsid w:val="00A61D15"/>
    <w:rsid w:val="00A65912"/>
    <w:rsid w:val="00A670E5"/>
    <w:rsid w:val="00A67248"/>
    <w:rsid w:val="00A704F4"/>
    <w:rsid w:val="00A86E6F"/>
    <w:rsid w:val="00A91086"/>
    <w:rsid w:val="00A9222D"/>
    <w:rsid w:val="00AA6863"/>
    <w:rsid w:val="00AA69C9"/>
    <w:rsid w:val="00AF1406"/>
    <w:rsid w:val="00AF59FA"/>
    <w:rsid w:val="00B00B94"/>
    <w:rsid w:val="00B04CC6"/>
    <w:rsid w:val="00B07904"/>
    <w:rsid w:val="00B1428D"/>
    <w:rsid w:val="00B14DB2"/>
    <w:rsid w:val="00B32509"/>
    <w:rsid w:val="00B3311A"/>
    <w:rsid w:val="00B369E7"/>
    <w:rsid w:val="00B37C1B"/>
    <w:rsid w:val="00B4146F"/>
    <w:rsid w:val="00B42BB7"/>
    <w:rsid w:val="00B43A39"/>
    <w:rsid w:val="00B443ED"/>
    <w:rsid w:val="00B46850"/>
    <w:rsid w:val="00B82739"/>
    <w:rsid w:val="00B83A77"/>
    <w:rsid w:val="00B93124"/>
    <w:rsid w:val="00B95F7E"/>
    <w:rsid w:val="00BA3C63"/>
    <w:rsid w:val="00BB288D"/>
    <w:rsid w:val="00BB3C13"/>
    <w:rsid w:val="00BC0F3A"/>
    <w:rsid w:val="00BC2BE8"/>
    <w:rsid w:val="00BC45ED"/>
    <w:rsid w:val="00BD2A10"/>
    <w:rsid w:val="00BD6376"/>
    <w:rsid w:val="00BE044D"/>
    <w:rsid w:val="00BE3A6C"/>
    <w:rsid w:val="00BE527F"/>
    <w:rsid w:val="00BF11AC"/>
    <w:rsid w:val="00BF6446"/>
    <w:rsid w:val="00BF6C5C"/>
    <w:rsid w:val="00C06141"/>
    <w:rsid w:val="00C071E6"/>
    <w:rsid w:val="00C3383F"/>
    <w:rsid w:val="00C61DFF"/>
    <w:rsid w:val="00C86DC9"/>
    <w:rsid w:val="00CA2E98"/>
    <w:rsid w:val="00CA7A50"/>
    <w:rsid w:val="00CB390C"/>
    <w:rsid w:val="00CC656F"/>
    <w:rsid w:val="00CD2A62"/>
    <w:rsid w:val="00CD373B"/>
    <w:rsid w:val="00CE092D"/>
    <w:rsid w:val="00D00AD1"/>
    <w:rsid w:val="00D06292"/>
    <w:rsid w:val="00D10B96"/>
    <w:rsid w:val="00D11EBE"/>
    <w:rsid w:val="00D20714"/>
    <w:rsid w:val="00D36788"/>
    <w:rsid w:val="00D4786B"/>
    <w:rsid w:val="00D7024A"/>
    <w:rsid w:val="00D71A6D"/>
    <w:rsid w:val="00D75143"/>
    <w:rsid w:val="00D76FEF"/>
    <w:rsid w:val="00D824B5"/>
    <w:rsid w:val="00D8255D"/>
    <w:rsid w:val="00D87EB5"/>
    <w:rsid w:val="00DA0D6D"/>
    <w:rsid w:val="00DB7588"/>
    <w:rsid w:val="00DD0B44"/>
    <w:rsid w:val="00DD1492"/>
    <w:rsid w:val="00DE23F0"/>
    <w:rsid w:val="00DE432D"/>
    <w:rsid w:val="00DF2E2F"/>
    <w:rsid w:val="00DF3023"/>
    <w:rsid w:val="00DF4A25"/>
    <w:rsid w:val="00E02C6F"/>
    <w:rsid w:val="00E04058"/>
    <w:rsid w:val="00E10FC4"/>
    <w:rsid w:val="00E13D39"/>
    <w:rsid w:val="00E3550D"/>
    <w:rsid w:val="00E456C3"/>
    <w:rsid w:val="00E8014B"/>
    <w:rsid w:val="00E830CD"/>
    <w:rsid w:val="00E83F49"/>
    <w:rsid w:val="00E85EAF"/>
    <w:rsid w:val="00EA349D"/>
    <w:rsid w:val="00EA5C68"/>
    <w:rsid w:val="00EA71C0"/>
    <w:rsid w:val="00EC073D"/>
    <w:rsid w:val="00F022CC"/>
    <w:rsid w:val="00F03F0C"/>
    <w:rsid w:val="00F10BC9"/>
    <w:rsid w:val="00F14285"/>
    <w:rsid w:val="00F16D8F"/>
    <w:rsid w:val="00F2342C"/>
    <w:rsid w:val="00F24EA8"/>
    <w:rsid w:val="00F27C3A"/>
    <w:rsid w:val="00F37661"/>
    <w:rsid w:val="00F4075A"/>
    <w:rsid w:val="00F43BBD"/>
    <w:rsid w:val="00F52CE3"/>
    <w:rsid w:val="00F53DB0"/>
    <w:rsid w:val="00F717E0"/>
    <w:rsid w:val="00F82A9E"/>
    <w:rsid w:val="00F83E84"/>
    <w:rsid w:val="00F84131"/>
    <w:rsid w:val="00F94CBF"/>
    <w:rsid w:val="00FB7D72"/>
    <w:rsid w:val="00FD655B"/>
    <w:rsid w:val="00FD7A4E"/>
    <w:rsid w:val="00FD7D7A"/>
    <w:rsid w:val="00FE6A8F"/>
    <w:rsid w:val="00FF710B"/>
    <w:rsid w:val="019606E4"/>
    <w:rsid w:val="026E6F9B"/>
    <w:rsid w:val="027A7562"/>
    <w:rsid w:val="03D8291E"/>
    <w:rsid w:val="03F31506"/>
    <w:rsid w:val="05300538"/>
    <w:rsid w:val="05760640"/>
    <w:rsid w:val="06847E86"/>
    <w:rsid w:val="08404F36"/>
    <w:rsid w:val="08F85C2E"/>
    <w:rsid w:val="09C224B5"/>
    <w:rsid w:val="0A6842D0"/>
    <w:rsid w:val="0BF978D5"/>
    <w:rsid w:val="0CBB3A8C"/>
    <w:rsid w:val="108A7B5C"/>
    <w:rsid w:val="10A37188"/>
    <w:rsid w:val="10B93AD7"/>
    <w:rsid w:val="11651569"/>
    <w:rsid w:val="118D5FF0"/>
    <w:rsid w:val="11CF7DA0"/>
    <w:rsid w:val="12980C6C"/>
    <w:rsid w:val="12B8180E"/>
    <w:rsid w:val="12D6271E"/>
    <w:rsid w:val="12EC7717"/>
    <w:rsid w:val="12FB5F8E"/>
    <w:rsid w:val="139F6FB4"/>
    <w:rsid w:val="13F54E52"/>
    <w:rsid w:val="143E4A1F"/>
    <w:rsid w:val="15A20FDE"/>
    <w:rsid w:val="163D1C75"/>
    <w:rsid w:val="16EA6706"/>
    <w:rsid w:val="180557BB"/>
    <w:rsid w:val="18374CC0"/>
    <w:rsid w:val="18A16F49"/>
    <w:rsid w:val="19103A51"/>
    <w:rsid w:val="1AF000F5"/>
    <w:rsid w:val="1B6D1746"/>
    <w:rsid w:val="1D867CB6"/>
    <w:rsid w:val="1DAF24EA"/>
    <w:rsid w:val="1E921F4D"/>
    <w:rsid w:val="1F3507CD"/>
    <w:rsid w:val="1F3F552E"/>
    <w:rsid w:val="20254CE5"/>
    <w:rsid w:val="22230DB0"/>
    <w:rsid w:val="226F642F"/>
    <w:rsid w:val="22BD1205"/>
    <w:rsid w:val="24042E63"/>
    <w:rsid w:val="243174AE"/>
    <w:rsid w:val="24E16D01"/>
    <w:rsid w:val="253379A7"/>
    <w:rsid w:val="274F370D"/>
    <w:rsid w:val="278A6426"/>
    <w:rsid w:val="281F65F3"/>
    <w:rsid w:val="283D06F2"/>
    <w:rsid w:val="2A5528B6"/>
    <w:rsid w:val="2B4F768C"/>
    <w:rsid w:val="2B832ABC"/>
    <w:rsid w:val="2D080EB0"/>
    <w:rsid w:val="2D510EC7"/>
    <w:rsid w:val="30A65F04"/>
    <w:rsid w:val="331D1AE3"/>
    <w:rsid w:val="33512240"/>
    <w:rsid w:val="337E3FFB"/>
    <w:rsid w:val="338308EC"/>
    <w:rsid w:val="34CD6CE8"/>
    <w:rsid w:val="351B15A0"/>
    <w:rsid w:val="35CA5CBB"/>
    <w:rsid w:val="379E4FE5"/>
    <w:rsid w:val="37B704C1"/>
    <w:rsid w:val="37FF3EFD"/>
    <w:rsid w:val="38286CC9"/>
    <w:rsid w:val="38EA0422"/>
    <w:rsid w:val="3A287454"/>
    <w:rsid w:val="3A506CF3"/>
    <w:rsid w:val="3C830972"/>
    <w:rsid w:val="3D5B544A"/>
    <w:rsid w:val="3E6D7B2B"/>
    <w:rsid w:val="403326AF"/>
    <w:rsid w:val="410F3E94"/>
    <w:rsid w:val="42284489"/>
    <w:rsid w:val="46080139"/>
    <w:rsid w:val="46236324"/>
    <w:rsid w:val="46AC6D78"/>
    <w:rsid w:val="473A46B1"/>
    <w:rsid w:val="476870E2"/>
    <w:rsid w:val="478B1022"/>
    <w:rsid w:val="47F3492D"/>
    <w:rsid w:val="48385556"/>
    <w:rsid w:val="4A706BF1"/>
    <w:rsid w:val="4BF947AC"/>
    <w:rsid w:val="4CCA6149"/>
    <w:rsid w:val="4D537EEC"/>
    <w:rsid w:val="4E600B13"/>
    <w:rsid w:val="4F0920D7"/>
    <w:rsid w:val="4F9D5D96"/>
    <w:rsid w:val="4FD962C1"/>
    <w:rsid w:val="50213118"/>
    <w:rsid w:val="505938C8"/>
    <w:rsid w:val="505B2982"/>
    <w:rsid w:val="5113216C"/>
    <w:rsid w:val="53004672"/>
    <w:rsid w:val="53F65A75"/>
    <w:rsid w:val="555A507B"/>
    <w:rsid w:val="55823A64"/>
    <w:rsid w:val="55CF47D0"/>
    <w:rsid w:val="57AC301B"/>
    <w:rsid w:val="58DE5456"/>
    <w:rsid w:val="596B480F"/>
    <w:rsid w:val="597B7419"/>
    <w:rsid w:val="59E63E43"/>
    <w:rsid w:val="5B122D9B"/>
    <w:rsid w:val="5C433822"/>
    <w:rsid w:val="5EF64DDC"/>
    <w:rsid w:val="5F3C0E6C"/>
    <w:rsid w:val="5F76390E"/>
    <w:rsid w:val="5F865A2F"/>
    <w:rsid w:val="5FD71D61"/>
    <w:rsid w:val="5FF437B1"/>
    <w:rsid w:val="61223A5E"/>
    <w:rsid w:val="61300818"/>
    <w:rsid w:val="627D7A8D"/>
    <w:rsid w:val="62D97612"/>
    <w:rsid w:val="63462575"/>
    <w:rsid w:val="63660521"/>
    <w:rsid w:val="639808F7"/>
    <w:rsid w:val="64F144DB"/>
    <w:rsid w:val="65AC068A"/>
    <w:rsid w:val="67694146"/>
    <w:rsid w:val="67AA6545"/>
    <w:rsid w:val="6828415A"/>
    <w:rsid w:val="685177E2"/>
    <w:rsid w:val="6A222833"/>
    <w:rsid w:val="6AF34F19"/>
    <w:rsid w:val="6D512242"/>
    <w:rsid w:val="6E0B4EFA"/>
    <w:rsid w:val="6E0E568D"/>
    <w:rsid w:val="6E432D7D"/>
    <w:rsid w:val="6ED722D3"/>
    <w:rsid w:val="6F3C0396"/>
    <w:rsid w:val="6F9E443B"/>
    <w:rsid w:val="6FB57A86"/>
    <w:rsid w:val="70904E30"/>
    <w:rsid w:val="70CC5ED0"/>
    <w:rsid w:val="71AA3CCF"/>
    <w:rsid w:val="71CC00E9"/>
    <w:rsid w:val="72343EE1"/>
    <w:rsid w:val="72543B78"/>
    <w:rsid w:val="72E871A5"/>
    <w:rsid w:val="7358514C"/>
    <w:rsid w:val="744E19CE"/>
    <w:rsid w:val="759F0E0D"/>
    <w:rsid w:val="76557722"/>
    <w:rsid w:val="76CB2A58"/>
    <w:rsid w:val="775B5A6C"/>
    <w:rsid w:val="77933457"/>
    <w:rsid w:val="78A771BA"/>
    <w:rsid w:val="792E13FC"/>
    <w:rsid w:val="798A6094"/>
    <w:rsid w:val="7A462A03"/>
    <w:rsid w:val="7A552C46"/>
    <w:rsid w:val="7A57076C"/>
    <w:rsid w:val="7C4879EE"/>
    <w:rsid w:val="7CE5486A"/>
    <w:rsid w:val="7D0E0889"/>
    <w:rsid w:val="7D474AC8"/>
    <w:rsid w:val="7D8618BE"/>
    <w:rsid w:val="7DC3427C"/>
    <w:rsid w:val="7EF70770"/>
    <w:rsid w:val="7F2F3C55"/>
    <w:rsid w:val="7FB04B2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Calibri" w:hAnsi="Calibri" w:eastAsia="宋体" w:cs="Times New Roman"/>
      <w:kern w:val="2"/>
      <w:sz w:val="21"/>
      <w:szCs w:val="22"/>
      <w:lang w:val="en-US" w:eastAsia="zh-CN" w:bidi="ar-SA"/>
    </w:rPr>
  </w:style>
  <w:style w:type="character" w:default="1" w:styleId="7">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Balloon Text"/>
    <w:basedOn w:val="1"/>
    <w:link w:val="11"/>
    <w:autoRedefine/>
    <w:semiHidden/>
    <w:unhideWhenUsed/>
    <w:qFormat/>
    <w:uiPriority w:val="99"/>
    <w:rPr>
      <w:sz w:val="18"/>
      <w:szCs w:val="18"/>
    </w:rPr>
  </w:style>
  <w:style w:type="paragraph" w:styleId="3">
    <w:name w:val="footer"/>
    <w:basedOn w:val="1"/>
    <w:link w:val="10"/>
    <w:autoRedefine/>
    <w:unhideWhenUsed/>
    <w:qFormat/>
    <w:uiPriority w:val="99"/>
    <w:pPr>
      <w:tabs>
        <w:tab w:val="center" w:pos="4153"/>
        <w:tab w:val="right" w:pos="8306"/>
      </w:tabs>
      <w:snapToGrid w:val="0"/>
      <w:jc w:val="left"/>
    </w:pPr>
    <w:rPr>
      <w:sz w:val="18"/>
      <w:szCs w:val="18"/>
    </w:rPr>
  </w:style>
  <w:style w:type="paragraph" w:styleId="4">
    <w:name w:val="header"/>
    <w:basedOn w:val="1"/>
    <w:link w:val="9"/>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HTML Preformatted"/>
    <w:basedOn w:val="1"/>
    <w:link w:val="12"/>
    <w:autoRedefine/>
    <w:semiHidden/>
    <w:unhideWhenUsed/>
    <w:qFormat/>
    <w:uiPriority w:val="99"/>
    <w:rPr>
      <w:rFonts w:ascii="Courier New" w:hAnsi="Courier New" w:cs="Courier New"/>
      <w:sz w:val="20"/>
      <w:szCs w:val="20"/>
    </w:rPr>
  </w:style>
  <w:style w:type="paragraph" w:customStyle="1" w:styleId="8">
    <w:name w:val="Table Paragraph"/>
    <w:basedOn w:val="1"/>
    <w:autoRedefine/>
    <w:qFormat/>
    <w:uiPriority w:val="1"/>
    <w:pPr>
      <w:autoSpaceDE w:val="0"/>
      <w:autoSpaceDN w:val="0"/>
      <w:spacing w:line="360" w:lineRule="auto"/>
      <w:jc w:val="center"/>
    </w:pPr>
    <w:rPr>
      <w:rFonts w:ascii="宋体" w:hAnsi="宋体" w:cs="宋体"/>
      <w:b/>
      <w:bCs/>
      <w:kern w:val="0"/>
      <w:sz w:val="22"/>
      <w:lang w:val="zh-CN" w:eastAsia="en-US" w:bidi="zh-CN"/>
    </w:rPr>
  </w:style>
  <w:style w:type="character" w:customStyle="1" w:styleId="9">
    <w:name w:val="页眉 字符"/>
    <w:basedOn w:val="7"/>
    <w:link w:val="4"/>
    <w:autoRedefine/>
    <w:qFormat/>
    <w:uiPriority w:val="99"/>
    <w:rPr>
      <w:rFonts w:ascii="Calibri" w:hAnsi="Calibri" w:eastAsia="宋体" w:cs="Times New Roman"/>
      <w:sz w:val="18"/>
      <w:szCs w:val="18"/>
    </w:rPr>
  </w:style>
  <w:style w:type="character" w:customStyle="1" w:styleId="10">
    <w:name w:val="页脚 字符"/>
    <w:basedOn w:val="7"/>
    <w:link w:val="3"/>
    <w:autoRedefine/>
    <w:qFormat/>
    <w:uiPriority w:val="99"/>
    <w:rPr>
      <w:rFonts w:ascii="Calibri" w:hAnsi="Calibri" w:eastAsia="宋体" w:cs="Times New Roman"/>
      <w:sz w:val="18"/>
      <w:szCs w:val="18"/>
    </w:rPr>
  </w:style>
  <w:style w:type="character" w:customStyle="1" w:styleId="11">
    <w:name w:val="批注框文本 字符"/>
    <w:basedOn w:val="7"/>
    <w:link w:val="2"/>
    <w:autoRedefine/>
    <w:semiHidden/>
    <w:qFormat/>
    <w:uiPriority w:val="99"/>
    <w:rPr>
      <w:rFonts w:ascii="Calibri" w:hAnsi="Calibri" w:eastAsia="宋体" w:cs="Times New Roman"/>
      <w:sz w:val="18"/>
      <w:szCs w:val="18"/>
    </w:rPr>
  </w:style>
  <w:style w:type="character" w:customStyle="1" w:styleId="12">
    <w:name w:val="HTML 预设格式 字符"/>
    <w:basedOn w:val="7"/>
    <w:link w:val="5"/>
    <w:autoRedefine/>
    <w:semiHidden/>
    <w:qFormat/>
    <w:uiPriority w:val="99"/>
    <w:rPr>
      <w:rFonts w:ascii="Courier New" w:hAnsi="Courier New" w:eastAsia="宋体" w:cs="Courier New"/>
      <w:sz w:val="20"/>
      <w:szCs w:val="20"/>
    </w:rPr>
  </w:style>
  <w:style w:type="paragraph" w:styleId="13">
    <w:name w:val="List Paragraph"/>
    <w:basedOn w:val="1"/>
    <w:autoRedefine/>
    <w:qFormat/>
    <w:uiPriority w:val="34"/>
    <w:pPr>
      <w:ind w:firstLine="420" w:firstLineChars="200"/>
    </w:pPr>
  </w:style>
  <w:style w:type="character" w:customStyle="1" w:styleId="14">
    <w:name w:val="font11"/>
    <w:basedOn w:val="7"/>
    <w:autoRedefine/>
    <w:qFormat/>
    <w:uiPriority w:val="0"/>
    <w:rPr>
      <w:rFonts w:hint="eastAsia" w:ascii="宋体" w:hAnsi="宋体" w:eastAsia="宋体" w:cs="宋体"/>
      <w:color w:val="000000"/>
      <w:sz w:val="21"/>
      <w:szCs w:val="21"/>
      <w:u w:val="none"/>
    </w:rPr>
  </w:style>
  <w:style w:type="paragraph" w:customStyle="1" w:styleId="15">
    <w:name w:val="修订1"/>
    <w:hidden/>
    <w:unhideWhenUsed/>
    <w:qFormat/>
    <w:uiPriority w:val="99"/>
    <w:rPr>
      <w:rFonts w:ascii="Calibri" w:hAnsi="Calibri" w:eastAsia="宋体" w:cs="Times New Roman"/>
      <w:kern w:val="2"/>
      <w:sz w:val="21"/>
      <w:szCs w:val="22"/>
      <w:lang w:val="en-US" w:eastAsia="zh-CN" w:bidi="ar-SA"/>
    </w:rPr>
  </w:style>
  <w:style w:type="paragraph" w:customStyle="1" w:styleId="16">
    <w:name w:val="Revision"/>
    <w:hidden/>
    <w:unhideWhenUsed/>
    <w:uiPriority w:val="99"/>
    <w:rPr>
      <w:rFonts w:ascii="Calibri"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AA234D5-E7C0-44F4-A638-787782A779F6}">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7</Pages>
  <Words>3342</Words>
  <Characters>3378</Characters>
  <Lines>26</Lines>
  <Paragraphs>7</Paragraphs>
  <TotalTime>1</TotalTime>
  <ScaleCrop>false</ScaleCrop>
  <LinksUpToDate>false</LinksUpToDate>
  <CharactersWithSpaces>3459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2025-03-12T05:49:00Z</dcterms:created>
  <dc:creator>Windows 用户</dc:creator>
  <cp:lastModifiedBy>宗健腾</cp:lastModifiedBy>
  <cp:lastPrinted>2020-12-31T04:57:00Z</cp:lastPrinted>
  <dcterms:modified xsi:type="dcterms:W3CDTF">2025-03-12T06:53:29Z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ABD6DFC231FC4D189A750B0CD020A22D</vt:lpwstr>
  </property>
  <property fmtid="{D5CDD505-2E9C-101B-9397-08002B2CF9AE}" pid="4" name="KSOTemplateDocerSaveRecord">
    <vt:lpwstr>eyJoZGlkIjoiYzBkNTNmNWE2N2FmZjQ3YjgyNTE0OGFiYzI0YTU4NjciLCJ1c2VySWQiOiI3MjI2OTg3MDEifQ==</vt:lpwstr>
  </property>
</Properties>
</file>