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A3E1BF">
      <w:pPr>
        <w:pStyle w:val="2"/>
        <w:spacing w:before="40"/>
        <w:ind w:left="0" w:leftChars="0" w:firstLine="240" w:firstLineChars="100"/>
        <w:jc w:val="left"/>
        <w:rPr>
          <w:rFonts w:hint="default" w:eastAsia="宋体"/>
          <w:lang w:val="en-US" w:eastAsia="zh-CN"/>
        </w:rPr>
      </w:pPr>
      <w:r>
        <w:t>证券代码：</w:t>
      </w:r>
      <w:r>
        <w:rPr>
          <w:rFonts w:hint="eastAsia"/>
          <w:lang w:val="en-US" w:eastAsia="zh-CN"/>
        </w:rPr>
        <w:t>688380</w:t>
      </w:r>
      <w:r>
        <w:t xml:space="preserve"> </w:t>
      </w:r>
      <w:r>
        <w:rPr>
          <w:rFonts w:hint="eastAsia"/>
          <w:lang w:val="en-US" w:eastAsia="zh-CN"/>
        </w:rPr>
        <w:t xml:space="preserve">                                           </w:t>
      </w:r>
      <w:r>
        <w:t>证券简称：</w:t>
      </w:r>
      <w:r>
        <w:rPr>
          <w:rFonts w:hint="eastAsia"/>
          <w:lang w:val="en-US" w:eastAsia="zh-CN"/>
        </w:rPr>
        <w:t>中微半导</w:t>
      </w:r>
    </w:p>
    <w:p w14:paraId="113A2269">
      <w:pPr>
        <w:pStyle w:val="2"/>
        <w:rPr>
          <w:sz w:val="29"/>
        </w:rPr>
      </w:pPr>
    </w:p>
    <w:p w14:paraId="10B25651">
      <w:pPr>
        <w:spacing w:before="54"/>
        <w:ind w:left="1943" w:right="1782" w:firstLine="0"/>
        <w:jc w:val="center"/>
        <w:rPr>
          <w:b/>
          <w:sz w:val="32"/>
        </w:rPr>
      </w:pPr>
      <w:r>
        <w:rPr>
          <w:rFonts w:hint="eastAsia"/>
          <w:b/>
          <w:sz w:val="32"/>
          <w:lang w:val="en-US" w:eastAsia="zh-CN"/>
        </w:rPr>
        <w:t>中微半导体（深圳）</w:t>
      </w:r>
      <w:r>
        <w:rPr>
          <w:b/>
          <w:sz w:val="32"/>
        </w:rPr>
        <w:t>股份有限公司</w:t>
      </w:r>
    </w:p>
    <w:p w14:paraId="59D22B01">
      <w:pPr>
        <w:spacing w:before="54"/>
        <w:ind w:left="1943" w:right="1782" w:firstLine="0"/>
        <w:jc w:val="center"/>
        <w:rPr>
          <w:rFonts w:hint="default"/>
          <w:b/>
          <w:sz w:val="32"/>
          <w:lang w:val="en-US"/>
        </w:rPr>
      </w:pPr>
      <w:r>
        <w:rPr>
          <w:b/>
          <w:sz w:val="32"/>
        </w:rPr>
        <w:t>投资者关系活动记录表</w:t>
      </w:r>
      <w:r>
        <w:rPr>
          <w:b/>
          <w:w w:val="98"/>
          <w:sz w:val="32"/>
        </w:rPr>
        <w:t xml:space="preserve"> </w:t>
      </w:r>
    </w:p>
    <w:p w14:paraId="045483BD">
      <w:pPr>
        <w:keepNext w:val="0"/>
        <w:keepLines w:val="0"/>
        <w:pageBreakBefore w:val="0"/>
        <w:widowControl w:val="0"/>
        <w:kinsoku/>
        <w:wordWrap/>
        <w:overflowPunct/>
        <w:topLinePunct w:val="0"/>
        <w:autoSpaceDE w:val="0"/>
        <w:autoSpaceDN w:val="0"/>
        <w:bidi w:val="0"/>
        <w:adjustRightInd/>
        <w:snapToGrid/>
        <w:spacing w:before="132" w:after="21"/>
        <w:ind w:left="0" w:right="0" w:firstLine="0"/>
        <w:jc w:val="center"/>
        <w:textAlignment w:val="auto"/>
        <w:rPr>
          <w:rFonts w:hint="default" w:eastAsia="宋体"/>
          <w:sz w:val="24"/>
          <w:szCs w:val="28"/>
          <w:highlight w:val="yellow"/>
          <w:lang w:val="en-US" w:eastAsia="zh-CN"/>
        </w:rPr>
      </w:pPr>
      <w:r>
        <w:rPr>
          <w:rFonts w:hint="eastAsia"/>
          <w:sz w:val="24"/>
          <w:szCs w:val="28"/>
          <w:highlight w:val="none"/>
          <w:lang w:val="en-US" w:eastAsia="zh-CN"/>
        </w:rPr>
        <w:t xml:space="preserve">                                                                 </w:t>
      </w:r>
      <w:r>
        <w:rPr>
          <w:sz w:val="24"/>
          <w:szCs w:val="28"/>
          <w:highlight w:val="none"/>
        </w:rPr>
        <w:t>编号</w:t>
      </w:r>
      <w:r>
        <w:rPr>
          <w:rFonts w:hint="eastAsia"/>
          <w:sz w:val="24"/>
          <w:szCs w:val="28"/>
          <w:highlight w:val="none"/>
          <w:lang w:eastAsia="zh-CN"/>
        </w:rPr>
        <w:t>：</w:t>
      </w:r>
      <w:r>
        <w:rPr>
          <w:sz w:val="24"/>
          <w:szCs w:val="28"/>
          <w:highlight w:val="none"/>
        </w:rPr>
        <w:t>202</w:t>
      </w:r>
      <w:r>
        <w:rPr>
          <w:rFonts w:hint="eastAsia"/>
          <w:sz w:val="24"/>
          <w:szCs w:val="28"/>
          <w:highlight w:val="none"/>
          <w:lang w:val="en-US" w:eastAsia="zh-CN"/>
        </w:rPr>
        <w:t>5</w:t>
      </w:r>
      <w:r>
        <w:rPr>
          <w:sz w:val="24"/>
          <w:szCs w:val="28"/>
          <w:highlight w:val="none"/>
        </w:rPr>
        <w:t>-</w:t>
      </w:r>
      <w:r>
        <w:rPr>
          <w:rFonts w:hint="eastAsia"/>
          <w:sz w:val="24"/>
          <w:szCs w:val="28"/>
          <w:highlight w:val="none"/>
          <w:lang w:val="en-US" w:eastAsia="zh-CN"/>
        </w:rPr>
        <w:t>002</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4"/>
        <w:gridCol w:w="8220"/>
      </w:tblGrid>
      <w:tr w14:paraId="745B2B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2" w:hRule="atLeast"/>
          <w:jc w:val="center"/>
        </w:trPr>
        <w:tc>
          <w:tcPr>
            <w:tcW w:w="1524" w:type="dxa"/>
            <w:tcMar>
              <w:top w:w="0" w:type="dxa"/>
              <w:left w:w="113" w:type="dxa"/>
              <w:bottom w:w="0" w:type="dxa"/>
              <w:right w:w="113" w:type="dxa"/>
            </w:tcMar>
            <w:vAlign w:val="center"/>
          </w:tcPr>
          <w:p w14:paraId="5E711B25">
            <w:pPr>
              <w:pStyle w:val="8"/>
              <w:spacing w:line="242" w:lineRule="auto"/>
              <w:ind w:left="0" w:leftChars="0" w:right="72" w:firstLine="0" w:firstLineChars="0"/>
              <w:jc w:val="center"/>
              <w:rPr>
                <w:b w:val="0"/>
                <w:bCs w:val="0"/>
                <w:sz w:val="24"/>
                <w:szCs w:val="24"/>
              </w:rPr>
            </w:pPr>
            <w:r>
              <w:rPr>
                <w:b w:val="0"/>
                <w:bCs w:val="0"/>
                <w:sz w:val="24"/>
                <w:szCs w:val="24"/>
              </w:rPr>
              <w:t>投资者来访类别</w:t>
            </w:r>
          </w:p>
        </w:tc>
        <w:tc>
          <w:tcPr>
            <w:tcW w:w="8220" w:type="dxa"/>
            <w:vAlign w:val="center"/>
          </w:tcPr>
          <w:p w14:paraId="6E751069">
            <w:pPr>
              <w:pStyle w:val="8"/>
              <w:numPr>
                <w:ilvl w:val="0"/>
                <w:numId w:val="0"/>
              </w:numPr>
              <w:tabs>
                <w:tab w:val="left" w:pos="390"/>
              </w:tabs>
              <w:spacing w:before="132" w:after="0" w:line="240" w:lineRule="auto"/>
              <w:ind w:right="0" w:rightChars="0" w:firstLine="236" w:firstLineChars="100"/>
              <w:jc w:val="both"/>
              <w:rPr>
                <w:sz w:val="24"/>
                <w:szCs w:val="24"/>
              </w:rPr>
            </w:pPr>
            <w:r>
              <w:rPr>
                <w:spacing w:val="-2"/>
                <w:sz w:val="24"/>
                <w:szCs w:val="24"/>
              </w:rPr>
              <w:sym w:font="Wingdings 2" w:char="0052"/>
            </w:r>
            <w:r>
              <w:rPr>
                <w:spacing w:val="-2"/>
                <w:sz w:val="24"/>
                <w:szCs w:val="24"/>
              </w:rPr>
              <w:t xml:space="preserve"> 特定对象调研 </w:t>
            </w:r>
            <w:r>
              <w:rPr>
                <w:rFonts w:hint="eastAsia"/>
                <w:spacing w:val="-2"/>
                <w:sz w:val="24"/>
                <w:szCs w:val="24"/>
                <w:lang w:val="en-US" w:eastAsia="zh-CN"/>
              </w:rPr>
              <w:t xml:space="preserve">                    </w:t>
            </w:r>
            <w:r>
              <w:rPr>
                <w:spacing w:val="-2"/>
                <w:sz w:val="24"/>
                <w:szCs w:val="24"/>
              </w:rPr>
              <w:sym w:font="Wingdings 2" w:char="00A3"/>
            </w:r>
            <w:r>
              <w:rPr>
                <w:rFonts w:hint="eastAsia"/>
                <w:spacing w:val="-2"/>
                <w:sz w:val="24"/>
                <w:szCs w:val="24"/>
                <w:lang w:val="en-US" w:eastAsia="zh-CN"/>
              </w:rPr>
              <w:t xml:space="preserve"> </w:t>
            </w:r>
            <w:r>
              <w:rPr>
                <w:spacing w:val="-2"/>
                <w:sz w:val="24"/>
                <w:szCs w:val="24"/>
              </w:rPr>
              <w:t>分析师会议</w:t>
            </w:r>
          </w:p>
          <w:p w14:paraId="11B081BF">
            <w:pPr>
              <w:pStyle w:val="8"/>
              <w:spacing w:before="9"/>
              <w:ind w:left="0"/>
              <w:jc w:val="both"/>
              <w:rPr>
                <w:sz w:val="24"/>
                <w:szCs w:val="24"/>
              </w:rPr>
            </w:pPr>
          </w:p>
          <w:p w14:paraId="4AD591AC">
            <w:pPr>
              <w:pStyle w:val="8"/>
              <w:ind w:left="0" w:leftChars="0" w:firstLine="240" w:firstLineChars="100"/>
              <w:jc w:val="both"/>
              <w:rPr>
                <w:sz w:val="24"/>
                <w:szCs w:val="24"/>
              </w:rPr>
            </w:pPr>
            <w:r>
              <w:rPr>
                <w:sz w:val="24"/>
                <w:szCs w:val="24"/>
              </w:rPr>
              <w:sym w:font="Wingdings 2" w:char="00A3"/>
            </w:r>
            <w:r>
              <w:rPr>
                <w:sz w:val="24"/>
                <w:szCs w:val="24"/>
              </w:rPr>
              <w:t xml:space="preserve"> </w:t>
            </w:r>
            <w:r>
              <w:rPr>
                <w:rFonts w:hint="eastAsia"/>
                <w:sz w:val="24"/>
                <w:szCs w:val="24"/>
                <w:lang w:val="en-US" w:eastAsia="zh-CN"/>
              </w:rPr>
              <w:t>券商策略会</w:t>
            </w:r>
            <w:r>
              <w:rPr>
                <w:sz w:val="24"/>
                <w:szCs w:val="24"/>
              </w:rPr>
              <w:t xml:space="preserve"> </w:t>
            </w:r>
            <w:r>
              <w:rPr>
                <w:rFonts w:hint="eastAsia"/>
                <w:sz w:val="24"/>
                <w:szCs w:val="24"/>
                <w:lang w:val="en-US" w:eastAsia="zh-CN"/>
              </w:rPr>
              <w:t xml:space="preserve">                      </w:t>
            </w:r>
            <w:r>
              <w:rPr>
                <w:spacing w:val="-2"/>
                <w:sz w:val="24"/>
                <w:szCs w:val="24"/>
              </w:rPr>
              <w:sym w:font="Wingdings 2" w:char="00A3"/>
            </w:r>
            <w:r>
              <w:rPr>
                <w:rFonts w:hint="eastAsia"/>
                <w:spacing w:val="-2"/>
                <w:sz w:val="24"/>
                <w:szCs w:val="24"/>
                <w:lang w:val="en-US" w:eastAsia="zh-CN"/>
              </w:rPr>
              <w:t xml:space="preserve"> </w:t>
            </w:r>
            <w:r>
              <w:rPr>
                <w:sz w:val="24"/>
                <w:szCs w:val="24"/>
              </w:rPr>
              <w:t>业绩说明会</w:t>
            </w:r>
          </w:p>
          <w:p w14:paraId="46C7B4A5">
            <w:pPr>
              <w:pStyle w:val="8"/>
              <w:spacing w:before="9"/>
              <w:ind w:left="0"/>
              <w:jc w:val="both"/>
              <w:rPr>
                <w:sz w:val="24"/>
                <w:szCs w:val="24"/>
              </w:rPr>
            </w:pPr>
          </w:p>
          <w:p w14:paraId="6DDE6052">
            <w:pPr>
              <w:pStyle w:val="8"/>
              <w:ind w:left="0" w:leftChars="0" w:firstLine="240" w:firstLineChars="100"/>
              <w:jc w:val="both"/>
              <w:rPr>
                <w:sz w:val="24"/>
                <w:szCs w:val="24"/>
              </w:rPr>
            </w:pPr>
            <w:r>
              <w:rPr>
                <w:sz w:val="24"/>
                <w:szCs w:val="24"/>
              </w:rPr>
              <w:sym w:font="Wingdings 2" w:char="00A3"/>
            </w:r>
            <w:r>
              <w:rPr>
                <w:rFonts w:hint="eastAsia"/>
                <w:sz w:val="24"/>
                <w:szCs w:val="24"/>
                <w:lang w:val="en-US" w:eastAsia="zh-CN"/>
              </w:rPr>
              <w:t xml:space="preserve"> </w:t>
            </w:r>
            <w:r>
              <w:rPr>
                <w:sz w:val="24"/>
                <w:szCs w:val="24"/>
              </w:rPr>
              <w:t>新闻发布会</w:t>
            </w:r>
            <w:r>
              <w:rPr>
                <w:rFonts w:hint="eastAsia"/>
                <w:sz w:val="24"/>
                <w:szCs w:val="24"/>
                <w:lang w:val="en-US" w:eastAsia="zh-CN"/>
              </w:rPr>
              <w:t xml:space="preserve">                       </w:t>
            </w:r>
            <w:r>
              <w:rPr>
                <w:sz w:val="24"/>
                <w:szCs w:val="24"/>
              </w:rPr>
              <w:sym w:font="Wingdings 2" w:char="00A3"/>
            </w:r>
            <w:r>
              <w:rPr>
                <w:rFonts w:hint="eastAsia"/>
                <w:sz w:val="24"/>
                <w:szCs w:val="24"/>
                <w:lang w:val="en-US" w:eastAsia="zh-CN"/>
              </w:rPr>
              <w:t xml:space="preserve"> </w:t>
            </w:r>
            <w:r>
              <w:rPr>
                <w:sz w:val="24"/>
                <w:szCs w:val="24"/>
              </w:rPr>
              <w:t>路演活动</w:t>
            </w:r>
          </w:p>
          <w:p w14:paraId="2B5F5D53">
            <w:pPr>
              <w:pStyle w:val="8"/>
              <w:spacing w:before="9"/>
              <w:ind w:left="0"/>
              <w:jc w:val="both"/>
              <w:rPr>
                <w:sz w:val="24"/>
                <w:szCs w:val="24"/>
              </w:rPr>
            </w:pPr>
          </w:p>
          <w:p w14:paraId="56C98A11">
            <w:pPr>
              <w:pStyle w:val="8"/>
              <w:ind w:left="0" w:leftChars="0" w:firstLine="236" w:firstLineChars="100"/>
              <w:jc w:val="both"/>
              <w:rPr>
                <w:rFonts w:hint="default" w:eastAsia="宋体"/>
                <w:sz w:val="24"/>
                <w:lang w:val="en-US" w:eastAsia="zh-CN"/>
              </w:rPr>
            </w:pPr>
            <w:r>
              <w:rPr>
                <w:spacing w:val="-2"/>
                <w:sz w:val="24"/>
                <w:szCs w:val="24"/>
              </w:rPr>
              <w:sym w:font="Wingdings 2" w:char="00A3"/>
            </w:r>
            <w:r>
              <w:rPr>
                <w:rFonts w:hint="eastAsia"/>
                <w:spacing w:val="-2"/>
                <w:sz w:val="24"/>
                <w:szCs w:val="24"/>
                <w:lang w:val="en-US" w:eastAsia="zh-CN"/>
              </w:rPr>
              <w:t xml:space="preserve"> </w:t>
            </w:r>
            <w:r>
              <w:rPr>
                <w:sz w:val="24"/>
                <w:szCs w:val="24"/>
              </w:rPr>
              <w:t>现场参观</w:t>
            </w:r>
            <w:r>
              <w:rPr>
                <w:rFonts w:hint="eastAsia"/>
                <w:sz w:val="24"/>
                <w:szCs w:val="24"/>
                <w:lang w:val="en-US" w:eastAsia="zh-CN"/>
              </w:rPr>
              <w:t xml:space="preserve">                         </w:t>
            </w:r>
            <w:r>
              <w:rPr>
                <w:sz w:val="24"/>
                <w:szCs w:val="24"/>
              </w:rPr>
              <w:sym w:font="Wingdings 2" w:char="00A3"/>
            </w:r>
            <w:r>
              <w:rPr>
                <w:sz w:val="24"/>
                <w:szCs w:val="24"/>
              </w:rPr>
              <w:t xml:space="preserve"> 其他 </w:t>
            </w:r>
            <w:r>
              <w:rPr>
                <w:rFonts w:hint="eastAsia"/>
                <w:sz w:val="24"/>
                <w:szCs w:val="24"/>
                <w:lang w:eastAsia="zh-CN"/>
              </w:rPr>
              <w:t>（</w:t>
            </w:r>
            <w:r>
              <w:rPr>
                <w:rFonts w:hint="eastAsia"/>
                <w:sz w:val="24"/>
                <w:szCs w:val="24"/>
                <w:lang w:val="en-US" w:eastAsia="zh-CN"/>
              </w:rPr>
              <w:t>线上调研）</w:t>
            </w:r>
          </w:p>
        </w:tc>
      </w:tr>
      <w:tr w14:paraId="6DA0A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jc w:val="center"/>
        </w:trPr>
        <w:tc>
          <w:tcPr>
            <w:tcW w:w="1524" w:type="dxa"/>
            <w:tcMar>
              <w:top w:w="0" w:type="dxa"/>
              <w:left w:w="113" w:type="dxa"/>
              <w:bottom w:w="0" w:type="dxa"/>
              <w:right w:w="113" w:type="dxa"/>
            </w:tcMar>
            <w:vAlign w:val="center"/>
          </w:tcPr>
          <w:p w14:paraId="39D22F12">
            <w:pPr>
              <w:pStyle w:val="8"/>
              <w:spacing w:before="156" w:line="242" w:lineRule="auto"/>
              <w:ind w:left="107" w:right="71"/>
              <w:jc w:val="center"/>
              <w:rPr>
                <w:b w:val="0"/>
                <w:bCs w:val="0"/>
                <w:sz w:val="24"/>
                <w:szCs w:val="24"/>
              </w:rPr>
            </w:pPr>
            <w:r>
              <w:rPr>
                <w:b w:val="0"/>
                <w:bCs w:val="0"/>
                <w:sz w:val="24"/>
                <w:szCs w:val="24"/>
              </w:rPr>
              <w:t>参与单位名称</w:t>
            </w:r>
          </w:p>
        </w:tc>
        <w:tc>
          <w:tcPr>
            <w:tcW w:w="8220" w:type="dxa"/>
            <w:vAlign w:val="center"/>
          </w:tcPr>
          <w:p w14:paraId="49A3A2B9">
            <w:pPr>
              <w:pStyle w:val="8"/>
              <w:keepNext w:val="0"/>
              <w:keepLines w:val="0"/>
              <w:pageBreakBefore w:val="0"/>
              <w:widowControl w:val="0"/>
              <w:kinsoku/>
              <w:wordWrap/>
              <w:overflowPunct/>
              <w:topLinePunct w:val="0"/>
              <w:autoSpaceDE w:val="0"/>
              <w:autoSpaceDN w:val="0"/>
              <w:bidi w:val="0"/>
              <w:adjustRightInd/>
              <w:snapToGrid/>
              <w:spacing w:before="156" w:line="360" w:lineRule="auto"/>
              <w:ind w:left="108" w:right="-28"/>
              <w:jc w:val="both"/>
              <w:textAlignment w:val="auto"/>
              <w:rPr>
                <w:rFonts w:hint="default"/>
                <w:sz w:val="24"/>
                <w:lang w:val="en-US" w:eastAsia="zh-CN"/>
              </w:rPr>
            </w:pPr>
            <w:r>
              <w:rPr>
                <w:rFonts w:hint="eastAsia"/>
                <w:sz w:val="24"/>
                <w:lang w:val="en-US" w:eastAsia="zh-CN"/>
              </w:rPr>
              <w:t xml:space="preserve"> UBS, Jetha Global, Capstone Capital, HLM, Open Door Investment Management, Pleiad Investment Advisors, Grand Alliance Asset Management, millennium, Gaoteng Asset, polymer, UBS资产管理,UBSS, Stoneylake Asset,East Capital, invesco, longrising, taiping asset management, BOCl Prudential Asset Management, Sumitomo Mitsui</w:t>
            </w:r>
          </w:p>
        </w:tc>
      </w:tr>
      <w:tr w14:paraId="4429F6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524" w:type="dxa"/>
            <w:tcMar>
              <w:top w:w="0" w:type="dxa"/>
              <w:left w:w="113" w:type="dxa"/>
              <w:bottom w:w="0" w:type="dxa"/>
              <w:right w:w="113" w:type="dxa"/>
            </w:tcMar>
            <w:vAlign w:val="center"/>
          </w:tcPr>
          <w:p w14:paraId="55C6A36C">
            <w:pPr>
              <w:pStyle w:val="8"/>
              <w:spacing w:before="170" w:line="289" w:lineRule="exact"/>
              <w:ind w:left="107"/>
              <w:jc w:val="center"/>
              <w:rPr>
                <w:b w:val="0"/>
                <w:bCs w:val="0"/>
                <w:sz w:val="24"/>
                <w:szCs w:val="24"/>
              </w:rPr>
            </w:pPr>
            <w:r>
              <w:rPr>
                <w:b w:val="0"/>
                <w:bCs w:val="0"/>
                <w:sz w:val="24"/>
                <w:szCs w:val="24"/>
              </w:rPr>
              <w:t>时间</w:t>
            </w:r>
          </w:p>
        </w:tc>
        <w:tc>
          <w:tcPr>
            <w:tcW w:w="8220" w:type="dxa"/>
            <w:vAlign w:val="center"/>
          </w:tcPr>
          <w:p w14:paraId="549D60CF">
            <w:pPr>
              <w:pStyle w:val="8"/>
              <w:spacing w:before="170" w:line="289" w:lineRule="exact"/>
              <w:jc w:val="both"/>
              <w:rPr>
                <w:rFonts w:hint="default" w:eastAsia="宋体"/>
                <w:sz w:val="24"/>
                <w:lang w:val="en-US" w:eastAsia="zh-CN"/>
              </w:rPr>
            </w:pPr>
            <w:r>
              <w:rPr>
                <w:rFonts w:hint="eastAsia"/>
                <w:sz w:val="24"/>
                <w:lang w:val="en-US" w:eastAsia="zh-CN"/>
              </w:rPr>
              <w:t>2025</w:t>
            </w:r>
            <w:r>
              <w:rPr>
                <w:sz w:val="24"/>
              </w:rPr>
              <w:t>年</w:t>
            </w:r>
            <w:r>
              <w:rPr>
                <w:rFonts w:hint="eastAsia"/>
                <w:sz w:val="24"/>
                <w:lang w:val="en-US" w:eastAsia="zh-CN"/>
              </w:rPr>
              <w:t>3</w:t>
            </w:r>
            <w:r>
              <w:rPr>
                <w:sz w:val="24"/>
              </w:rPr>
              <w:t>月</w:t>
            </w:r>
            <w:r>
              <w:rPr>
                <w:rFonts w:hint="eastAsia"/>
                <w:sz w:val="24"/>
                <w:lang w:val="en-US" w:eastAsia="zh-CN"/>
              </w:rPr>
              <w:t>13日</w:t>
            </w:r>
          </w:p>
        </w:tc>
      </w:tr>
      <w:tr w14:paraId="6D015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jc w:val="center"/>
        </w:trPr>
        <w:tc>
          <w:tcPr>
            <w:tcW w:w="1524" w:type="dxa"/>
            <w:tcMar>
              <w:top w:w="0" w:type="dxa"/>
              <w:left w:w="113" w:type="dxa"/>
              <w:bottom w:w="0" w:type="dxa"/>
              <w:right w:w="113" w:type="dxa"/>
            </w:tcMar>
            <w:vAlign w:val="center"/>
          </w:tcPr>
          <w:p w14:paraId="6C9AE176">
            <w:pPr>
              <w:pStyle w:val="8"/>
              <w:spacing w:before="170" w:line="289" w:lineRule="exact"/>
              <w:ind w:left="107"/>
              <w:jc w:val="center"/>
              <w:rPr>
                <w:b w:val="0"/>
                <w:bCs w:val="0"/>
                <w:sz w:val="24"/>
                <w:szCs w:val="24"/>
              </w:rPr>
            </w:pPr>
            <w:r>
              <w:rPr>
                <w:b w:val="0"/>
                <w:bCs w:val="0"/>
                <w:sz w:val="24"/>
                <w:szCs w:val="24"/>
              </w:rPr>
              <w:t>地点</w:t>
            </w:r>
          </w:p>
        </w:tc>
        <w:tc>
          <w:tcPr>
            <w:tcW w:w="8220" w:type="dxa"/>
            <w:vAlign w:val="center"/>
          </w:tcPr>
          <w:p w14:paraId="795B4F0C">
            <w:pPr>
              <w:pStyle w:val="8"/>
              <w:spacing w:before="170" w:line="289" w:lineRule="exact"/>
              <w:jc w:val="both"/>
              <w:rPr>
                <w:rFonts w:hint="default" w:eastAsia="宋体"/>
                <w:sz w:val="24"/>
                <w:lang w:val="en-US" w:eastAsia="zh-CN"/>
              </w:rPr>
            </w:pPr>
            <w:r>
              <w:rPr>
                <w:rFonts w:hint="eastAsia"/>
                <w:sz w:val="24"/>
                <w:lang w:val="en-US" w:eastAsia="zh-CN"/>
              </w:rPr>
              <w:t>深圳</w:t>
            </w:r>
          </w:p>
        </w:tc>
      </w:tr>
      <w:tr w14:paraId="1CA4F0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jc w:val="center"/>
        </w:trPr>
        <w:tc>
          <w:tcPr>
            <w:tcW w:w="1524" w:type="dxa"/>
            <w:tcMar>
              <w:top w:w="0" w:type="dxa"/>
              <w:left w:w="113" w:type="dxa"/>
              <w:bottom w:w="0" w:type="dxa"/>
              <w:right w:w="113" w:type="dxa"/>
            </w:tcMar>
            <w:vAlign w:val="center"/>
          </w:tcPr>
          <w:p w14:paraId="3B76F909">
            <w:pPr>
              <w:pStyle w:val="8"/>
              <w:spacing w:before="60" w:line="242" w:lineRule="auto"/>
              <w:ind w:left="107" w:right="72"/>
              <w:jc w:val="center"/>
              <w:rPr>
                <w:b w:val="0"/>
                <w:bCs w:val="0"/>
                <w:sz w:val="24"/>
                <w:szCs w:val="24"/>
              </w:rPr>
            </w:pPr>
            <w:r>
              <w:rPr>
                <w:b w:val="0"/>
                <w:bCs w:val="0"/>
                <w:sz w:val="24"/>
                <w:szCs w:val="24"/>
              </w:rPr>
              <w:t>上市公司接待人员姓名</w:t>
            </w:r>
          </w:p>
        </w:tc>
        <w:tc>
          <w:tcPr>
            <w:tcW w:w="8220" w:type="dxa"/>
            <w:vAlign w:val="center"/>
          </w:tcPr>
          <w:p w14:paraId="06086BCC">
            <w:pPr>
              <w:pStyle w:val="8"/>
              <w:spacing w:before="170"/>
              <w:jc w:val="both"/>
              <w:rPr>
                <w:rFonts w:hint="default"/>
                <w:sz w:val="24"/>
                <w:lang w:val="en-US" w:eastAsia="zh-CN"/>
              </w:rPr>
            </w:pPr>
            <w:r>
              <w:rPr>
                <w:rFonts w:hint="eastAsia"/>
                <w:sz w:val="24"/>
                <w:lang w:val="en-US" w:eastAsia="zh-CN"/>
              </w:rPr>
              <w:t>董事会秘书兼财务总监  吴新元</w:t>
            </w:r>
          </w:p>
        </w:tc>
      </w:tr>
      <w:tr w14:paraId="7C636E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jc w:val="center"/>
        </w:trPr>
        <w:tc>
          <w:tcPr>
            <w:tcW w:w="1524" w:type="dxa"/>
            <w:tcMar>
              <w:top w:w="0" w:type="dxa"/>
              <w:left w:w="113" w:type="dxa"/>
              <w:bottom w:w="0" w:type="dxa"/>
              <w:right w:w="113" w:type="dxa"/>
            </w:tcMar>
            <w:vAlign w:val="center"/>
          </w:tcPr>
          <w:p w14:paraId="35D840AD">
            <w:pPr>
              <w:pStyle w:val="8"/>
              <w:spacing w:before="60" w:line="242" w:lineRule="auto"/>
              <w:ind w:left="107" w:right="72"/>
              <w:jc w:val="center"/>
              <w:rPr>
                <w:b w:val="0"/>
                <w:bCs w:val="0"/>
                <w:sz w:val="24"/>
                <w:szCs w:val="24"/>
              </w:rPr>
            </w:pPr>
            <w:r>
              <w:rPr>
                <w:rFonts w:hint="eastAsia"/>
                <w:b w:val="0"/>
                <w:bCs w:val="0"/>
                <w:sz w:val="24"/>
                <w:szCs w:val="24"/>
              </w:rPr>
              <w:t>投资者关系活动主要内容介绍</w:t>
            </w:r>
          </w:p>
        </w:tc>
        <w:tc>
          <w:tcPr>
            <w:tcW w:w="8220" w:type="dxa"/>
            <w:tcMar>
              <w:top w:w="170" w:type="dxa"/>
              <w:left w:w="170" w:type="dxa"/>
              <w:bottom w:w="170" w:type="dxa"/>
              <w:right w:w="170" w:type="dxa"/>
            </w:tcMar>
            <w:vAlign w:val="center"/>
          </w:tcPr>
          <w:p w14:paraId="733E6B7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hint="eastAsia" w:cs="宋体"/>
                <w:b w:val="0"/>
                <w:bCs w:val="0"/>
                <w:sz w:val="24"/>
                <w:szCs w:val="24"/>
                <w:lang w:val="en-US" w:eastAsia="zh-CN" w:bidi="zh-CN"/>
              </w:rPr>
            </w:pPr>
            <w:r>
              <w:rPr>
                <w:rFonts w:hint="eastAsia" w:cs="宋体"/>
                <w:b w:val="0"/>
                <w:bCs w:val="0"/>
                <w:sz w:val="24"/>
                <w:szCs w:val="24"/>
                <w:lang w:val="en-US" w:eastAsia="zh-CN" w:bidi="zh-CN"/>
              </w:rPr>
              <w:t>交流问答</w:t>
            </w:r>
          </w:p>
          <w:p w14:paraId="09AAB393">
            <w:pPr>
              <w:keepNext w:val="0"/>
              <w:keepLines w:val="0"/>
              <w:pageBreakBefore w:val="0"/>
              <w:widowControl w:val="0"/>
              <w:numPr>
                <w:ilvl w:val="0"/>
                <w:numId w:val="1"/>
              </w:numPr>
              <w:kinsoku/>
              <w:wordWrap/>
              <w:overflowPunct/>
              <w:topLinePunct w:val="0"/>
              <w:autoSpaceDE/>
              <w:autoSpaceDN/>
              <w:bidi w:val="0"/>
              <w:adjustRightInd/>
              <w:snapToGrid/>
              <w:spacing w:line="360" w:lineRule="auto"/>
              <w:ind w:right="0" w:rightChars="0"/>
              <w:jc w:val="both"/>
              <w:textAlignment w:val="auto"/>
              <w:rPr>
                <w:rFonts w:hint="eastAsia" w:cs="宋体"/>
                <w:b/>
                <w:bCs/>
                <w:sz w:val="24"/>
                <w:szCs w:val="24"/>
                <w:lang w:val="en-US" w:eastAsia="zh-CN" w:bidi="zh-CN"/>
              </w:rPr>
            </w:pPr>
            <w:r>
              <w:rPr>
                <w:rFonts w:hint="eastAsia" w:cs="宋体"/>
                <w:b/>
                <w:bCs/>
                <w:sz w:val="24"/>
                <w:szCs w:val="24"/>
                <w:lang w:val="en-US" w:eastAsia="zh-CN" w:bidi="zh-CN"/>
              </w:rPr>
              <w:t>简单介绍2024年公司经营情况？</w:t>
            </w:r>
          </w:p>
          <w:p w14:paraId="430B0B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hint="eastAsia" w:cs="宋体"/>
                <w:b w:val="0"/>
                <w:bCs w:val="0"/>
                <w:sz w:val="24"/>
                <w:szCs w:val="24"/>
                <w:lang w:val="en-US" w:eastAsia="zh-CN" w:bidi="zh-CN"/>
              </w:rPr>
            </w:pPr>
            <w:r>
              <w:rPr>
                <w:rFonts w:hint="eastAsia" w:cs="宋体"/>
                <w:b w:val="0"/>
                <w:bCs w:val="0"/>
                <w:sz w:val="24"/>
                <w:szCs w:val="24"/>
                <w:lang w:val="en-US" w:eastAsia="zh-CN" w:bidi="zh-CN"/>
              </w:rPr>
              <w:t>答：公司全年实现营收大约9.1亿元，同比增长近30%；毛利率大幅回升，接近30%；研发持续保持高强度投入，实现扭亏为赢，库存有效下降。</w:t>
            </w:r>
          </w:p>
          <w:p w14:paraId="51F97A7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hint="default" w:cs="宋体"/>
                <w:b w:val="0"/>
                <w:bCs w:val="0"/>
                <w:sz w:val="24"/>
                <w:szCs w:val="24"/>
                <w:lang w:val="en-US" w:eastAsia="zh-CN" w:bidi="zh-CN"/>
              </w:rPr>
            </w:pPr>
          </w:p>
          <w:p w14:paraId="7C252AF7">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宋体"/>
                <w:b/>
                <w:bCs/>
                <w:sz w:val="24"/>
                <w:szCs w:val="24"/>
                <w:lang w:val="en-US" w:eastAsia="zh-CN" w:bidi="zh-CN"/>
              </w:rPr>
            </w:pPr>
            <w:r>
              <w:rPr>
                <w:rFonts w:hint="eastAsia" w:cs="宋体"/>
                <w:b/>
                <w:bCs/>
                <w:sz w:val="24"/>
                <w:szCs w:val="24"/>
                <w:lang w:val="en-US" w:eastAsia="zh-CN" w:bidi="zh-CN"/>
              </w:rPr>
              <w:t>各模块收入占比情况？</w:t>
            </w:r>
          </w:p>
          <w:p w14:paraId="34208E8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cs="宋体"/>
                <w:b w:val="0"/>
                <w:bCs w:val="0"/>
                <w:sz w:val="24"/>
                <w:szCs w:val="24"/>
                <w:lang w:val="en-US" w:eastAsia="zh-CN" w:bidi="zh-CN"/>
              </w:rPr>
            </w:pPr>
            <w:r>
              <w:rPr>
                <w:rFonts w:hint="eastAsia" w:cs="宋体"/>
                <w:b w:val="0"/>
                <w:bCs w:val="0"/>
                <w:sz w:val="24"/>
                <w:szCs w:val="24"/>
                <w:lang w:val="en-US" w:eastAsia="zh-CN" w:bidi="zh-CN"/>
              </w:rPr>
              <w:t>答：消费电子领域约占40%，家电领域约占30%多，工业控制（无刷电机）领域约20%多，汽车电子领域约占4-5%。</w:t>
            </w:r>
          </w:p>
          <w:p w14:paraId="72D7205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default" w:cs="宋体"/>
                <w:b w:val="0"/>
                <w:bCs w:val="0"/>
                <w:sz w:val="24"/>
                <w:szCs w:val="24"/>
                <w:lang w:val="en-US" w:eastAsia="zh-CN" w:bidi="zh-CN"/>
              </w:rPr>
            </w:pPr>
          </w:p>
          <w:p w14:paraId="5EC233C3">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宋体"/>
                <w:b/>
                <w:bCs/>
                <w:sz w:val="24"/>
                <w:szCs w:val="24"/>
                <w:lang w:val="en-US" w:eastAsia="zh-CN" w:bidi="zh-CN"/>
              </w:rPr>
            </w:pPr>
            <w:r>
              <w:rPr>
                <w:rFonts w:hint="eastAsia" w:cs="宋体"/>
                <w:b/>
                <w:bCs/>
                <w:sz w:val="24"/>
                <w:szCs w:val="24"/>
                <w:lang w:val="en-US" w:eastAsia="zh-CN" w:bidi="zh-CN"/>
              </w:rPr>
              <w:t>公司车规级芯片的出货量情况？</w:t>
            </w:r>
          </w:p>
          <w:p w14:paraId="2E35FD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cs="宋体"/>
                <w:b w:val="0"/>
                <w:bCs w:val="0"/>
                <w:sz w:val="24"/>
                <w:szCs w:val="24"/>
                <w:lang w:val="en-US" w:eastAsia="zh-CN" w:bidi="zh-CN"/>
              </w:rPr>
            </w:pPr>
            <w:r>
              <w:rPr>
                <w:rFonts w:hint="eastAsia" w:cs="宋体"/>
                <w:b w:val="0"/>
                <w:bCs w:val="0"/>
                <w:sz w:val="24"/>
                <w:szCs w:val="24"/>
                <w:lang w:val="en-US" w:eastAsia="zh-CN" w:bidi="zh-CN"/>
              </w:rPr>
              <w:t>答：公司车规级芯片是M0+内核的，资源相对不大，主要应用在车身控制，2024年出货量同比翻了两番，有大几百万颗。2025年出货量有望达到千万级。</w:t>
            </w:r>
          </w:p>
          <w:p w14:paraId="741616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default" w:cs="宋体"/>
                <w:b w:val="0"/>
                <w:bCs w:val="0"/>
                <w:sz w:val="24"/>
                <w:szCs w:val="24"/>
                <w:lang w:val="en-US" w:eastAsia="zh-CN" w:bidi="zh-CN"/>
              </w:rPr>
            </w:pPr>
          </w:p>
          <w:p w14:paraId="44B20778">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宋体"/>
                <w:b/>
                <w:bCs/>
                <w:sz w:val="24"/>
                <w:szCs w:val="24"/>
                <w:lang w:val="en-US" w:eastAsia="zh-CN" w:bidi="zh-CN"/>
              </w:rPr>
            </w:pPr>
            <w:r>
              <w:rPr>
                <w:rFonts w:hint="eastAsia" w:cs="宋体"/>
                <w:b/>
                <w:bCs/>
                <w:sz w:val="24"/>
                <w:szCs w:val="24"/>
                <w:lang w:val="en-US" w:eastAsia="zh-CN" w:bidi="zh-CN"/>
              </w:rPr>
              <w:t>车规级芯片的应用场景和终端客户？</w:t>
            </w:r>
          </w:p>
          <w:p w14:paraId="53D518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cs="宋体"/>
                <w:b w:val="0"/>
                <w:bCs w:val="0"/>
                <w:sz w:val="24"/>
                <w:szCs w:val="24"/>
                <w:lang w:val="en-US" w:eastAsia="zh-CN" w:bidi="zh-CN"/>
              </w:rPr>
            </w:pPr>
            <w:r>
              <w:rPr>
                <w:rFonts w:hint="eastAsia" w:cs="宋体"/>
                <w:b w:val="0"/>
                <w:bCs w:val="0"/>
                <w:sz w:val="24"/>
                <w:szCs w:val="24"/>
                <w:lang w:val="en-US" w:eastAsia="zh-CN" w:bidi="zh-CN"/>
              </w:rPr>
              <w:t>答：公司车规级芯片主要应用在车身控制，比如车窗、座椅、车灯、中控显示、油泵、水泵等，传统车企的长安、红旗、吉利、奇瑞、上汽、广汽等，以及新势力的小米、蔚来、理想、赛力斯都是我们的终端客户。</w:t>
            </w:r>
          </w:p>
          <w:p w14:paraId="3CA8005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default" w:cs="宋体"/>
                <w:b w:val="0"/>
                <w:bCs w:val="0"/>
                <w:sz w:val="24"/>
                <w:szCs w:val="24"/>
                <w:lang w:val="en-US" w:eastAsia="zh-CN" w:bidi="zh-CN"/>
              </w:rPr>
            </w:pPr>
          </w:p>
          <w:p w14:paraId="6F2480A5">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宋体"/>
                <w:b/>
                <w:bCs/>
                <w:sz w:val="24"/>
                <w:szCs w:val="24"/>
                <w:lang w:val="en-US" w:eastAsia="zh-CN" w:bidi="zh-CN"/>
              </w:rPr>
            </w:pPr>
            <w:r>
              <w:rPr>
                <w:rFonts w:hint="eastAsia" w:cs="宋体"/>
                <w:b/>
                <w:bCs/>
                <w:sz w:val="24"/>
                <w:szCs w:val="24"/>
                <w:lang w:val="en-US" w:eastAsia="zh-CN" w:bidi="zh-CN"/>
              </w:rPr>
              <w:t>国产车规级芯片与世界大厂的竞争格局如何？</w:t>
            </w:r>
          </w:p>
          <w:p w14:paraId="5EF74C0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default" w:cs="宋体"/>
                <w:b w:val="0"/>
                <w:bCs w:val="0"/>
                <w:sz w:val="24"/>
                <w:szCs w:val="24"/>
                <w:lang w:val="en-US" w:eastAsia="zh-CN" w:bidi="zh-CN"/>
              </w:rPr>
            </w:pPr>
            <w:r>
              <w:rPr>
                <w:rFonts w:hint="eastAsia" w:cs="宋体"/>
                <w:b w:val="0"/>
                <w:bCs w:val="0"/>
                <w:sz w:val="24"/>
                <w:szCs w:val="24"/>
                <w:lang w:val="en-US" w:eastAsia="zh-CN" w:bidi="zh-CN"/>
              </w:rPr>
              <w:t>答：汽车电子领域芯片主要还是国际大厂把控，不过在车身控制方面，我们国产产品已经进入，未来会越来越多的车厂采用国产芯片。</w:t>
            </w:r>
          </w:p>
          <w:p w14:paraId="758DCA5B">
            <w:pPr>
              <w:pStyle w:val="8"/>
              <w:numPr>
                <w:ilvl w:val="0"/>
                <w:numId w:val="1"/>
              </w:numPr>
              <w:spacing w:before="170" w:line="360" w:lineRule="auto"/>
              <w:ind w:left="0" w:leftChars="0" w:right="0" w:rightChars="0" w:firstLine="0" w:firstLineChars="0"/>
              <w:jc w:val="both"/>
              <w:rPr>
                <w:rFonts w:hint="eastAsia" w:cs="宋体"/>
                <w:b/>
                <w:bCs/>
                <w:sz w:val="24"/>
                <w:szCs w:val="24"/>
                <w:lang w:val="en-US" w:eastAsia="zh-CN" w:bidi="zh-CN"/>
              </w:rPr>
            </w:pPr>
            <w:r>
              <w:rPr>
                <w:rFonts w:hint="eastAsia" w:cs="宋体"/>
                <w:b/>
                <w:bCs/>
                <w:sz w:val="24"/>
                <w:szCs w:val="24"/>
                <w:lang w:val="en-US" w:eastAsia="zh-CN" w:bidi="zh-CN"/>
              </w:rPr>
              <w:t>国产车规级芯</w:t>
            </w:r>
            <w:bookmarkStart w:id="0" w:name="_GoBack"/>
            <w:bookmarkEnd w:id="0"/>
            <w:r>
              <w:rPr>
                <w:rFonts w:hint="eastAsia" w:cs="宋体"/>
                <w:b/>
                <w:bCs/>
                <w:sz w:val="24"/>
                <w:szCs w:val="24"/>
                <w:lang w:val="en-US" w:eastAsia="zh-CN" w:bidi="zh-CN"/>
              </w:rPr>
              <w:t>片与国外相比的差距和优势是什么？</w:t>
            </w:r>
          </w:p>
          <w:p w14:paraId="28A997A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hint="eastAsia" w:cs="宋体"/>
                <w:b w:val="0"/>
                <w:bCs w:val="0"/>
                <w:sz w:val="24"/>
                <w:szCs w:val="24"/>
                <w:lang w:val="en-US" w:eastAsia="zh-CN" w:bidi="zh-CN"/>
              </w:rPr>
            </w:pPr>
            <w:r>
              <w:rPr>
                <w:rFonts w:hint="eastAsia" w:cs="宋体"/>
                <w:b w:val="0"/>
                <w:bCs w:val="0"/>
                <w:sz w:val="24"/>
                <w:szCs w:val="24"/>
                <w:lang w:val="en-US" w:eastAsia="zh-CN" w:bidi="zh-CN"/>
              </w:rPr>
              <w:t>答：国产车规级芯片的优势是性价比高，国产芯片的价格以人民币计价，国外以美元计价；我们的产品无论从设计、还是工艺，在产品的稳定性和可靠性方面均有差距。品质的保障是需要经验和成本的。</w:t>
            </w:r>
          </w:p>
          <w:p w14:paraId="4851EA4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rPr>
                <w:rFonts w:hint="eastAsia" w:cs="宋体"/>
                <w:b w:val="0"/>
                <w:bCs w:val="0"/>
                <w:sz w:val="24"/>
                <w:szCs w:val="24"/>
                <w:lang w:val="en-US" w:eastAsia="zh-CN" w:bidi="zh-CN"/>
              </w:rPr>
            </w:pPr>
          </w:p>
          <w:p w14:paraId="7FCBDE92">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宋体"/>
                <w:b/>
                <w:bCs/>
                <w:sz w:val="24"/>
                <w:szCs w:val="24"/>
                <w:lang w:val="en-US" w:eastAsia="zh-CN" w:bidi="zh-CN"/>
              </w:rPr>
            </w:pPr>
            <w:r>
              <w:rPr>
                <w:rFonts w:hint="eastAsia" w:cs="宋体"/>
                <w:b/>
                <w:bCs/>
                <w:sz w:val="24"/>
                <w:szCs w:val="24"/>
                <w:lang w:val="en-US" w:eastAsia="zh-CN" w:bidi="zh-CN"/>
              </w:rPr>
              <w:t>公司2022年拿下的深圳市重点项目，车规级微控制器芯片关键技术研发项目进展情况？</w:t>
            </w:r>
          </w:p>
          <w:p w14:paraId="77198D1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cs="宋体"/>
                <w:b w:val="0"/>
                <w:bCs w:val="0"/>
                <w:sz w:val="24"/>
                <w:szCs w:val="24"/>
                <w:lang w:val="en-US" w:eastAsia="zh-CN" w:bidi="zh-CN"/>
              </w:rPr>
            </w:pPr>
            <w:r>
              <w:rPr>
                <w:rFonts w:hint="eastAsia" w:cs="宋体"/>
                <w:b w:val="0"/>
                <w:bCs w:val="0"/>
                <w:sz w:val="24"/>
                <w:szCs w:val="24"/>
                <w:lang w:val="en-US" w:eastAsia="zh-CN" w:bidi="zh-CN"/>
              </w:rPr>
              <w:t>答：该项目要求采取开源的RISC-V内核，纯国产工艺，旨在研发出自主可控的高性能车规微控制器。目前该项目还在持续研发之中，无论从工艺还是设计环节来看，这个项目实现量产应用还需要一定时间。</w:t>
            </w:r>
          </w:p>
          <w:p w14:paraId="4F7098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default" w:cs="宋体"/>
                <w:b w:val="0"/>
                <w:bCs w:val="0"/>
                <w:sz w:val="24"/>
                <w:szCs w:val="24"/>
                <w:lang w:val="en-US" w:eastAsia="zh-CN" w:bidi="zh-CN"/>
              </w:rPr>
            </w:pPr>
          </w:p>
          <w:p w14:paraId="7C4BC461">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宋体"/>
                <w:b/>
                <w:bCs/>
                <w:sz w:val="24"/>
                <w:szCs w:val="24"/>
                <w:lang w:val="en-US" w:eastAsia="zh-CN" w:bidi="zh-CN"/>
              </w:rPr>
            </w:pPr>
            <w:r>
              <w:rPr>
                <w:rFonts w:hint="eastAsia" w:cs="宋体"/>
                <w:b/>
                <w:bCs/>
                <w:sz w:val="24"/>
                <w:szCs w:val="24"/>
                <w:lang w:val="en-US" w:eastAsia="zh-CN" w:bidi="zh-CN"/>
              </w:rPr>
              <w:t>芯片制造成本有何变化趋势？</w:t>
            </w:r>
          </w:p>
          <w:p w14:paraId="6DCE01E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cs="宋体"/>
                <w:b w:val="0"/>
                <w:bCs w:val="0"/>
                <w:sz w:val="24"/>
                <w:szCs w:val="24"/>
                <w:lang w:val="en-US" w:eastAsia="zh-CN" w:bidi="zh-CN"/>
              </w:rPr>
            </w:pPr>
            <w:r>
              <w:rPr>
                <w:rFonts w:hint="eastAsia" w:cs="宋体"/>
                <w:b w:val="0"/>
                <w:bCs w:val="0"/>
                <w:sz w:val="24"/>
                <w:szCs w:val="24"/>
                <w:lang w:val="en-US" w:eastAsia="zh-CN" w:bidi="zh-CN"/>
              </w:rPr>
              <w:t>答：成熟制程的芯片产能比较充沛，估计晶圆制造价格不会出现大的波动。</w:t>
            </w:r>
          </w:p>
          <w:p w14:paraId="27854AB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cs="宋体"/>
                <w:b w:val="0"/>
                <w:bCs w:val="0"/>
                <w:sz w:val="24"/>
                <w:szCs w:val="24"/>
                <w:lang w:val="en-US" w:eastAsia="zh-CN" w:bidi="zh-CN"/>
              </w:rPr>
            </w:pPr>
          </w:p>
          <w:p w14:paraId="74D0D5F6">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宋体"/>
                <w:b/>
                <w:bCs/>
                <w:sz w:val="24"/>
                <w:szCs w:val="24"/>
                <w:lang w:val="en-US" w:eastAsia="zh-CN" w:bidi="zh-CN"/>
              </w:rPr>
            </w:pPr>
            <w:r>
              <w:rPr>
                <w:rFonts w:hint="eastAsia" w:cs="宋体"/>
                <w:b/>
                <w:bCs/>
                <w:sz w:val="24"/>
                <w:szCs w:val="24"/>
                <w:lang w:val="en-US" w:eastAsia="zh-CN" w:bidi="zh-CN"/>
              </w:rPr>
              <w:t>公司下游渠道商和终端客户的库存情况如何？</w:t>
            </w:r>
          </w:p>
          <w:p w14:paraId="15A4970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cs="宋体"/>
                <w:b w:val="0"/>
                <w:bCs w:val="0"/>
                <w:sz w:val="24"/>
                <w:szCs w:val="24"/>
                <w:lang w:val="en-US" w:eastAsia="zh-CN" w:bidi="zh-CN"/>
              </w:rPr>
            </w:pPr>
            <w:r>
              <w:rPr>
                <w:rFonts w:hint="eastAsia" w:cs="宋体"/>
                <w:b w:val="0"/>
                <w:bCs w:val="0"/>
                <w:sz w:val="24"/>
                <w:szCs w:val="24"/>
                <w:lang w:val="en-US" w:eastAsia="zh-CN" w:bidi="zh-CN"/>
              </w:rPr>
              <w:t>答：公司的产品历来比较充沛，而且合作渠道商相对规模不大，所以无论终端客户还是渠道商，他们的库存不高。</w:t>
            </w:r>
          </w:p>
          <w:p w14:paraId="16282CF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cs="宋体"/>
                <w:b w:val="0"/>
                <w:bCs w:val="0"/>
                <w:sz w:val="24"/>
                <w:szCs w:val="24"/>
                <w:lang w:val="en-US" w:eastAsia="zh-CN" w:bidi="zh-CN"/>
              </w:rPr>
            </w:pPr>
          </w:p>
          <w:p w14:paraId="2E9D7F70">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宋体"/>
                <w:b/>
                <w:bCs/>
                <w:sz w:val="24"/>
                <w:szCs w:val="24"/>
                <w:lang w:val="en-US" w:eastAsia="zh-CN" w:bidi="zh-CN"/>
              </w:rPr>
            </w:pPr>
            <w:r>
              <w:rPr>
                <w:rFonts w:hint="eastAsia" w:cs="宋体"/>
                <w:b/>
                <w:bCs/>
                <w:sz w:val="24"/>
                <w:szCs w:val="24"/>
                <w:lang w:val="en-US" w:eastAsia="zh-CN" w:bidi="zh-CN"/>
              </w:rPr>
              <w:t>当前下游客户的景气度如何？</w:t>
            </w:r>
          </w:p>
          <w:p w14:paraId="12304C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cs="宋体"/>
                <w:b w:val="0"/>
                <w:bCs w:val="0"/>
                <w:sz w:val="24"/>
                <w:szCs w:val="24"/>
                <w:lang w:val="en-US" w:eastAsia="zh-CN" w:bidi="zh-CN"/>
              </w:rPr>
            </w:pPr>
            <w:r>
              <w:rPr>
                <w:rFonts w:hint="eastAsia" w:cs="宋体"/>
                <w:b w:val="0"/>
                <w:bCs w:val="0"/>
                <w:sz w:val="24"/>
                <w:szCs w:val="24"/>
                <w:lang w:val="en-US" w:eastAsia="zh-CN" w:bidi="zh-CN"/>
              </w:rPr>
              <w:t>答：感觉冰火两重天，有的应用需求暴增，有的应用领域的客户天天叫苦要求降价。</w:t>
            </w:r>
          </w:p>
          <w:p w14:paraId="69C8650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eastAsia" w:cs="宋体"/>
                <w:b w:val="0"/>
                <w:bCs w:val="0"/>
                <w:sz w:val="24"/>
                <w:szCs w:val="24"/>
                <w:lang w:val="en-US" w:eastAsia="zh-CN" w:bidi="zh-CN"/>
              </w:rPr>
            </w:pPr>
          </w:p>
          <w:p w14:paraId="4FC9B43E">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cs="宋体"/>
                <w:b/>
                <w:bCs/>
                <w:sz w:val="24"/>
                <w:szCs w:val="24"/>
                <w:lang w:val="en-US" w:eastAsia="zh-CN" w:bidi="zh-CN"/>
              </w:rPr>
            </w:pPr>
            <w:r>
              <w:rPr>
                <w:rFonts w:hint="eastAsia" w:cs="宋体"/>
                <w:b/>
                <w:bCs/>
                <w:sz w:val="24"/>
                <w:szCs w:val="24"/>
                <w:lang w:val="en-US" w:eastAsia="zh-CN" w:bidi="zh-CN"/>
              </w:rPr>
              <w:t>谈谈2025年的预期？</w:t>
            </w:r>
          </w:p>
          <w:p w14:paraId="73CE7B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both"/>
              <w:textAlignment w:val="auto"/>
              <w:rPr>
                <w:rFonts w:hint="default" w:cs="宋体"/>
                <w:b w:val="0"/>
                <w:bCs w:val="0"/>
                <w:sz w:val="24"/>
                <w:szCs w:val="24"/>
                <w:lang w:val="en-US" w:eastAsia="zh-CN" w:bidi="zh-CN"/>
              </w:rPr>
            </w:pPr>
            <w:r>
              <w:rPr>
                <w:rFonts w:hint="eastAsia" w:cs="宋体"/>
                <w:b w:val="0"/>
                <w:bCs w:val="0"/>
                <w:sz w:val="24"/>
                <w:szCs w:val="24"/>
                <w:lang w:val="en-US" w:eastAsia="zh-CN" w:bidi="zh-CN"/>
              </w:rPr>
              <w:t>答：董事会给经营层的目标还是比较积极，要求保持增速不减。经营层也有信心！</w:t>
            </w:r>
          </w:p>
        </w:tc>
      </w:tr>
    </w:tbl>
    <w:p w14:paraId="0CB072C3">
      <w:pPr>
        <w:spacing w:before="23"/>
        <w:ind w:right="0"/>
        <w:jc w:val="left"/>
        <w:rPr>
          <w:sz w:val="21"/>
        </w:rPr>
      </w:pPr>
    </w:p>
    <w:sectPr>
      <w:pgSz w:w="11910" w:h="16840"/>
      <w:pgMar w:top="1417" w:right="1134" w:bottom="1417" w:left="1134" w:header="720" w:footer="720"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FBE1A0"/>
    <w:multiLevelType w:val="singleLevel"/>
    <w:tmpl w:val="90FBE1A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1"/>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lMDY5ZWU5ZTU1NWY2ODBmOTlkNmNjYWI5MGJjNTAifQ=="/>
  </w:docVars>
  <w:rsids>
    <w:rsidRoot w:val="00000000"/>
    <w:rsid w:val="00FD233D"/>
    <w:rsid w:val="049B5140"/>
    <w:rsid w:val="062260D2"/>
    <w:rsid w:val="06B7310D"/>
    <w:rsid w:val="0E561013"/>
    <w:rsid w:val="0E842633"/>
    <w:rsid w:val="103109BE"/>
    <w:rsid w:val="10CC52F7"/>
    <w:rsid w:val="11E2588B"/>
    <w:rsid w:val="140D0007"/>
    <w:rsid w:val="144018FC"/>
    <w:rsid w:val="1BA42A8E"/>
    <w:rsid w:val="1BD31C64"/>
    <w:rsid w:val="1E491273"/>
    <w:rsid w:val="1E6B5B60"/>
    <w:rsid w:val="1EF87EC0"/>
    <w:rsid w:val="204505AD"/>
    <w:rsid w:val="20E85DAE"/>
    <w:rsid w:val="22600256"/>
    <w:rsid w:val="24E24D18"/>
    <w:rsid w:val="24EC5A02"/>
    <w:rsid w:val="25DB20FD"/>
    <w:rsid w:val="275135B6"/>
    <w:rsid w:val="29141210"/>
    <w:rsid w:val="296C29CE"/>
    <w:rsid w:val="2D600F4C"/>
    <w:rsid w:val="2E567099"/>
    <w:rsid w:val="2ED94800"/>
    <w:rsid w:val="302C44F1"/>
    <w:rsid w:val="32954240"/>
    <w:rsid w:val="337066A2"/>
    <w:rsid w:val="33CF2630"/>
    <w:rsid w:val="34F95377"/>
    <w:rsid w:val="36CF10AF"/>
    <w:rsid w:val="37175691"/>
    <w:rsid w:val="37710003"/>
    <w:rsid w:val="37B625EF"/>
    <w:rsid w:val="380A05F1"/>
    <w:rsid w:val="39F5707E"/>
    <w:rsid w:val="3A0A3E69"/>
    <w:rsid w:val="3B073DC4"/>
    <w:rsid w:val="3CC11A84"/>
    <w:rsid w:val="40125FCF"/>
    <w:rsid w:val="402D334F"/>
    <w:rsid w:val="417A669A"/>
    <w:rsid w:val="42417305"/>
    <w:rsid w:val="437368FD"/>
    <w:rsid w:val="44E37ACA"/>
    <w:rsid w:val="45AC4BB7"/>
    <w:rsid w:val="46DB063D"/>
    <w:rsid w:val="496E04E3"/>
    <w:rsid w:val="49C22E42"/>
    <w:rsid w:val="4F3A3B86"/>
    <w:rsid w:val="51CD61A5"/>
    <w:rsid w:val="52526251"/>
    <w:rsid w:val="55AC6D33"/>
    <w:rsid w:val="58B36C53"/>
    <w:rsid w:val="58B91A1A"/>
    <w:rsid w:val="5E056C86"/>
    <w:rsid w:val="645218B2"/>
    <w:rsid w:val="64E10284"/>
    <w:rsid w:val="65864EAB"/>
    <w:rsid w:val="65AC0BA1"/>
    <w:rsid w:val="66AD4AD5"/>
    <w:rsid w:val="684E7F52"/>
    <w:rsid w:val="6860573C"/>
    <w:rsid w:val="69007D35"/>
    <w:rsid w:val="6A8F2D01"/>
    <w:rsid w:val="6AA221E0"/>
    <w:rsid w:val="6AFE35FB"/>
    <w:rsid w:val="6B437E13"/>
    <w:rsid w:val="6BF33738"/>
    <w:rsid w:val="6C060AF4"/>
    <w:rsid w:val="6E5114E1"/>
    <w:rsid w:val="6F441EB0"/>
    <w:rsid w:val="6F8659FF"/>
    <w:rsid w:val="70852816"/>
    <w:rsid w:val="71CA55D4"/>
    <w:rsid w:val="72497471"/>
    <w:rsid w:val="72E202D2"/>
    <w:rsid w:val="73187DD2"/>
    <w:rsid w:val="77420E4E"/>
    <w:rsid w:val="78471C35"/>
    <w:rsid w:val="79213DD0"/>
    <w:rsid w:val="79905D11"/>
    <w:rsid w:val="7A117945"/>
    <w:rsid w:val="7BC17493"/>
    <w:rsid w:val="7D2045FF"/>
    <w:rsid w:val="7F0A22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5">
    <w:name w:val="Default Paragraph Font"/>
    <w:semiHidden/>
    <w:unhideWhenUsed/>
    <w:qFormat/>
    <w:uiPriority w:val="1"/>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pPr>
      <w:spacing w:before="6"/>
    </w:pPr>
    <w:rPr>
      <w:rFonts w:ascii="宋体" w:hAnsi="宋体" w:eastAsia="宋体" w:cs="宋体"/>
      <w:sz w:val="24"/>
      <w:szCs w:val="24"/>
      <w:lang w:val="zh-CN" w:eastAsia="zh-CN" w:bidi="zh-CN"/>
    </w:rPr>
  </w:style>
  <w:style w:type="paragraph" w:styleId="3">
    <w:name w:val="footer"/>
    <w:basedOn w:val="1"/>
    <w:autoRedefine/>
    <w:qFormat/>
    <w:uiPriority w:val="0"/>
    <w:pPr>
      <w:tabs>
        <w:tab w:val="center" w:pos="4153"/>
        <w:tab w:val="right" w:pos="8306"/>
      </w:tabs>
      <w:snapToGrid w:val="0"/>
      <w:jc w:val="left"/>
    </w:pPr>
    <w:rPr>
      <w:sz w:val="18"/>
    </w:rPr>
  </w:style>
  <w:style w:type="table" w:customStyle="1" w:styleId="6">
    <w:name w:val="Table Normal"/>
    <w:autoRedefine/>
    <w:semiHidden/>
    <w:unhideWhenUsed/>
    <w:qFormat/>
    <w:uiPriority w:val="2"/>
    <w:tblPr>
      <w:tblCellMar>
        <w:top w:w="0" w:type="dxa"/>
        <w:left w:w="0" w:type="dxa"/>
        <w:bottom w:w="0" w:type="dxa"/>
        <w:right w:w="0" w:type="dxa"/>
      </w:tblCellMar>
    </w:tblPr>
  </w:style>
  <w:style w:type="paragraph" w:styleId="7">
    <w:name w:val="List Paragraph"/>
    <w:basedOn w:val="1"/>
    <w:autoRedefine/>
    <w:qFormat/>
    <w:uiPriority w:val="1"/>
    <w:rPr>
      <w:lang w:val="zh-CN" w:eastAsia="zh-CN" w:bidi="zh-CN"/>
    </w:rPr>
  </w:style>
  <w:style w:type="paragraph" w:customStyle="1" w:styleId="8">
    <w:name w:val="Table Paragraph"/>
    <w:basedOn w:val="1"/>
    <w:autoRedefine/>
    <w:qFormat/>
    <w:uiPriority w:val="1"/>
    <w:pPr>
      <w:ind w:left="108"/>
    </w:pPr>
    <w:rPr>
      <w:rFonts w:ascii="宋体" w:hAnsi="宋体" w:eastAsia="宋体" w:cs="宋体"/>
      <w:lang w:val="zh-CN" w:eastAsia="zh-CN" w:bidi="zh-CN"/>
    </w:rPr>
  </w:style>
  <w:style w:type="paragraph" w:customStyle="1" w:styleId="9">
    <w:name w:val="12"/>
    <w:autoRedefine/>
    <w:qFormat/>
    <w:uiPriority w:val="0"/>
    <w:pPr>
      <w:widowControl w:val="0"/>
      <w:jc w:val="both"/>
    </w:pPr>
    <w:rPr>
      <w:rFonts w:ascii="Calibri" w:hAnsi="Calibri" w:eastAsia="宋体" w:cs="Times New Roman"/>
      <w:kern w:val="2"/>
      <w:lang w:val="en-US" w:eastAsia="zh-CN" w:bidi="ar-SA"/>
    </w:rPr>
  </w:style>
  <w:style w:type="paragraph" w:customStyle="1" w:styleId="10">
    <w:name w:val="正文5"/>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1038</Words>
  <Characters>1328</Characters>
  <TotalTime>2</TotalTime>
  <ScaleCrop>false</ScaleCrop>
  <LinksUpToDate>false</LinksUpToDate>
  <CharactersWithSpaces>1577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2022-08-11T01:07:00Z</dcterms:created>
  <dc:creator>XIONG</dc:creator>
  <cp:lastModifiedBy>Zhaoyj</cp:lastModifiedBy>
  <cp:lastPrinted>2022-09-29T09:35:00Z</cp:lastPrinted>
  <dcterms:modified xsi:type="dcterms:W3CDTF">2025-03-13T08:27:45Z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2022-07-12T00:00:00Z</vt:filetime>
  </property>
  <property fmtid="{D5CDD505-2E9C-101B-9397-08002B2CF9AE}" pid="3" name="Creator">
    <vt:lpwstr>Microsoft® Word 2010</vt:lpwstr>
  </property>
  <property fmtid="{D5CDD505-2E9C-101B-9397-08002B2CF9AE}" pid="4" name="LastSaved">
    <vt:filetime>2022-08-11T00:00:00Z</vt:filetime>
  </property>
  <property fmtid="{D5CDD505-2E9C-101B-9397-08002B2CF9AE}" pid="5" name="KSOProductBuildVer">
    <vt:lpwstr>2052-12.1.0.20305</vt:lpwstr>
  </property>
  <property fmtid="{D5CDD505-2E9C-101B-9397-08002B2CF9AE}" pid="6" name="ICV">
    <vt:lpwstr>5A78ACD276CB4E90B61988F65052FBD2_13</vt:lpwstr>
  </property>
  <property fmtid="{D5CDD505-2E9C-101B-9397-08002B2CF9AE}" pid="7" name="KSOTemplateDocerSaveRecord">
    <vt:lpwstr>eyJoZGlkIjoiZTQ4ODQwNThiYTg4YTBlNDhkZDRmNGNiNWM5NWE1YzAiLCJ1c2VySWQiOiIyNDk3MTA2NDYifQ==</vt:lpwstr>
  </property>
</Properties>
</file>