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1" w:line="219" w:lineRule="auto"/>
        <w:ind w:left="23"/>
        <w:rPr>
          <w:rFonts w:hint="default" w:ascii="Arial Narrow" w:hAnsi="Arial Narrow" w:eastAsia="宋体" w:cs="宋体"/>
          <w:b/>
          <w:bCs/>
          <w:spacing w:val="-4"/>
          <w:sz w:val="32"/>
          <w:szCs w:val="32"/>
          <w:lang w:val="en-US" w:eastAsia="zh-CN"/>
        </w:rPr>
      </w:pPr>
      <w:r>
        <w:rPr>
          <w:rFonts w:ascii="Arial Narrow" w:hAnsi="Arial Narrow" w:eastAsia="宋体" w:cs="宋体"/>
          <w:sz w:val="24"/>
          <w:szCs w:val="24"/>
          <w:lang w:eastAsia="zh-CN"/>
        </w:rPr>
        <w:t>证券代码：60</w:t>
      </w:r>
      <w:r>
        <w:rPr>
          <w:rFonts w:hint="eastAsia" w:ascii="Arial Narrow" w:hAnsi="Arial Narrow" w:eastAsia="宋体" w:cs="宋体"/>
          <w:sz w:val="24"/>
          <w:szCs w:val="24"/>
          <w:lang w:eastAsia="zh-CN"/>
        </w:rPr>
        <w:t>0438</w:t>
      </w:r>
      <w:r>
        <w:rPr>
          <w:rFonts w:ascii="Arial Narrow" w:hAnsi="Arial Narrow" w:eastAsia="宋体" w:cs="宋体"/>
          <w:sz w:val="24"/>
          <w:szCs w:val="24"/>
          <w:lang w:eastAsia="zh-CN"/>
        </w:rPr>
        <w:t xml:space="preserve">      </w:t>
      </w:r>
      <w:r>
        <w:rPr>
          <w:rFonts w:hint="eastAsia" w:ascii="Arial Narrow" w:hAnsi="Arial Narrow" w:eastAsia="宋体" w:cs="宋体"/>
          <w:sz w:val="24"/>
          <w:szCs w:val="24"/>
          <w:lang w:eastAsia="zh-CN"/>
        </w:rPr>
        <w:t xml:space="preserve">     </w:t>
      </w:r>
      <w:r>
        <w:rPr>
          <w:rFonts w:ascii="Arial Narrow" w:hAnsi="Arial Narrow" w:eastAsia="宋体" w:cs="宋体"/>
          <w:spacing w:val="-1"/>
          <w:sz w:val="24"/>
          <w:szCs w:val="24"/>
          <w:lang w:eastAsia="zh-CN"/>
        </w:rPr>
        <w:t>证券简称：</w:t>
      </w:r>
      <w:r>
        <w:rPr>
          <w:rFonts w:hint="eastAsia" w:ascii="Arial Narrow" w:hAnsi="Arial Narrow" w:eastAsia="宋体" w:cs="宋体"/>
          <w:spacing w:val="-1"/>
          <w:sz w:val="24"/>
          <w:szCs w:val="24"/>
          <w:lang w:eastAsia="zh-CN"/>
        </w:rPr>
        <w:t>通威股份            编号：202</w:t>
      </w:r>
      <w:r>
        <w:rPr>
          <w:rFonts w:hint="eastAsia" w:ascii="Arial Narrow" w:hAnsi="Arial Narrow" w:eastAsia="宋体" w:cs="宋体"/>
          <w:spacing w:val="-1"/>
          <w:sz w:val="24"/>
          <w:szCs w:val="24"/>
          <w:lang w:val="en-US" w:eastAsia="zh-CN"/>
        </w:rPr>
        <w:t>5</w:t>
      </w:r>
      <w:r>
        <w:rPr>
          <w:rFonts w:hint="eastAsia" w:ascii="Arial Narrow" w:hAnsi="Arial Narrow" w:eastAsia="宋体" w:cs="宋体"/>
          <w:spacing w:val="-1"/>
          <w:sz w:val="24"/>
          <w:szCs w:val="24"/>
          <w:lang w:eastAsia="zh-CN"/>
        </w:rPr>
        <w:t>-0</w:t>
      </w:r>
      <w:r>
        <w:rPr>
          <w:rFonts w:hint="eastAsia" w:ascii="Arial Narrow" w:hAnsi="Arial Narrow" w:eastAsia="宋体" w:cs="宋体"/>
          <w:spacing w:val="-1"/>
          <w:sz w:val="24"/>
          <w:szCs w:val="24"/>
          <w:lang w:val="en-US" w:eastAsia="zh-CN"/>
        </w:rPr>
        <w:t>4</w:t>
      </w:r>
    </w:p>
    <w:p>
      <w:pPr>
        <w:spacing w:before="480" w:beforeLines="200" w:line="360" w:lineRule="auto"/>
        <w:jc w:val="center"/>
        <w:outlineLvl w:val="0"/>
        <w:rPr>
          <w:rFonts w:ascii="Arial Narrow" w:hAnsi="Arial Narrow" w:eastAsia="宋体" w:cs="宋体"/>
          <w:spacing w:val="3"/>
          <w:sz w:val="32"/>
          <w:szCs w:val="32"/>
          <w:lang w:eastAsia="zh-CN"/>
        </w:rPr>
      </w:pPr>
      <w:r>
        <w:rPr>
          <w:rFonts w:hint="eastAsia" w:ascii="Arial Narrow" w:hAnsi="Arial Narrow" w:eastAsia="宋体" w:cs="宋体"/>
          <w:b/>
          <w:bCs/>
          <w:spacing w:val="-4"/>
          <w:sz w:val="32"/>
          <w:szCs w:val="32"/>
          <w:lang w:eastAsia="zh-CN"/>
        </w:rPr>
        <w:t>通威股份</w:t>
      </w:r>
      <w:r>
        <w:rPr>
          <w:rFonts w:ascii="Arial Narrow" w:hAnsi="Arial Narrow" w:eastAsia="宋体" w:cs="宋体"/>
          <w:b/>
          <w:bCs/>
          <w:spacing w:val="-4"/>
          <w:sz w:val="32"/>
          <w:szCs w:val="32"/>
          <w:lang w:eastAsia="zh-CN"/>
        </w:rPr>
        <w:t>股份有限公司</w:t>
      </w:r>
    </w:p>
    <w:p>
      <w:pPr>
        <w:spacing w:line="360" w:lineRule="auto"/>
        <w:jc w:val="center"/>
        <w:outlineLvl w:val="0"/>
        <w:rPr>
          <w:rFonts w:ascii="Arial Narrow" w:hAnsi="Arial Narrow" w:eastAsia="宋体" w:cs="宋体"/>
          <w:sz w:val="32"/>
          <w:szCs w:val="32"/>
          <w:lang w:eastAsia="zh-CN"/>
        </w:rPr>
      </w:pPr>
      <w:r>
        <w:rPr>
          <w:rFonts w:ascii="Arial Narrow" w:hAnsi="Arial Narrow" w:eastAsia="宋体" w:cs="宋体"/>
          <w:b/>
          <w:bCs/>
          <w:spacing w:val="-3"/>
          <w:sz w:val="32"/>
          <w:szCs w:val="32"/>
          <w:lang w:eastAsia="zh-CN"/>
        </w:rPr>
        <w:t>投资者关系活动记录表</w:t>
      </w:r>
    </w:p>
    <w:p>
      <w:pPr>
        <w:spacing w:line="69" w:lineRule="exact"/>
        <w:rPr>
          <w:lang w:eastAsia="zh-CN"/>
        </w:rPr>
      </w:pP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55"/>
        <w:gridCol w:w="2361"/>
        <w:gridCol w:w="4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112" w:type="pct"/>
            <w:vAlign w:val="center"/>
          </w:tcPr>
          <w:p>
            <w:pPr>
              <w:pStyle w:val="7"/>
              <w:spacing w:before="120" w:line="347" w:lineRule="auto"/>
              <w:ind w:left="118" w:right="109" w:firstLine="1"/>
              <w:rPr>
                <w:rFonts w:hint="eastAsia"/>
              </w:rPr>
            </w:pPr>
            <w:r>
              <w:rPr>
                <w:spacing w:val="-6"/>
                <w:lang w:eastAsia="zh-CN"/>
              </w:rPr>
              <w:t>投资者关系活 动类别</w:t>
            </w:r>
          </w:p>
        </w:tc>
        <w:tc>
          <w:tcPr>
            <w:tcW w:w="1415" w:type="pct"/>
            <w:tcBorders>
              <w:right w:val="nil"/>
            </w:tcBorders>
          </w:tcPr>
          <w:p>
            <w:pPr>
              <w:pStyle w:val="7"/>
              <w:spacing w:before="120" w:line="220" w:lineRule="auto"/>
              <w:ind w:left="137"/>
              <w:rPr>
                <w:rFonts w:hint="eastAsia"/>
                <w:lang w:eastAsia="zh-CN"/>
              </w:rPr>
            </w:pPr>
            <w:r>
              <w:rPr>
                <w:rFonts w:hint="eastAsia" w:ascii="Segoe UI Symbol" w:hAnsi="Segoe UI Symbol" w:cs="Segoe UI Symbol"/>
                <w:spacing w:val="-5"/>
                <w:lang w:eastAsia="zh-CN"/>
              </w:rPr>
              <w:t>☑</w:t>
            </w:r>
            <w:r>
              <w:rPr>
                <w:spacing w:val="-5"/>
                <w:lang w:eastAsia="zh-CN"/>
              </w:rPr>
              <w:t>特定对象调研</w:t>
            </w:r>
          </w:p>
          <w:p>
            <w:pPr>
              <w:pStyle w:val="7"/>
              <w:spacing w:before="120" w:line="219" w:lineRule="auto"/>
              <w:ind w:left="137"/>
              <w:rPr>
                <w:rFonts w:hint="eastAsia"/>
                <w:lang w:eastAsia="zh-CN"/>
              </w:rPr>
            </w:pPr>
            <w:r>
              <w:rPr>
                <w:spacing w:val="-6"/>
                <w:lang w:eastAsia="zh-CN"/>
              </w:rPr>
              <w:t>□媒体采访</w:t>
            </w:r>
          </w:p>
          <w:p>
            <w:pPr>
              <w:pStyle w:val="7"/>
              <w:spacing w:before="120" w:line="219" w:lineRule="auto"/>
              <w:ind w:left="137"/>
              <w:rPr>
                <w:rFonts w:hint="eastAsia"/>
                <w:lang w:eastAsia="zh-CN"/>
              </w:rPr>
            </w:pPr>
            <w:r>
              <w:rPr>
                <w:spacing w:val="-5"/>
                <w:lang w:eastAsia="zh-CN"/>
              </w:rPr>
              <w:t>□新闻发布会</w:t>
            </w:r>
          </w:p>
          <w:p>
            <w:pPr>
              <w:pStyle w:val="7"/>
              <w:spacing w:before="120" w:line="220" w:lineRule="auto"/>
              <w:ind w:left="137"/>
              <w:rPr>
                <w:rFonts w:hint="eastAsia"/>
                <w:lang w:eastAsia="zh-CN"/>
              </w:rPr>
            </w:pPr>
            <w:r>
              <w:rPr>
                <w:rFonts w:hint="eastAsia" w:ascii="Segoe UI Symbol" w:hAnsi="Segoe UI Symbol" w:cs="Segoe UI Symbol"/>
                <w:spacing w:val="-5"/>
                <w:lang w:eastAsia="zh-CN"/>
              </w:rPr>
              <w:t>☑</w:t>
            </w:r>
            <w:r>
              <w:rPr>
                <w:spacing w:val="-6"/>
                <w:lang w:eastAsia="zh-CN"/>
              </w:rPr>
              <w:t>现场参观</w:t>
            </w:r>
          </w:p>
          <w:p>
            <w:pPr>
              <w:pStyle w:val="7"/>
              <w:spacing w:before="120" w:line="220" w:lineRule="auto"/>
              <w:ind w:left="137"/>
              <w:rPr>
                <w:rFonts w:hint="eastAsia"/>
                <w:lang w:eastAsia="zh-CN"/>
              </w:rPr>
            </w:pPr>
            <w:r>
              <w:rPr>
                <w:rFonts w:hint="eastAsia" w:ascii="Segoe UI Symbol" w:hAnsi="Segoe UI Symbol" w:cs="Segoe UI Symbol"/>
                <w:spacing w:val="-5"/>
                <w:lang w:eastAsia="zh-CN"/>
              </w:rPr>
              <w:t>☑</w:t>
            </w:r>
            <w:r>
              <w:rPr>
                <w:spacing w:val="-12"/>
                <w:lang w:eastAsia="zh-CN"/>
              </w:rPr>
              <w:t>其他</w:t>
            </w:r>
            <w:r>
              <w:rPr>
                <w:u w:val="single"/>
                <w:lang w:eastAsia="zh-CN"/>
              </w:rPr>
              <w:t xml:space="preserve">  </w:t>
            </w:r>
            <w:r>
              <w:rPr>
                <w:rFonts w:hint="eastAsia"/>
                <w:u w:val="single"/>
                <w:lang w:eastAsia="zh-CN"/>
              </w:rPr>
              <w:t>线上会议</w:t>
            </w:r>
            <w:r>
              <w:rPr>
                <w:u w:val="single"/>
                <w:lang w:eastAsia="zh-CN"/>
              </w:rPr>
              <w:t xml:space="preserve">          </w:t>
            </w:r>
          </w:p>
        </w:tc>
        <w:tc>
          <w:tcPr>
            <w:tcW w:w="2472" w:type="pct"/>
            <w:tcBorders>
              <w:left w:val="nil"/>
            </w:tcBorders>
          </w:tcPr>
          <w:p>
            <w:pPr>
              <w:pStyle w:val="7"/>
              <w:spacing w:before="120" w:line="219" w:lineRule="auto"/>
              <w:ind w:left="197"/>
              <w:rPr>
                <w:rFonts w:hint="eastAsia"/>
                <w:lang w:eastAsia="zh-CN"/>
              </w:rPr>
            </w:pPr>
            <w:r>
              <w:rPr>
                <w:rFonts w:hint="eastAsia" w:ascii="Segoe UI Symbol" w:hAnsi="Segoe UI Symbol" w:cs="Segoe UI Symbol"/>
                <w:spacing w:val="-5"/>
                <w:lang w:eastAsia="zh-CN"/>
              </w:rPr>
              <w:t>☑</w:t>
            </w:r>
            <w:r>
              <w:rPr>
                <w:spacing w:val="-5"/>
                <w:lang w:eastAsia="zh-CN"/>
              </w:rPr>
              <w:t>分析师会议</w:t>
            </w:r>
          </w:p>
          <w:p>
            <w:pPr>
              <w:pStyle w:val="7"/>
              <w:spacing w:before="120" w:line="219" w:lineRule="auto"/>
              <w:ind w:left="197"/>
              <w:rPr>
                <w:rFonts w:hint="eastAsia"/>
                <w:lang w:eastAsia="zh-CN"/>
              </w:rPr>
            </w:pPr>
            <w:r>
              <w:rPr>
                <w:rFonts w:hint="eastAsia"/>
                <w:spacing w:val="-5"/>
                <w:lang w:eastAsia="zh-CN"/>
              </w:rPr>
              <w:t>□</w:t>
            </w:r>
            <w:r>
              <w:rPr>
                <w:spacing w:val="-6"/>
                <w:lang w:eastAsia="zh-CN"/>
              </w:rPr>
              <w:t>业绩说明会</w:t>
            </w:r>
          </w:p>
          <w:p>
            <w:pPr>
              <w:pStyle w:val="7"/>
              <w:spacing w:before="120" w:line="220" w:lineRule="auto"/>
              <w:ind w:left="197"/>
              <w:rPr>
                <w:rFonts w:hint="eastAsia"/>
              </w:rPr>
            </w:pPr>
            <w:r>
              <w:rPr>
                <w:rFonts w:hint="eastAsia" w:ascii="Segoe UI Symbol" w:hAnsi="Segoe UI Symbol" w:cs="Segoe UI Symbol"/>
                <w:spacing w:val="-6"/>
                <w:lang w:eastAsia="zh-CN"/>
              </w:rPr>
              <w:t>□</w:t>
            </w:r>
            <w:r>
              <w:rPr>
                <w:spacing w:val="-6"/>
              </w:rPr>
              <w:t>路演活动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112" w:type="pct"/>
            <w:vAlign w:val="center"/>
          </w:tcPr>
          <w:p>
            <w:pPr>
              <w:pStyle w:val="7"/>
              <w:spacing w:before="120" w:line="347" w:lineRule="auto"/>
              <w:ind w:left="116" w:right="109" w:firstLine="2"/>
              <w:rPr>
                <w:rFonts w:hint="eastAsia"/>
                <w:lang w:eastAsia="zh-CN"/>
              </w:rPr>
            </w:pPr>
            <w:r>
              <w:rPr>
                <w:spacing w:val="-6"/>
                <w:lang w:eastAsia="zh-CN"/>
              </w:rPr>
              <w:t>参与单位名称 及人员姓名</w:t>
            </w:r>
          </w:p>
        </w:tc>
        <w:tc>
          <w:tcPr>
            <w:tcW w:w="3887" w:type="pct"/>
            <w:gridSpan w:val="2"/>
          </w:tcPr>
          <w:p>
            <w:pPr>
              <w:pStyle w:val="7"/>
              <w:numPr>
                <w:ilvl w:val="0"/>
                <w:numId w:val="1"/>
              </w:numPr>
              <w:spacing w:before="120" w:line="345" w:lineRule="auto"/>
              <w:ind w:right="23"/>
              <w:jc w:val="both"/>
              <w:rPr>
                <w:rFonts w:hint="eastAsia"/>
                <w:b/>
                <w:bCs/>
                <w:lang w:eastAsia="zh-CN"/>
              </w:rPr>
            </w:pPr>
            <w:r>
              <w:rPr>
                <w:rFonts w:hint="eastAsia"/>
                <w:b/>
                <w:bCs/>
                <w:spacing w:val="-2"/>
                <w:lang w:eastAsia="zh-CN"/>
              </w:rPr>
              <w:t>现场调研</w:t>
            </w:r>
          </w:p>
          <w:p>
            <w:pPr>
              <w:pStyle w:val="7"/>
              <w:spacing w:before="120" w:line="329" w:lineRule="auto"/>
              <w:ind w:left="113" w:right="105" w:firstLine="480" w:firstLineChars="200"/>
              <w:jc w:val="both"/>
              <w:rPr>
                <w:rFonts w:hint="eastAsia"/>
                <w:lang w:eastAsia="zh-CN"/>
              </w:rPr>
            </w:pPr>
            <w:r>
              <w:rPr>
                <w:rFonts w:hint="eastAsia"/>
                <w:lang w:eastAsia="zh-CN"/>
              </w:rPr>
              <w:t>本期公司在成都总部接待的机构有</w:t>
            </w:r>
            <w:r>
              <w:rPr>
                <w:rFonts w:hint="eastAsia"/>
                <w:lang w:val="en-US" w:eastAsia="zh-CN"/>
              </w:rPr>
              <w:t>博时基金、中金资管、诚旸投资、广发基金等</w:t>
            </w:r>
            <w:r>
              <w:rPr>
                <w:rFonts w:hint="eastAsia"/>
                <w:lang w:eastAsia="zh-CN"/>
              </w:rPr>
              <w:t>。</w:t>
            </w:r>
          </w:p>
          <w:p>
            <w:pPr>
              <w:pStyle w:val="7"/>
              <w:numPr>
                <w:ilvl w:val="0"/>
                <w:numId w:val="1"/>
              </w:numPr>
              <w:spacing w:before="120" w:line="345" w:lineRule="auto"/>
              <w:ind w:right="23"/>
              <w:jc w:val="both"/>
              <w:rPr>
                <w:rFonts w:hint="eastAsia"/>
                <w:b/>
                <w:bCs/>
                <w:lang w:eastAsia="zh-CN"/>
              </w:rPr>
            </w:pPr>
            <w:r>
              <w:rPr>
                <w:rFonts w:hint="eastAsia"/>
                <w:b/>
                <w:bCs/>
                <w:spacing w:val="-2"/>
                <w:lang w:eastAsia="zh-CN"/>
              </w:rPr>
              <w:t>线上会议</w:t>
            </w:r>
          </w:p>
          <w:p>
            <w:pPr>
              <w:pStyle w:val="7"/>
              <w:spacing w:before="120" w:line="329" w:lineRule="auto"/>
              <w:ind w:left="113" w:right="105" w:firstLine="480" w:firstLineChars="200"/>
              <w:jc w:val="both"/>
              <w:rPr>
                <w:rFonts w:hint="eastAsia"/>
                <w:lang w:eastAsia="zh-CN"/>
              </w:rPr>
            </w:pPr>
            <w:r>
              <w:rPr>
                <w:rFonts w:hint="eastAsia"/>
                <w:lang w:eastAsia="zh-CN"/>
              </w:rPr>
              <w:t>本期公司与</w:t>
            </w:r>
            <w:r>
              <w:rPr>
                <w:rFonts w:hint="eastAsia"/>
                <w:lang w:val="en-US" w:eastAsia="zh-CN"/>
              </w:rPr>
              <w:t>腾跃基金</w:t>
            </w:r>
            <w:r>
              <w:rPr>
                <w:rFonts w:hint="eastAsia"/>
                <w:lang w:eastAsia="zh-CN"/>
              </w:rPr>
              <w:t>、</w:t>
            </w:r>
            <w:r>
              <w:rPr>
                <w:rFonts w:hint="eastAsia"/>
                <w:lang w:val="en-US" w:eastAsia="zh-CN"/>
              </w:rPr>
              <w:t>中泰资管</w:t>
            </w:r>
            <w:r>
              <w:rPr>
                <w:rFonts w:hint="eastAsia"/>
                <w:lang w:eastAsia="zh-CN"/>
              </w:rPr>
              <w:t>、</w:t>
            </w:r>
            <w:r>
              <w:rPr>
                <w:rFonts w:hint="eastAsia"/>
                <w:lang w:val="en-US" w:eastAsia="zh-CN"/>
              </w:rPr>
              <w:t>平安基金、摩根基金、兴全基金、富瑞证券等</w:t>
            </w:r>
            <w:r>
              <w:rPr>
                <w:rFonts w:hint="eastAsia"/>
                <w:lang w:eastAsia="zh-CN"/>
              </w:rPr>
              <w:t>机构进行了线上交流。</w:t>
            </w:r>
          </w:p>
          <w:p>
            <w:pPr>
              <w:pStyle w:val="7"/>
              <w:numPr>
                <w:ilvl w:val="0"/>
                <w:numId w:val="1"/>
              </w:numPr>
              <w:spacing w:before="120" w:line="345" w:lineRule="auto"/>
              <w:ind w:right="23"/>
              <w:jc w:val="both"/>
              <w:rPr>
                <w:rFonts w:hint="eastAsia"/>
                <w:b/>
                <w:bCs/>
                <w:spacing w:val="-2"/>
                <w:lang w:eastAsia="zh-CN"/>
              </w:rPr>
            </w:pPr>
            <w:r>
              <w:rPr>
                <w:rFonts w:hint="eastAsia"/>
                <w:b/>
                <w:bCs/>
                <w:spacing w:val="-2"/>
                <w:lang w:eastAsia="zh-CN"/>
              </w:rPr>
              <w:t>策略会</w:t>
            </w:r>
          </w:p>
          <w:p>
            <w:pPr>
              <w:pStyle w:val="7"/>
              <w:keepNext w:val="0"/>
              <w:keepLines w:val="0"/>
              <w:pageBreakBefore w:val="0"/>
              <w:widowControl/>
              <w:kinsoku w:val="0"/>
              <w:wordWrap/>
              <w:overflowPunct/>
              <w:topLinePunct w:val="0"/>
              <w:autoSpaceDE w:val="0"/>
              <w:autoSpaceDN w:val="0"/>
              <w:bidi w:val="0"/>
              <w:adjustRightInd w:val="0"/>
              <w:snapToGrid w:val="0"/>
              <w:spacing w:before="120" w:line="360" w:lineRule="auto"/>
              <w:ind w:left="136" w:right="23" w:firstLine="480" w:firstLineChars="200"/>
              <w:jc w:val="both"/>
              <w:textAlignment w:val="baseline"/>
              <w:rPr>
                <w:rFonts w:hint="eastAsia"/>
                <w:lang w:eastAsia="zh-CN"/>
              </w:rPr>
            </w:pPr>
            <w:r>
              <w:rPr>
                <w:rFonts w:hint="eastAsia"/>
                <w:lang w:eastAsia="zh-CN"/>
              </w:rPr>
              <w:t>本期公司参加了</w:t>
            </w:r>
            <w:r>
              <w:rPr>
                <w:rFonts w:hint="eastAsia"/>
                <w:lang w:val="en-US" w:eastAsia="zh-CN"/>
              </w:rPr>
              <w:t>长江证券、兴业证券、国投证券等券商研究所</w:t>
            </w:r>
            <w:r>
              <w:rPr>
                <w:rFonts w:hint="eastAsia"/>
                <w:lang w:eastAsia="zh-CN"/>
              </w:rPr>
              <w:t>组织的策略会，参加策略会并与公司交流的投资机构有</w:t>
            </w:r>
            <w:r>
              <w:rPr>
                <w:rFonts w:hint="eastAsia"/>
                <w:lang w:val="en-US" w:eastAsia="zh-CN"/>
              </w:rPr>
              <w:t>国投瑞银、泰康资产、鹏华基金、百年保险、上银基金、人保资产</w:t>
            </w:r>
            <w:r>
              <w:rPr>
                <w:rFonts w:hint="eastAsia"/>
                <w:lang w:eastAsia="zh-CN"/>
              </w:rPr>
              <w:t>等</w:t>
            </w:r>
            <w:bookmarkStart w:id="0" w:name="_GoBack"/>
            <w:bookmarkEnd w:id="0"/>
            <w:r>
              <w:rPr>
                <w:rFonts w:hint="eastAsia"/>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12" w:type="pct"/>
          </w:tcPr>
          <w:p>
            <w:pPr>
              <w:pStyle w:val="7"/>
              <w:spacing w:before="120" w:line="222" w:lineRule="auto"/>
              <w:ind w:left="128"/>
              <w:rPr>
                <w:rFonts w:hint="eastAsia"/>
              </w:rPr>
            </w:pPr>
            <w:r>
              <w:rPr>
                <w:spacing w:val="-6"/>
              </w:rPr>
              <w:t>时间</w:t>
            </w:r>
          </w:p>
        </w:tc>
        <w:tc>
          <w:tcPr>
            <w:tcW w:w="3887" w:type="pct"/>
            <w:gridSpan w:val="2"/>
          </w:tcPr>
          <w:p>
            <w:pPr>
              <w:pStyle w:val="7"/>
              <w:spacing w:before="120" w:line="220" w:lineRule="auto"/>
              <w:ind w:left="116"/>
              <w:rPr>
                <w:rFonts w:hint="eastAsia"/>
                <w:lang w:eastAsia="zh-CN"/>
              </w:rPr>
            </w:pPr>
            <w:r>
              <w:rPr>
                <w:rFonts w:hint="eastAsia"/>
                <w:spacing w:val="-7"/>
              </w:rPr>
              <w:t>202</w:t>
            </w:r>
            <w:r>
              <w:rPr>
                <w:rFonts w:hint="eastAsia"/>
                <w:spacing w:val="-7"/>
                <w:lang w:eastAsia="zh-CN"/>
              </w:rPr>
              <w:t>5年</w:t>
            </w:r>
            <w:r>
              <w:rPr>
                <w:rFonts w:hint="eastAsia"/>
                <w:spacing w:val="-7"/>
                <w:lang w:val="en-US" w:eastAsia="zh-CN"/>
              </w:rPr>
              <w:t>3</w:t>
            </w:r>
            <w:r>
              <w:rPr>
                <w:rFonts w:hint="eastAsia"/>
                <w:spacing w:val="-7"/>
              </w:rPr>
              <w:t>月</w:t>
            </w:r>
            <w:r>
              <w:rPr>
                <w:rFonts w:hint="eastAsia"/>
                <w:spacing w:val="-7"/>
                <w:lang w:eastAsia="zh-CN"/>
              </w:rPr>
              <w:t>1</w:t>
            </w:r>
            <w:r>
              <w:rPr>
                <w:rFonts w:hint="eastAsia"/>
                <w:spacing w:val="-7"/>
              </w:rPr>
              <w:t>日</w:t>
            </w:r>
            <w:r>
              <w:rPr>
                <w:rFonts w:hint="eastAsia"/>
                <w:spacing w:val="-7"/>
                <w:lang w:eastAsia="zh-CN"/>
              </w:rPr>
              <w:t>-</w:t>
            </w:r>
            <w:r>
              <w:rPr>
                <w:rFonts w:hint="eastAsia"/>
                <w:spacing w:val="-7"/>
                <w:lang w:val="en-US" w:eastAsia="zh-CN"/>
              </w:rPr>
              <w:t>3</w:t>
            </w:r>
            <w:r>
              <w:rPr>
                <w:rFonts w:hint="eastAsia"/>
                <w:spacing w:val="-7"/>
                <w:lang w:eastAsia="zh-CN"/>
              </w:rPr>
              <w:t>月</w:t>
            </w:r>
            <w:r>
              <w:rPr>
                <w:rFonts w:hint="eastAsia"/>
                <w:spacing w:val="-7"/>
                <w:lang w:val="en-US" w:eastAsia="zh-CN"/>
              </w:rPr>
              <w:t>31</w:t>
            </w:r>
            <w:r>
              <w:rPr>
                <w:rFonts w:hint="eastAsia"/>
                <w:spacing w:val="-7"/>
                <w:lang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2" w:type="pct"/>
          </w:tcPr>
          <w:p>
            <w:pPr>
              <w:pStyle w:val="7"/>
              <w:spacing w:before="120" w:line="224" w:lineRule="auto"/>
              <w:ind w:left="117"/>
              <w:rPr>
                <w:rFonts w:hint="eastAsia"/>
              </w:rPr>
            </w:pPr>
            <w:r>
              <w:rPr>
                <w:spacing w:val="-3"/>
              </w:rPr>
              <w:t>地点</w:t>
            </w:r>
          </w:p>
        </w:tc>
        <w:tc>
          <w:tcPr>
            <w:tcW w:w="3887" w:type="pct"/>
            <w:gridSpan w:val="2"/>
          </w:tcPr>
          <w:p>
            <w:pPr>
              <w:pStyle w:val="7"/>
              <w:spacing w:before="120" w:line="220" w:lineRule="auto"/>
              <w:ind w:left="128"/>
              <w:rPr>
                <w:rFonts w:hint="default"/>
                <w:lang w:val="en-US" w:eastAsia="zh-CN"/>
              </w:rPr>
            </w:pPr>
            <w:r>
              <w:rPr>
                <w:rFonts w:hint="eastAsia"/>
                <w:lang w:eastAsia="zh-CN"/>
              </w:rPr>
              <w:t>通威股份成都总部、</w:t>
            </w:r>
            <w:r>
              <w:rPr>
                <w:rFonts w:hint="eastAsia"/>
                <w:lang w:val="en-US" w:eastAsia="zh-CN"/>
              </w:rPr>
              <w:t>深圳、武汉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1112" w:type="pct"/>
            <w:vAlign w:val="center"/>
          </w:tcPr>
          <w:p>
            <w:pPr>
              <w:pStyle w:val="7"/>
              <w:spacing w:before="120" w:line="347" w:lineRule="auto"/>
              <w:ind w:left="119" w:right="109"/>
              <w:rPr>
                <w:rFonts w:hint="eastAsia"/>
                <w:lang w:eastAsia="zh-CN"/>
              </w:rPr>
            </w:pPr>
            <w:r>
              <w:rPr>
                <w:spacing w:val="-6"/>
                <w:lang w:eastAsia="zh-CN"/>
              </w:rPr>
              <w:t>上市公司接待 人员姓名</w:t>
            </w:r>
          </w:p>
        </w:tc>
        <w:tc>
          <w:tcPr>
            <w:tcW w:w="3887" w:type="pct"/>
            <w:gridSpan w:val="2"/>
          </w:tcPr>
          <w:p>
            <w:pPr>
              <w:pStyle w:val="7"/>
              <w:spacing w:before="120" w:line="220" w:lineRule="auto"/>
              <w:ind w:left="128"/>
              <w:rPr>
                <w:rFonts w:hint="eastAsia"/>
                <w:spacing w:val="-4"/>
                <w:lang w:eastAsia="zh-CN"/>
              </w:rPr>
            </w:pPr>
            <w:r>
              <w:rPr>
                <w:rFonts w:hint="eastAsia"/>
                <w:lang w:eastAsia="zh-CN"/>
              </w:rPr>
              <w:t>董事会秘书 严轲</w:t>
            </w:r>
          </w:p>
          <w:p>
            <w:pPr>
              <w:pStyle w:val="7"/>
              <w:spacing w:before="120" w:line="220" w:lineRule="auto"/>
              <w:ind w:left="128"/>
              <w:rPr>
                <w:rFonts w:hint="eastAsia"/>
                <w:spacing w:val="-4"/>
                <w:lang w:eastAsia="zh-CN"/>
              </w:rPr>
            </w:pPr>
            <w:r>
              <w:rPr>
                <w:rFonts w:hint="eastAsia"/>
                <w:spacing w:val="-4"/>
                <w:lang w:eastAsia="zh-CN"/>
              </w:rPr>
              <w:t>投资者关系经理 钟秋实</w:t>
            </w:r>
          </w:p>
          <w:p>
            <w:pPr>
              <w:pStyle w:val="7"/>
              <w:spacing w:before="120" w:line="220" w:lineRule="auto"/>
              <w:ind w:left="128"/>
              <w:rPr>
                <w:rFonts w:hint="eastAsia"/>
                <w:spacing w:val="-4"/>
                <w:lang w:eastAsia="zh-CN"/>
              </w:rPr>
            </w:pPr>
            <w:r>
              <w:rPr>
                <w:rFonts w:hint="eastAsia"/>
                <w:spacing w:val="-4"/>
                <w:lang w:eastAsia="zh-CN"/>
              </w:rPr>
              <w:t>投资者关系经理 孙书恒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1112" w:type="pct"/>
            <w:vAlign w:val="center"/>
          </w:tcPr>
          <w:p>
            <w:pPr>
              <w:pStyle w:val="7"/>
              <w:spacing w:before="120" w:line="353" w:lineRule="auto"/>
              <w:ind w:left="118" w:right="109" w:firstLine="1"/>
              <w:jc w:val="both"/>
              <w:rPr>
                <w:rFonts w:hint="eastAsia"/>
                <w:lang w:eastAsia="zh-CN"/>
              </w:rPr>
            </w:pPr>
            <w:r>
              <w:rPr>
                <w:spacing w:val="-6"/>
                <w:lang w:eastAsia="zh-CN"/>
              </w:rPr>
              <w:t>投资者关系活动主要内容介绍</w:t>
            </w:r>
          </w:p>
        </w:tc>
        <w:tc>
          <w:tcPr>
            <w:tcW w:w="3887" w:type="pct"/>
            <w:gridSpan w:val="2"/>
          </w:tcPr>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rPr>
              <w:t>请问公司4月组件开工计划？</w:t>
            </w:r>
          </w:p>
          <w:p>
            <w:pPr>
              <w:pStyle w:val="7"/>
              <w:spacing w:before="120" w:line="329" w:lineRule="auto"/>
              <w:ind w:left="113" w:right="105" w:firstLine="480" w:firstLineChars="200"/>
              <w:jc w:val="both"/>
              <w:rPr>
                <w:rFonts w:hint="eastAsia"/>
                <w:lang w:eastAsia="zh-CN"/>
              </w:rPr>
            </w:pPr>
            <w:r>
              <w:rPr>
                <w:rFonts w:hint="eastAsia"/>
                <w:lang w:eastAsia="zh-CN"/>
              </w:rPr>
              <w:t>答：</w:t>
            </w:r>
            <w:r>
              <w:rPr>
                <w:rFonts w:hint="eastAsia"/>
                <w:lang w:val="en-US" w:eastAsia="zh-CN"/>
              </w:rPr>
              <w:t>随着装机旺季来临及电力市场化改革带来的“抢装潮”，公司当前在手订单充足，预计4月组件开工率将环比3月进一步提升。</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rPr>
              <w:t>近期电池、组件价格显著上涨，公司如何评估涨价的持续性？</w:t>
            </w:r>
          </w:p>
          <w:p>
            <w:pPr>
              <w:pStyle w:val="7"/>
              <w:spacing w:before="120" w:line="329" w:lineRule="auto"/>
              <w:ind w:left="113" w:right="105" w:firstLine="480" w:firstLineChars="200"/>
              <w:jc w:val="both"/>
              <w:rPr>
                <w:rFonts w:hint="eastAsia"/>
                <w:lang w:eastAsia="zh-CN"/>
              </w:rPr>
            </w:pPr>
            <w:r>
              <w:rPr>
                <w:rFonts w:hint="eastAsia"/>
                <w:lang w:val="en-US" w:eastAsia="zh-CN"/>
              </w:rPr>
              <w:t>答：近期电池、组件价格上涨，主要是受益于电力市场化改革带来的阶段性抢装需求所致，但后续供给端收缩与需求端释放节奏都存在较多变量，包括自律效果的持续性、海内外政策导向、产业链上下游博弈等。涨价持续性需动态跟踪供需变化情况。</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rPr>
              <w:t>公司如何评估银包铜浆料在TOPCon电池上的应用？</w:t>
            </w:r>
          </w:p>
          <w:p>
            <w:pPr>
              <w:pStyle w:val="7"/>
              <w:spacing w:before="120" w:line="329" w:lineRule="auto"/>
              <w:ind w:left="113" w:right="105" w:firstLine="480" w:firstLineChars="200"/>
              <w:jc w:val="both"/>
              <w:rPr>
                <w:rFonts w:hint="eastAsia"/>
                <w:lang w:eastAsia="zh-CN"/>
              </w:rPr>
            </w:pPr>
            <w:r>
              <w:rPr>
                <w:rFonts w:hint="eastAsia"/>
                <w:lang w:val="en-US" w:eastAsia="zh-CN"/>
              </w:rPr>
              <w:t>答：银包铜浆料作为当前行业</w:t>
            </w:r>
            <w:r>
              <w:rPr>
                <w:rFonts w:hint="eastAsia"/>
                <w:lang w:val="en-US" w:eastAsia="zh-CN"/>
              </w:rPr>
              <w:t>共识的金属化降本方向之一，公司</w:t>
            </w:r>
            <w:r>
              <w:rPr>
                <w:rFonts w:hint="eastAsia"/>
                <w:lang w:val="en-US" w:eastAsia="zh-CN"/>
              </w:rPr>
              <w:t>高度重视，并已与相关浆料厂商展开银包铜浆料在TOPCon电池上的应用测试，理论上银包铜浆料的导入将进一步降低电池非硅成本，但产品可靠性仍然是公司优先关注的重点，目前可靠性测试仍在评估中。</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rPr>
              <w:t>关注到公司HJT组件功率屡创新高，</w:t>
            </w:r>
            <w:r>
              <w:rPr>
                <w:rFonts w:hint="eastAsia"/>
                <w:b/>
                <w:bCs/>
                <w:lang w:val="en-US" w:eastAsia="zh-CN"/>
              </w:rPr>
              <w:t>近期</w:t>
            </w:r>
            <w:r>
              <w:rPr>
                <w:rFonts w:hint="eastAsia"/>
                <w:b/>
                <w:bCs/>
              </w:rPr>
              <w:t>是否有量产规划的准备？</w:t>
            </w:r>
          </w:p>
          <w:p>
            <w:pPr>
              <w:pStyle w:val="7"/>
              <w:spacing w:before="120" w:line="329" w:lineRule="auto"/>
              <w:ind w:left="113" w:right="105" w:firstLine="480" w:firstLineChars="200"/>
              <w:jc w:val="both"/>
              <w:rPr>
                <w:rFonts w:hint="eastAsia"/>
                <w:lang w:eastAsia="zh-CN"/>
              </w:rPr>
            </w:pPr>
            <w:r>
              <w:rPr>
                <w:rFonts w:hint="eastAsia"/>
                <w:lang w:val="en-US" w:eastAsia="zh-CN"/>
              </w:rPr>
              <w:t>答：公司始终围绕可靠性和经济性原则，同步开展各项电池组件新技术的研发跟踪和动态评估。作为HJT技术的标杆企业，公司在连续打破HJT组件功率记录的同时，目前也正积极研究HJT技术在国内外量产的可行性。若有量产规划，公司将会按照信息披露要求及时披露。</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lang w:val="en-US" w:eastAsia="zh-CN"/>
              </w:rPr>
              <w:t>请问公司子公司永祥股份本次股权融资的目的是什么？</w:t>
            </w:r>
          </w:p>
          <w:p>
            <w:pPr>
              <w:pStyle w:val="7"/>
              <w:spacing w:before="120" w:line="329" w:lineRule="auto"/>
              <w:ind w:left="113" w:right="105" w:firstLine="480" w:firstLineChars="200"/>
              <w:jc w:val="both"/>
              <w:rPr>
                <w:rFonts w:hint="eastAsia"/>
                <w:lang w:eastAsia="zh-CN"/>
              </w:rPr>
            </w:pPr>
            <w:r>
              <w:rPr>
                <w:rFonts w:hint="eastAsia"/>
                <w:lang w:val="en-US" w:eastAsia="zh-CN"/>
              </w:rPr>
              <w:t>答：本次永祥股份增资扩股引入战略投资者主要是公司基于长期战略发展目标，为优化公司资本结构，更好实现高质量发展所作出的规划安排，有助于公司充实资金实力、聚集多方优势资源，进一步巩固公司核心竞争能力，牢牢抓住光伏新能源的长期发展机遇，助力全球双碳事业的推进。</w:t>
            </w:r>
          </w:p>
          <w:p>
            <w:pPr>
              <w:pStyle w:val="7"/>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29" w:lineRule="auto"/>
              <w:ind w:right="108" w:rightChars="0" w:firstLine="482" w:firstLineChars="200"/>
              <w:jc w:val="both"/>
              <w:textAlignment w:val="baseline"/>
              <w:rPr>
                <w:rFonts w:hint="default"/>
                <w:b/>
                <w:bCs/>
                <w:lang w:val="en-US" w:eastAsia="zh-CN"/>
              </w:rPr>
            </w:pPr>
            <w:r>
              <w:rPr>
                <w:rFonts w:hint="eastAsia"/>
                <w:b/>
                <w:bCs/>
                <w:lang w:val="en-US" w:eastAsia="zh-CN"/>
              </w:rPr>
              <w:t>6、永祥股份本次融资是否是因公司资金紧张，后续是否还有其它股权融资计划？</w:t>
            </w:r>
          </w:p>
          <w:p>
            <w:pPr>
              <w:pStyle w:val="7"/>
              <w:spacing w:before="120" w:line="329" w:lineRule="auto"/>
              <w:ind w:left="113" w:right="105" w:firstLine="480" w:firstLineChars="200"/>
              <w:jc w:val="both"/>
              <w:rPr>
                <w:rFonts w:hint="eastAsia" w:eastAsia="宋体"/>
                <w:lang w:eastAsia="zh-CN"/>
              </w:rPr>
            </w:pPr>
            <w:r>
              <w:rPr>
                <w:rFonts w:hint="eastAsia"/>
                <w:lang w:val="en-US" w:eastAsia="zh-CN"/>
              </w:rPr>
              <w:t>答：</w:t>
            </w:r>
            <w:r>
              <w:rPr>
                <w:rFonts w:hint="eastAsia"/>
                <w:lang w:eastAsia="zh-CN"/>
              </w:rPr>
              <w:t>当前公司在手现金充足，</w:t>
            </w:r>
            <w:r>
              <w:rPr>
                <w:rFonts w:hint="eastAsia"/>
                <w:lang w:val="en-US" w:eastAsia="zh-CN"/>
              </w:rPr>
              <w:t>同时可预见的2025年资本开支将同比大幅下降。</w:t>
            </w:r>
            <w:r>
              <w:rPr>
                <w:rFonts w:hint="eastAsia"/>
                <w:lang w:eastAsia="zh-CN"/>
              </w:rPr>
              <w:t>本次永祥股份引入战略投资主要是为了优化公司</w:t>
            </w:r>
            <w:r>
              <w:rPr>
                <w:rFonts w:hint="eastAsia"/>
                <w:lang w:val="en-US" w:eastAsia="zh-CN"/>
              </w:rPr>
              <w:t>资本</w:t>
            </w:r>
            <w:r>
              <w:rPr>
                <w:rFonts w:hint="eastAsia"/>
                <w:lang w:eastAsia="zh-CN"/>
              </w:rPr>
              <w:t>结构，为</w:t>
            </w:r>
            <w:r>
              <w:rPr>
                <w:rFonts w:hint="eastAsia"/>
                <w:lang w:val="en-US" w:eastAsia="zh-CN"/>
              </w:rPr>
              <w:t>后续更高质量的发展</w:t>
            </w:r>
            <w:r>
              <w:rPr>
                <w:rFonts w:hint="eastAsia"/>
                <w:lang w:eastAsia="zh-CN"/>
              </w:rPr>
              <w:t>未雨绸缪，公司目前暂无其它</w:t>
            </w:r>
            <w:r>
              <w:rPr>
                <w:rFonts w:hint="eastAsia"/>
                <w:lang w:val="en-US" w:eastAsia="zh-CN"/>
              </w:rPr>
              <w:t>股权</w:t>
            </w:r>
            <w:r>
              <w:rPr>
                <w:rFonts w:hint="eastAsia"/>
                <w:lang w:eastAsia="zh-CN"/>
              </w:rPr>
              <w:t>融资计划。</w:t>
            </w:r>
          </w:p>
          <w:p>
            <w:pPr>
              <w:pStyle w:val="7"/>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29" w:lineRule="auto"/>
              <w:ind w:leftChars="0" w:right="108" w:rightChars="0" w:firstLine="482" w:firstLineChars="200"/>
              <w:jc w:val="both"/>
              <w:textAlignment w:val="baseline"/>
              <w:rPr>
                <w:rFonts w:hint="default"/>
                <w:b/>
                <w:bCs/>
                <w:lang w:val="en-US" w:eastAsia="zh-CN"/>
              </w:rPr>
            </w:pPr>
            <w:r>
              <w:rPr>
                <w:rFonts w:hint="eastAsia"/>
                <w:b/>
                <w:bCs/>
                <w:lang w:val="en-US" w:eastAsia="zh-CN"/>
              </w:rPr>
              <w:t>7、公司硅料是否有销售给贸易商或期现商？</w:t>
            </w:r>
          </w:p>
          <w:p>
            <w:pPr>
              <w:pStyle w:val="7"/>
              <w:spacing w:before="120" w:line="329" w:lineRule="auto"/>
              <w:ind w:left="113" w:right="105" w:firstLine="480" w:firstLineChars="200"/>
              <w:jc w:val="both"/>
              <w:rPr>
                <w:rFonts w:hint="eastAsia"/>
                <w:lang w:eastAsia="zh-CN"/>
              </w:rPr>
            </w:pPr>
            <w:r>
              <w:rPr>
                <w:rFonts w:hint="eastAsia"/>
                <w:lang w:val="en-US" w:eastAsia="zh-CN"/>
              </w:rPr>
              <w:t>答：公司硅料销售策略以长期稳定合作为主，目前主要通过长单模式直接供应国内下游硅片厂商，</w:t>
            </w:r>
            <w:r>
              <w:rPr>
                <w:rFonts w:hint="eastAsia"/>
                <w:lang w:val="en-US" w:eastAsia="zh-CN"/>
              </w:rPr>
              <w:t>并将优先保障战略客户需求。针对贸易商或期现商，公司</w:t>
            </w:r>
            <w:r>
              <w:rPr>
                <w:rFonts w:hint="eastAsia"/>
                <w:lang w:val="en-US" w:eastAsia="zh-CN"/>
              </w:rPr>
              <w:t>目前暂未开展规模性销售，未来将根据市场流动性需求审慎评估业务模式。</w:t>
            </w:r>
          </w:p>
          <w:p>
            <w:pPr>
              <w:pStyle w:val="7"/>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29" w:lineRule="auto"/>
              <w:ind w:leftChars="0" w:right="108" w:rightChars="0" w:firstLine="482" w:firstLineChars="200"/>
              <w:jc w:val="both"/>
              <w:textAlignment w:val="baseline"/>
              <w:rPr>
                <w:rFonts w:hint="eastAsia"/>
                <w:b/>
                <w:bCs/>
                <w:lang w:val="en-US" w:eastAsia="zh-CN"/>
              </w:rPr>
            </w:pPr>
            <w:r>
              <w:rPr>
                <w:rFonts w:hint="eastAsia"/>
                <w:b/>
                <w:bCs/>
                <w:lang w:val="en-US" w:eastAsia="zh-CN"/>
              </w:rPr>
              <w:t>8、近期缅甸发生7.9级地震，保山市位于云南边陲与缅甸接壤，公司保山多晶硅产能设施及设备是否受到影响？</w:t>
            </w:r>
          </w:p>
          <w:p>
            <w:pPr>
              <w:pStyle w:val="7"/>
              <w:spacing w:before="120" w:line="329" w:lineRule="auto"/>
              <w:ind w:left="113" w:right="105" w:firstLine="480" w:firstLineChars="200"/>
              <w:jc w:val="both"/>
              <w:rPr>
                <w:rFonts w:hint="eastAsia"/>
                <w:lang w:eastAsia="zh-CN"/>
              </w:rPr>
            </w:pPr>
            <w:r>
              <w:rPr>
                <w:rFonts w:hint="eastAsia"/>
                <w:lang w:eastAsia="zh-CN"/>
              </w:rPr>
              <w:t>答：保山市距离缅甸震源中心尚有一定距离，且</w:t>
            </w:r>
            <w:r>
              <w:rPr>
                <w:rFonts w:hint="eastAsia"/>
                <w:lang w:val="en-US" w:eastAsia="zh-CN"/>
              </w:rPr>
              <w:t>公司保山多晶硅基地</w:t>
            </w:r>
            <w:r>
              <w:rPr>
                <w:rFonts w:hint="eastAsia"/>
                <w:lang w:eastAsia="zh-CN"/>
              </w:rPr>
              <w:t>在建设时期已经配有地震防护设施。地震发生后，公司各部门、工段迅速进行氨水查漏与隐患排查，截至目前无重大隐患发生，项目设备</w:t>
            </w:r>
            <w:r>
              <w:rPr>
                <w:rFonts w:hint="eastAsia"/>
                <w:lang w:val="en-US" w:eastAsia="zh-CN"/>
              </w:rPr>
              <w:t>均</w:t>
            </w:r>
            <w:r>
              <w:rPr>
                <w:rFonts w:hint="eastAsia"/>
                <w:lang w:eastAsia="zh-CN"/>
              </w:rPr>
              <w:t>没有受到破坏。</w:t>
            </w:r>
          </w:p>
        </w:tc>
      </w:tr>
    </w:tbl>
    <w:p>
      <w:pPr>
        <w:spacing w:line="91" w:lineRule="auto"/>
        <w:rPr>
          <w:sz w:val="2"/>
          <w:lang w:eastAsia="zh-CN"/>
        </w:rPr>
      </w:pPr>
    </w:p>
    <w:sectPr>
      <w:pgSz w:w="11907" w:h="16839"/>
      <w:pgMar w:top="1431" w:right="1785" w:bottom="1429"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B9ECE"/>
    <w:multiLevelType w:val="singleLevel"/>
    <w:tmpl w:val="93AB9ECE"/>
    <w:lvl w:ilvl="0" w:tentative="0">
      <w:start w:val="1"/>
      <w:numFmt w:val="decimal"/>
      <w:suff w:val="nothing"/>
      <w:lvlText w:val="%1、"/>
      <w:lvlJc w:val="left"/>
      <w:pPr>
        <w:tabs>
          <w:tab w:val="left" w:pos="0"/>
        </w:tabs>
      </w:pPr>
      <w:rPr>
        <w:rFonts w:hint="default"/>
        <w:b/>
        <w:bCs/>
      </w:rPr>
    </w:lvl>
  </w:abstractNum>
  <w:abstractNum w:abstractNumId="1">
    <w:nsid w:val="30EC01F0"/>
    <w:multiLevelType w:val="multilevel"/>
    <w:tmpl w:val="30EC01F0"/>
    <w:lvl w:ilvl="0" w:tentative="0">
      <w:start w:val="1"/>
      <w:numFmt w:val="decimal"/>
      <w:lvlText w:val="%1."/>
      <w:lvlJc w:val="left"/>
      <w:pPr>
        <w:ind w:left="496" w:hanging="360"/>
      </w:pPr>
      <w:rPr>
        <w:rFonts w:hint="default"/>
      </w:rPr>
    </w:lvl>
    <w:lvl w:ilvl="1" w:tentative="0">
      <w:start w:val="1"/>
      <w:numFmt w:val="lowerLetter"/>
      <w:lvlText w:val="%2)"/>
      <w:lvlJc w:val="left"/>
      <w:pPr>
        <w:ind w:left="1016" w:hanging="440"/>
      </w:pPr>
    </w:lvl>
    <w:lvl w:ilvl="2" w:tentative="0">
      <w:start w:val="1"/>
      <w:numFmt w:val="lowerRoman"/>
      <w:lvlText w:val="%3."/>
      <w:lvlJc w:val="right"/>
      <w:pPr>
        <w:ind w:left="1456" w:hanging="440"/>
      </w:pPr>
    </w:lvl>
    <w:lvl w:ilvl="3" w:tentative="0">
      <w:start w:val="1"/>
      <w:numFmt w:val="decimal"/>
      <w:lvlText w:val="%4."/>
      <w:lvlJc w:val="left"/>
      <w:pPr>
        <w:ind w:left="1896" w:hanging="440"/>
      </w:pPr>
    </w:lvl>
    <w:lvl w:ilvl="4" w:tentative="0">
      <w:start w:val="1"/>
      <w:numFmt w:val="lowerLetter"/>
      <w:lvlText w:val="%5)"/>
      <w:lvlJc w:val="left"/>
      <w:pPr>
        <w:ind w:left="2336" w:hanging="440"/>
      </w:pPr>
    </w:lvl>
    <w:lvl w:ilvl="5" w:tentative="0">
      <w:start w:val="1"/>
      <w:numFmt w:val="lowerRoman"/>
      <w:lvlText w:val="%6."/>
      <w:lvlJc w:val="right"/>
      <w:pPr>
        <w:ind w:left="2776" w:hanging="440"/>
      </w:pPr>
    </w:lvl>
    <w:lvl w:ilvl="6" w:tentative="0">
      <w:start w:val="1"/>
      <w:numFmt w:val="decimal"/>
      <w:lvlText w:val="%7."/>
      <w:lvlJc w:val="left"/>
      <w:pPr>
        <w:ind w:left="3216" w:hanging="440"/>
      </w:pPr>
    </w:lvl>
    <w:lvl w:ilvl="7" w:tentative="0">
      <w:start w:val="1"/>
      <w:numFmt w:val="lowerLetter"/>
      <w:lvlText w:val="%8)"/>
      <w:lvlJc w:val="left"/>
      <w:pPr>
        <w:ind w:left="3656" w:hanging="440"/>
      </w:pPr>
    </w:lvl>
    <w:lvl w:ilvl="8" w:tentative="0">
      <w:start w:val="1"/>
      <w:numFmt w:val="lowerRoman"/>
      <w:lvlText w:val="%9."/>
      <w:lvlJc w:val="right"/>
      <w:pPr>
        <w:ind w:left="4096"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WU0ZGJhNzlkMDMzZjE2ZWYzNjNkNTY0NGM4NDU5NTkifQ=="/>
  </w:docVars>
  <w:rsids>
    <w:rsidRoot w:val="00172A27"/>
    <w:rsid w:val="0011396C"/>
    <w:rsid w:val="00132B6D"/>
    <w:rsid w:val="00172A27"/>
    <w:rsid w:val="002576A1"/>
    <w:rsid w:val="00331F12"/>
    <w:rsid w:val="003A6CFD"/>
    <w:rsid w:val="00400D62"/>
    <w:rsid w:val="00596886"/>
    <w:rsid w:val="005B59FB"/>
    <w:rsid w:val="00683645"/>
    <w:rsid w:val="006E7F37"/>
    <w:rsid w:val="00771B31"/>
    <w:rsid w:val="0078453B"/>
    <w:rsid w:val="007F42C5"/>
    <w:rsid w:val="008403A8"/>
    <w:rsid w:val="008A76DD"/>
    <w:rsid w:val="008E70A9"/>
    <w:rsid w:val="0091362C"/>
    <w:rsid w:val="009535AB"/>
    <w:rsid w:val="00976E2F"/>
    <w:rsid w:val="009F4741"/>
    <w:rsid w:val="00A6467F"/>
    <w:rsid w:val="00A9039C"/>
    <w:rsid w:val="00AB32EF"/>
    <w:rsid w:val="00AB4538"/>
    <w:rsid w:val="00B13C7A"/>
    <w:rsid w:val="00B93ECE"/>
    <w:rsid w:val="00C13080"/>
    <w:rsid w:val="00C317EF"/>
    <w:rsid w:val="00C429A0"/>
    <w:rsid w:val="00C508A0"/>
    <w:rsid w:val="00C72E13"/>
    <w:rsid w:val="00CE140A"/>
    <w:rsid w:val="00CE4236"/>
    <w:rsid w:val="00D3524C"/>
    <w:rsid w:val="00D57320"/>
    <w:rsid w:val="00E051F7"/>
    <w:rsid w:val="00E20F93"/>
    <w:rsid w:val="00E41DB5"/>
    <w:rsid w:val="00EE2C33"/>
    <w:rsid w:val="00F44F20"/>
    <w:rsid w:val="00F72996"/>
    <w:rsid w:val="00F979D6"/>
    <w:rsid w:val="02467801"/>
    <w:rsid w:val="045E21FF"/>
    <w:rsid w:val="05DC161E"/>
    <w:rsid w:val="080C431F"/>
    <w:rsid w:val="084C21FB"/>
    <w:rsid w:val="09C259E5"/>
    <w:rsid w:val="0B225DFB"/>
    <w:rsid w:val="0EE01B92"/>
    <w:rsid w:val="10BA36DE"/>
    <w:rsid w:val="11C65D17"/>
    <w:rsid w:val="128B2CED"/>
    <w:rsid w:val="12C63575"/>
    <w:rsid w:val="136C6BDF"/>
    <w:rsid w:val="136E7FE7"/>
    <w:rsid w:val="160F5D86"/>
    <w:rsid w:val="180327A7"/>
    <w:rsid w:val="18B01199"/>
    <w:rsid w:val="210278B5"/>
    <w:rsid w:val="21AA5206"/>
    <w:rsid w:val="22D154DE"/>
    <w:rsid w:val="25397C3C"/>
    <w:rsid w:val="25D063A7"/>
    <w:rsid w:val="270859F3"/>
    <w:rsid w:val="27440DB4"/>
    <w:rsid w:val="27DD3A7C"/>
    <w:rsid w:val="28F705B3"/>
    <w:rsid w:val="294871F6"/>
    <w:rsid w:val="2A1808F5"/>
    <w:rsid w:val="2CFA073B"/>
    <w:rsid w:val="2F8741E0"/>
    <w:rsid w:val="300F4032"/>
    <w:rsid w:val="3054695C"/>
    <w:rsid w:val="32572810"/>
    <w:rsid w:val="3603788C"/>
    <w:rsid w:val="37965BD5"/>
    <w:rsid w:val="38AE4472"/>
    <w:rsid w:val="39C35FBC"/>
    <w:rsid w:val="3B507E5D"/>
    <w:rsid w:val="3B77553C"/>
    <w:rsid w:val="3BB10BEF"/>
    <w:rsid w:val="3DEE79DD"/>
    <w:rsid w:val="3E556C1E"/>
    <w:rsid w:val="41647664"/>
    <w:rsid w:val="417523CC"/>
    <w:rsid w:val="43600C50"/>
    <w:rsid w:val="43AF21D5"/>
    <w:rsid w:val="45635FA5"/>
    <w:rsid w:val="45B83443"/>
    <w:rsid w:val="46585F54"/>
    <w:rsid w:val="48D15B03"/>
    <w:rsid w:val="49B574B4"/>
    <w:rsid w:val="4B87668E"/>
    <w:rsid w:val="5248722B"/>
    <w:rsid w:val="533945E1"/>
    <w:rsid w:val="54B36524"/>
    <w:rsid w:val="54CA6DEF"/>
    <w:rsid w:val="55401139"/>
    <w:rsid w:val="56730E64"/>
    <w:rsid w:val="587E2868"/>
    <w:rsid w:val="589624C5"/>
    <w:rsid w:val="592811CD"/>
    <w:rsid w:val="598A5B73"/>
    <w:rsid w:val="5F753FA5"/>
    <w:rsid w:val="60D3786A"/>
    <w:rsid w:val="62B81089"/>
    <w:rsid w:val="63525FE4"/>
    <w:rsid w:val="64A55009"/>
    <w:rsid w:val="65D75D9B"/>
    <w:rsid w:val="66522FDF"/>
    <w:rsid w:val="6B7878AD"/>
    <w:rsid w:val="6CF97C65"/>
    <w:rsid w:val="6D363C39"/>
    <w:rsid w:val="6D634B37"/>
    <w:rsid w:val="6DD16EDF"/>
    <w:rsid w:val="73013807"/>
    <w:rsid w:val="764D33B5"/>
    <w:rsid w:val="76C53359"/>
    <w:rsid w:val="79CB43E5"/>
    <w:rsid w:val="7A07659C"/>
    <w:rsid w:val="7B2C7E4B"/>
    <w:rsid w:val="7B9C3261"/>
    <w:rsid w:val="7CD05C51"/>
    <w:rsid w:val="7CFA40F4"/>
    <w:rsid w:val="7D591F62"/>
    <w:rsid w:val="7E80031E"/>
    <w:rsid w:val="7F35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pPr>
    <w:rPr>
      <w:sz w:val="18"/>
      <w:szCs w:val="18"/>
    </w:rPr>
  </w:style>
  <w:style w:type="paragraph" w:styleId="3">
    <w:name w:val="header"/>
    <w:basedOn w:val="1"/>
    <w:link w:val="8"/>
    <w:autoRedefine/>
    <w:unhideWhenUsed/>
    <w:qFormat/>
    <w:uiPriority w:val="99"/>
    <w:pPr>
      <w:tabs>
        <w:tab w:val="center" w:pos="4153"/>
        <w:tab w:val="right" w:pos="8306"/>
      </w:tabs>
      <w:jc w:val="center"/>
    </w:pPr>
    <w:rPr>
      <w:sz w:val="18"/>
      <w:szCs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r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 w:type="paragraph" w:styleId="10">
    <w:name w:val="List Paragraph"/>
    <w:basedOn w:val="1"/>
    <w:autoRedefine/>
    <w:unhideWhenUsed/>
    <w:qFormat/>
    <w:uiPriority w:val="99"/>
    <w:pPr>
      <w:ind w:firstLine="420" w:firstLineChars="200"/>
    </w:pPr>
  </w:style>
  <w:style w:type="paragraph" w:customStyle="1" w:styleId="11">
    <w:name w:val="Revision"/>
    <w:autoRedefine/>
    <w:hidden/>
    <w:unhideWhenUsed/>
    <w:qFormat/>
    <w:uiPriority w:val="99"/>
    <w:rPr>
      <w:rFonts w:ascii="Arial" w:hAnsi="Arial" w:cs="Arial" w:eastAsiaTheme="minorEastAsia"/>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Words>
  <Characters>1298</Characters>
  <Lines>1</Lines>
  <Paragraphs>1</Paragraphs>
  <TotalTime>5</TotalTime>
  <ScaleCrop>false</ScaleCrop>
  <LinksUpToDate>false</LinksUpToDate>
  <CharactersWithSpaces>1522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2022-05-06T15:20:00Z</dcterms:created>
  <dc:creator>毋晓妮</dc:creator>
  <cp:lastModifiedBy>钟秋实</cp:lastModifiedBy>
  <cp:lastPrinted>2025-01-03T01:46:00Z</cp:lastPrinted>
  <dcterms:modified xsi:type="dcterms:W3CDTF">2025-04-01T02:43:28Z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2024-05-03T16:40:34Z</vt:filetime>
  </property>
  <property fmtid="{D5CDD505-2E9C-101B-9397-08002B2CF9AE}" pid="4" name="KSOProductBuildVer">
    <vt:lpwstr>2052-12.1.0.16729</vt:lpwstr>
  </property>
  <property fmtid="{D5CDD505-2E9C-101B-9397-08002B2CF9AE}" pid="5" name="ICV">
    <vt:lpwstr>D2E1545356854EBD844950CB2A221855_13</vt:lpwstr>
  </property>
</Properties>
</file>