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上海韦尔半导体股份有限公司</w:t>
      </w:r>
    </w:p>
    <w:p>
      <w:pPr>
        <w:spacing w:before="156" w:beforeLines="50" w:after="156" w:afterLines="50" w:line="360" w:lineRule="auto"/>
        <w:jc w:val="center"/>
        <w:rPr>
          <w:rFonts w:ascii="Times New Roman" w:hAnsi="Times New Roman" w:eastAsia="黑体" w:cs="Times New Roman"/>
          <w:b/>
          <w:sz w:val="32"/>
          <w:szCs w:val="32"/>
        </w:rPr>
      </w:pPr>
      <w:r>
        <w:rPr>
          <w:rFonts w:ascii="Times New Roman" w:hAnsi="Times New Roman" w:eastAsia="黑体" w:cs="Times New Roman"/>
          <w:b/>
          <w:sz w:val="32"/>
          <w:szCs w:val="32"/>
        </w:rPr>
        <w:t>投资者交流活动记录表</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投资者交流</w:t>
            </w:r>
          </w:p>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活动类别</w:t>
            </w:r>
          </w:p>
        </w:tc>
        <w:tc>
          <w:tcPr>
            <w:tcW w:w="7234" w:type="dxa"/>
            <w:vAlign w:val="center"/>
          </w:tcPr>
          <w:p>
            <w:pPr>
              <w:spacing w:line="360" w:lineRule="auto"/>
              <w:rPr>
                <w:rFonts w:ascii="Times New Roman" w:hAnsi="Times New Roman" w:cs="Times New Roman"/>
                <w:szCs w:val="21"/>
              </w:rPr>
            </w:pPr>
            <w:r>
              <w:rPr>
                <w:rFonts w:ascii="Times New Roman" w:hAnsi="Times New Roman" w:cs="Times New Roman"/>
                <w:szCs w:val="21"/>
              </w:rPr>
              <w:t>□特定对象调研  □分析师会议  □媒体采访  √业绩说明会  □新闻发布会       □路演活动  □现场参观  □其他（请文字说明其他活动内容）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参与单位名称</w:t>
            </w:r>
          </w:p>
        </w:tc>
        <w:tc>
          <w:tcPr>
            <w:tcW w:w="7234" w:type="dxa"/>
            <w:vAlign w:val="center"/>
          </w:tcPr>
          <w:p>
            <w:pPr>
              <w:spacing w:line="360" w:lineRule="auto"/>
              <w:rPr>
                <w:rFonts w:ascii="Times New Roman" w:hAnsi="Times New Roman" w:cs="Times New Roman"/>
                <w:szCs w:val="21"/>
              </w:rPr>
            </w:pPr>
            <w:r>
              <w:rPr>
                <w:rFonts w:hint="eastAsia" w:ascii="Times New Roman" w:hAnsi="Times New Roman" w:cs="Times New Roman"/>
                <w:szCs w:val="21"/>
              </w:rPr>
              <w:t>安信证券</w:t>
            </w:r>
            <w:r>
              <w:rPr>
                <w:rFonts w:ascii="Times New Roman" w:hAnsi="Times New Roman" w:cs="Times New Roman"/>
                <w:szCs w:val="21"/>
              </w:rPr>
              <w:t>，</w:t>
            </w:r>
            <w:r>
              <w:rPr>
                <w:rFonts w:hint="eastAsia" w:ascii="Times New Roman" w:hAnsi="Times New Roman" w:cs="Times New Roman"/>
                <w:szCs w:val="21"/>
              </w:rPr>
              <w:t>安信证券资管</w:t>
            </w:r>
            <w:r>
              <w:rPr>
                <w:rFonts w:ascii="Times New Roman" w:hAnsi="Times New Roman" w:cs="Times New Roman"/>
                <w:szCs w:val="21"/>
              </w:rPr>
              <w:t>，</w:t>
            </w:r>
            <w:r>
              <w:rPr>
                <w:rFonts w:hint="eastAsia" w:ascii="Times New Roman" w:hAnsi="Times New Roman" w:cs="Times New Roman"/>
                <w:szCs w:val="21"/>
              </w:rPr>
              <w:t>宝盈基金</w:t>
            </w:r>
            <w:r>
              <w:rPr>
                <w:rFonts w:ascii="Times New Roman" w:hAnsi="Times New Roman" w:cs="Times New Roman"/>
                <w:szCs w:val="21"/>
              </w:rPr>
              <w:t>，</w:t>
            </w:r>
            <w:r>
              <w:rPr>
                <w:rFonts w:hint="eastAsia" w:ascii="Times New Roman" w:hAnsi="Times New Roman" w:cs="Times New Roman"/>
                <w:szCs w:val="21"/>
              </w:rPr>
              <w:t>柏骏资管</w:t>
            </w:r>
            <w:r>
              <w:rPr>
                <w:rFonts w:ascii="Times New Roman" w:hAnsi="Times New Roman" w:cs="Times New Roman"/>
                <w:szCs w:val="21"/>
              </w:rPr>
              <w:t>，</w:t>
            </w:r>
            <w:r>
              <w:rPr>
                <w:rFonts w:hint="eastAsia" w:ascii="Times New Roman" w:hAnsi="Times New Roman" w:cs="Times New Roman"/>
                <w:szCs w:val="21"/>
              </w:rPr>
              <w:t>北京禹田资本</w:t>
            </w:r>
            <w:r>
              <w:rPr>
                <w:rFonts w:ascii="Times New Roman" w:hAnsi="Times New Roman" w:cs="Times New Roman"/>
                <w:szCs w:val="21"/>
              </w:rPr>
              <w:t>，</w:t>
            </w:r>
            <w:r>
              <w:rPr>
                <w:rFonts w:hint="eastAsia" w:ascii="Times New Roman" w:hAnsi="Times New Roman" w:cs="Times New Roman"/>
                <w:szCs w:val="21"/>
              </w:rPr>
              <w:t>北信瑞丰基金</w:t>
            </w:r>
            <w:r>
              <w:rPr>
                <w:rFonts w:ascii="Times New Roman" w:hAnsi="Times New Roman" w:cs="Times New Roman"/>
                <w:szCs w:val="21"/>
              </w:rPr>
              <w:t>，</w:t>
            </w:r>
            <w:r>
              <w:rPr>
                <w:rFonts w:hint="eastAsia" w:ascii="Times New Roman" w:hAnsi="Times New Roman" w:cs="Times New Roman"/>
                <w:szCs w:val="21"/>
              </w:rPr>
              <w:t>贝莱德基金</w:t>
            </w:r>
            <w:r>
              <w:rPr>
                <w:rFonts w:ascii="Times New Roman" w:hAnsi="Times New Roman" w:cs="Times New Roman"/>
                <w:szCs w:val="21"/>
              </w:rPr>
              <w:t>，</w:t>
            </w:r>
            <w:r>
              <w:rPr>
                <w:rFonts w:hint="eastAsia" w:ascii="Times New Roman" w:hAnsi="Times New Roman" w:cs="Times New Roman"/>
                <w:szCs w:val="21"/>
              </w:rPr>
              <w:t>博时基金</w:t>
            </w:r>
            <w:r>
              <w:rPr>
                <w:rFonts w:ascii="Times New Roman" w:hAnsi="Times New Roman" w:cs="Times New Roman"/>
                <w:szCs w:val="21"/>
              </w:rPr>
              <w:t>，</w:t>
            </w:r>
            <w:r>
              <w:rPr>
                <w:rFonts w:hint="eastAsia" w:ascii="Times New Roman" w:hAnsi="Times New Roman" w:cs="Times New Roman"/>
                <w:szCs w:val="21"/>
              </w:rPr>
              <w:t>长江证券</w:t>
            </w:r>
            <w:r>
              <w:rPr>
                <w:rFonts w:ascii="Times New Roman" w:hAnsi="Times New Roman" w:cs="Times New Roman"/>
                <w:szCs w:val="21"/>
              </w:rPr>
              <w:t>，</w:t>
            </w:r>
            <w:r>
              <w:rPr>
                <w:rFonts w:hint="eastAsia" w:ascii="Times New Roman" w:hAnsi="Times New Roman" w:cs="Times New Roman"/>
                <w:szCs w:val="21"/>
              </w:rPr>
              <w:t>长江养老</w:t>
            </w:r>
            <w:r>
              <w:rPr>
                <w:rFonts w:ascii="Times New Roman" w:hAnsi="Times New Roman" w:cs="Times New Roman"/>
                <w:szCs w:val="21"/>
              </w:rPr>
              <w:t>，</w:t>
            </w:r>
            <w:r>
              <w:rPr>
                <w:rFonts w:hint="eastAsia" w:ascii="Times New Roman" w:hAnsi="Times New Roman" w:cs="Times New Roman"/>
                <w:szCs w:val="21"/>
              </w:rPr>
              <w:t>长盛基金</w:t>
            </w:r>
            <w:r>
              <w:rPr>
                <w:rFonts w:ascii="Times New Roman" w:hAnsi="Times New Roman" w:cs="Times New Roman"/>
                <w:szCs w:val="21"/>
              </w:rPr>
              <w:t>，</w:t>
            </w:r>
            <w:r>
              <w:rPr>
                <w:rFonts w:hint="eastAsia" w:ascii="Times New Roman" w:hAnsi="Times New Roman" w:cs="Times New Roman"/>
                <w:szCs w:val="21"/>
              </w:rPr>
              <w:t>长信基金</w:t>
            </w:r>
            <w:r>
              <w:rPr>
                <w:rFonts w:ascii="Times New Roman" w:hAnsi="Times New Roman" w:cs="Times New Roman"/>
                <w:szCs w:val="21"/>
              </w:rPr>
              <w:t>，</w:t>
            </w:r>
            <w:r>
              <w:rPr>
                <w:rFonts w:hint="eastAsia" w:ascii="Times New Roman" w:hAnsi="Times New Roman" w:cs="Times New Roman"/>
                <w:szCs w:val="21"/>
              </w:rPr>
              <w:t>长青藤资管</w:t>
            </w:r>
            <w:r>
              <w:rPr>
                <w:rFonts w:ascii="Times New Roman" w:hAnsi="Times New Roman" w:cs="Times New Roman"/>
                <w:szCs w:val="21"/>
              </w:rPr>
              <w:t>，</w:t>
            </w:r>
            <w:r>
              <w:rPr>
                <w:rFonts w:hint="eastAsia" w:ascii="Times New Roman" w:hAnsi="Times New Roman" w:cs="Times New Roman"/>
                <w:szCs w:val="21"/>
              </w:rPr>
              <w:t>常亿资产</w:t>
            </w:r>
            <w:r>
              <w:rPr>
                <w:rFonts w:ascii="Times New Roman" w:hAnsi="Times New Roman" w:cs="Times New Roman"/>
                <w:szCs w:val="21"/>
              </w:rPr>
              <w:t>，</w:t>
            </w:r>
            <w:r>
              <w:rPr>
                <w:rFonts w:hint="eastAsia" w:ascii="Times New Roman" w:hAnsi="Times New Roman" w:cs="Times New Roman"/>
                <w:szCs w:val="21"/>
              </w:rPr>
              <w:t>晨燕资管</w:t>
            </w:r>
            <w:r>
              <w:rPr>
                <w:rFonts w:ascii="Times New Roman" w:hAnsi="Times New Roman" w:cs="Times New Roman"/>
                <w:szCs w:val="21"/>
              </w:rPr>
              <w:t>，</w:t>
            </w:r>
            <w:r>
              <w:rPr>
                <w:rFonts w:hint="eastAsia" w:ascii="Times New Roman" w:hAnsi="Times New Roman" w:cs="Times New Roman"/>
                <w:szCs w:val="21"/>
              </w:rPr>
              <w:t>丞毅投资</w:t>
            </w:r>
            <w:r>
              <w:rPr>
                <w:rFonts w:ascii="Times New Roman" w:hAnsi="Times New Roman" w:cs="Times New Roman"/>
                <w:szCs w:val="21"/>
              </w:rPr>
              <w:t>，</w:t>
            </w:r>
            <w:r>
              <w:rPr>
                <w:rFonts w:hint="eastAsia" w:ascii="Times New Roman" w:hAnsi="Times New Roman" w:cs="Times New Roman"/>
                <w:szCs w:val="21"/>
              </w:rPr>
              <w:t>创金合信基金</w:t>
            </w:r>
            <w:r>
              <w:rPr>
                <w:rFonts w:ascii="Times New Roman" w:hAnsi="Times New Roman" w:cs="Times New Roman"/>
                <w:szCs w:val="21"/>
              </w:rPr>
              <w:t>，</w:t>
            </w:r>
            <w:r>
              <w:rPr>
                <w:rFonts w:hint="eastAsia" w:ascii="Times New Roman" w:hAnsi="Times New Roman" w:cs="Times New Roman"/>
                <w:szCs w:val="21"/>
              </w:rPr>
              <w:t>大筝资管</w:t>
            </w:r>
            <w:r>
              <w:rPr>
                <w:rFonts w:ascii="Times New Roman" w:hAnsi="Times New Roman" w:cs="Times New Roman"/>
                <w:szCs w:val="21"/>
              </w:rPr>
              <w:t>，</w:t>
            </w:r>
            <w:r>
              <w:rPr>
                <w:rFonts w:hint="eastAsia" w:ascii="Times New Roman" w:hAnsi="Times New Roman" w:cs="Times New Roman"/>
                <w:szCs w:val="21"/>
              </w:rPr>
              <w:t>德邦基金</w:t>
            </w:r>
            <w:r>
              <w:rPr>
                <w:rFonts w:ascii="Times New Roman" w:hAnsi="Times New Roman" w:cs="Times New Roman"/>
                <w:szCs w:val="21"/>
              </w:rPr>
              <w:t>，</w:t>
            </w:r>
            <w:r>
              <w:rPr>
                <w:rFonts w:hint="eastAsia" w:ascii="Times New Roman" w:hAnsi="Times New Roman" w:cs="Times New Roman"/>
                <w:szCs w:val="21"/>
              </w:rPr>
              <w:t>德邦证券</w:t>
            </w:r>
            <w:r>
              <w:rPr>
                <w:rFonts w:ascii="Times New Roman" w:hAnsi="Times New Roman" w:cs="Times New Roman"/>
                <w:szCs w:val="21"/>
              </w:rPr>
              <w:t>，</w:t>
            </w:r>
            <w:r>
              <w:rPr>
                <w:rFonts w:hint="eastAsia" w:ascii="Times New Roman" w:hAnsi="Times New Roman" w:cs="Times New Roman"/>
                <w:szCs w:val="21"/>
              </w:rPr>
              <w:t>德邦资管</w:t>
            </w:r>
            <w:r>
              <w:rPr>
                <w:rFonts w:ascii="Times New Roman" w:hAnsi="Times New Roman" w:cs="Times New Roman"/>
                <w:szCs w:val="21"/>
              </w:rPr>
              <w:t>，</w:t>
            </w:r>
            <w:r>
              <w:rPr>
                <w:rFonts w:hint="eastAsia" w:ascii="Times New Roman" w:hAnsi="Times New Roman" w:cs="Times New Roman"/>
                <w:szCs w:val="21"/>
              </w:rPr>
              <w:t>德汇集团</w:t>
            </w:r>
            <w:r>
              <w:rPr>
                <w:rFonts w:ascii="Times New Roman" w:hAnsi="Times New Roman" w:cs="Times New Roman"/>
                <w:szCs w:val="21"/>
              </w:rPr>
              <w:t>，</w:t>
            </w:r>
            <w:r>
              <w:rPr>
                <w:rFonts w:hint="eastAsia" w:ascii="Times New Roman" w:hAnsi="Times New Roman" w:cs="Times New Roman"/>
                <w:szCs w:val="21"/>
              </w:rPr>
              <w:t>第五公理投资</w:t>
            </w:r>
            <w:r>
              <w:rPr>
                <w:rFonts w:ascii="Times New Roman" w:hAnsi="Times New Roman" w:cs="Times New Roman"/>
                <w:szCs w:val="21"/>
              </w:rPr>
              <w:t>，</w:t>
            </w:r>
            <w:r>
              <w:rPr>
                <w:rFonts w:hint="eastAsia" w:ascii="Times New Roman" w:hAnsi="Times New Roman" w:cs="Times New Roman"/>
                <w:szCs w:val="21"/>
              </w:rPr>
              <w:t>东北证券</w:t>
            </w:r>
            <w:r>
              <w:rPr>
                <w:rFonts w:ascii="Times New Roman" w:hAnsi="Times New Roman" w:cs="Times New Roman"/>
                <w:szCs w:val="21"/>
              </w:rPr>
              <w:t>，</w:t>
            </w:r>
            <w:r>
              <w:rPr>
                <w:rFonts w:hint="eastAsia" w:ascii="Times New Roman" w:hAnsi="Times New Roman" w:cs="Times New Roman"/>
                <w:szCs w:val="21"/>
              </w:rPr>
              <w:t>东方财富证券</w:t>
            </w:r>
            <w:r>
              <w:rPr>
                <w:rFonts w:ascii="Times New Roman" w:hAnsi="Times New Roman" w:cs="Times New Roman"/>
                <w:szCs w:val="21"/>
              </w:rPr>
              <w:t>，</w:t>
            </w:r>
            <w:r>
              <w:rPr>
                <w:rFonts w:hint="eastAsia" w:ascii="Times New Roman" w:hAnsi="Times New Roman" w:cs="Times New Roman"/>
                <w:szCs w:val="21"/>
              </w:rPr>
              <w:t>东方红资产</w:t>
            </w:r>
            <w:r>
              <w:rPr>
                <w:rFonts w:ascii="Times New Roman" w:hAnsi="Times New Roman" w:cs="Times New Roman"/>
                <w:szCs w:val="21"/>
              </w:rPr>
              <w:t>，</w:t>
            </w:r>
            <w:r>
              <w:rPr>
                <w:rFonts w:hint="eastAsia" w:ascii="Times New Roman" w:hAnsi="Times New Roman" w:cs="Times New Roman"/>
                <w:szCs w:val="21"/>
              </w:rPr>
              <w:t>东方证券</w:t>
            </w:r>
            <w:r>
              <w:rPr>
                <w:rFonts w:ascii="Times New Roman" w:hAnsi="Times New Roman" w:cs="Times New Roman"/>
                <w:szCs w:val="21"/>
              </w:rPr>
              <w:t>，</w:t>
            </w:r>
            <w:r>
              <w:rPr>
                <w:rFonts w:hint="eastAsia" w:ascii="Times New Roman" w:hAnsi="Times New Roman" w:cs="Times New Roman"/>
                <w:szCs w:val="21"/>
              </w:rPr>
              <w:t>东方证券资管</w:t>
            </w:r>
            <w:r>
              <w:rPr>
                <w:rFonts w:ascii="Times New Roman" w:hAnsi="Times New Roman" w:cs="Times New Roman"/>
                <w:szCs w:val="21"/>
              </w:rPr>
              <w:t>，</w:t>
            </w:r>
            <w:r>
              <w:rPr>
                <w:rFonts w:hint="eastAsia" w:ascii="Times New Roman" w:hAnsi="Times New Roman" w:cs="Times New Roman"/>
                <w:szCs w:val="21"/>
              </w:rPr>
              <w:t>东海证券</w:t>
            </w:r>
            <w:r>
              <w:rPr>
                <w:rFonts w:ascii="Times New Roman" w:hAnsi="Times New Roman" w:cs="Times New Roman"/>
                <w:szCs w:val="21"/>
              </w:rPr>
              <w:t>，</w:t>
            </w:r>
            <w:r>
              <w:rPr>
                <w:rFonts w:hint="eastAsia" w:ascii="Times New Roman" w:hAnsi="Times New Roman" w:cs="Times New Roman"/>
                <w:szCs w:val="21"/>
              </w:rPr>
              <w:t>东吴证券</w:t>
            </w:r>
            <w:r>
              <w:rPr>
                <w:rFonts w:ascii="Times New Roman" w:hAnsi="Times New Roman" w:cs="Times New Roman"/>
                <w:szCs w:val="21"/>
              </w:rPr>
              <w:t>，</w:t>
            </w:r>
            <w:r>
              <w:rPr>
                <w:rFonts w:hint="eastAsia" w:ascii="Times New Roman" w:hAnsi="Times New Roman" w:cs="Times New Roman"/>
                <w:szCs w:val="21"/>
              </w:rPr>
              <w:t>东吴基金</w:t>
            </w:r>
            <w:r>
              <w:rPr>
                <w:rFonts w:ascii="Times New Roman" w:hAnsi="Times New Roman" w:cs="Times New Roman"/>
                <w:szCs w:val="21"/>
              </w:rPr>
              <w:t>，</w:t>
            </w:r>
            <w:r>
              <w:rPr>
                <w:rFonts w:hint="eastAsia" w:ascii="Times New Roman" w:hAnsi="Times New Roman" w:cs="Times New Roman"/>
                <w:szCs w:val="21"/>
              </w:rPr>
              <w:t>东亚前海证券</w:t>
            </w:r>
            <w:r>
              <w:rPr>
                <w:rFonts w:ascii="Times New Roman" w:hAnsi="Times New Roman" w:cs="Times New Roman"/>
                <w:szCs w:val="21"/>
              </w:rPr>
              <w:t>，</w:t>
            </w:r>
            <w:r>
              <w:rPr>
                <w:rFonts w:hint="eastAsia" w:ascii="Times New Roman" w:hAnsi="Times New Roman" w:cs="Times New Roman"/>
                <w:szCs w:val="21"/>
              </w:rPr>
              <w:t>东莞证券</w:t>
            </w:r>
            <w:r>
              <w:rPr>
                <w:rFonts w:ascii="Times New Roman" w:hAnsi="Times New Roman" w:cs="Times New Roman"/>
                <w:szCs w:val="21"/>
              </w:rPr>
              <w:t>，</w:t>
            </w:r>
            <w:r>
              <w:rPr>
                <w:rFonts w:hint="eastAsia" w:ascii="Times New Roman" w:hAnsi="Times New Roman" w:cs="Times New Roman"/>
                <w:szCs w:val="21"/>
              </w:rPr>
              <w:t>东兴证券</w:t>
            </w:r>
            <w:r>
              <w:rPr>
                <w:rFonts w:ascii="Times New Roman" w:hAnsi="Times New Roman" w:cs="Times New Roman"/>
                <w:szCs w:val="21"/>
              </w:rPr>
              <w:t>，</w:t>
            </w:r>
            <w:r>
              <w:rPr>
                <w:rFonts w:hint="eastAsia" w:ascii="Times New Roman" w:hAnsi="Times New Roman" w:cs="Times New Roman"/>
                <w:szCs w:val="21"/>
              </w:rPr>
              <w:t>敦和资管</w:t>
            </w:r>
            <w:r>
              <w:rPr>
                <w:rFonts w:ascii="Times New Roman" w:hAnsi="Times New Roman" w:cs="Times New Roman"/>
                <w:szCs w:val="21"/>
              </w:rPr>
              <w:t>，</w:t>
            </w:r>
            <w:r>
              <w:rPr>
                <w:rFonts w:hint="eastAsia" w:ascii="Times New Roman" w:hAnsi="Times New Roman" w:cs="Times New Roman"/>
                <w:szCs w:val="21"/>
              </w:rPr>
              <w:t>方正富邦基金</w:t>
            </w:r>
            <w:r>
              <w:rPr>
                <w:rFonts w:ascii="Times New Roman" w:hAnsi="Times New Roman" w:cs="Times New Roman"/>
                <w:szCs w:val="21"/>
              </w:rPr>
              <w:t>，</w:t>
            </w:r>
            <w:r>
              <w:rPr>
                <w:rFonts w:hint="eastAsia" w:ascii="Times New Roman" w:hAnsi="Times New Roman" w:cs="Times New Roman"/>
                <w:szCs w:val="21"/>
              </w:rPr>
              <w:t>方正证券</w:t>
            </w:r>
            <w:r>
              <w:rPr>
                <w:rFonts w:ascii="Times New Roman" w:hAnsi="Times New Roman" w:cs="Times New Roman"/>
                <w:szCs w:val="21"/>
              </w:rPr>
              <w:t>，</w:t>
            </w:r>
            <w:r>
              <w:rPr>
                <w:rFonts w:hint="eastAsia" w:ascii="Times New Roman" w:hAnsi="Times New Roman" w:cs="Times New Roman"/>
                <w:szCs w:val="21"/>
              </w:rPr>
              <w:t>方正人寿</w:t>
            </w:r>
            <w:r>
              <w:rPr>
                <w:rFonts w:ascii="Times New Roman" w:hAnsi="Times New Roman" w:cs="Times New Roman"/>
                <w:szCs w:val="21"/>
              </w:rPr>
              <w:t>，</w:t>
            </w:r>
            <w:r>
              <w:rPr>
                <w:rFonts w:hint="eastAsia" w:ascii="Times New Roman" w:hAnsi="Times New Roman" w:cs="Times New Roman"/>
                <w:szCs w:val="21"/>
              </w:rPr>
              <w:t>富安达基金</w:t>
            </w:r>
            <w:r>
              <w:rPr>
                <w:rFonts w:ascii="Times New Roman" w:hAnsi="Times New Roman" w:cs="Times New Roman"/>
                <w:szCs w:val="21"/>
              </w:rPr>
              <w:t>，</w:t>
            </w:r>
            <w:r>
              <w:rPr>
                <w:rFonts w:hint="eastAsia" w:ascii="Times New Roman" w:hAnsi="Times New Roman" w:cs="Times New Roman"/>
                <w:szCs w:val="21"/>
              </w:rPr>
              <w:t>富国基金</w:t>
            </w:r>
            <w:r>
              <w:rPr>
                <w:rFonts w:ascii="Times New Roman" w:hAnsi="Times New Roman" w:cs="Times New Roman"/>
                <w:szCs w:val="21"/>
              </w:rPr>
              <w:t>，</w:t>
            </w:r>
            <w:r>
              <w:rPr>
                <w:rFonts w:hint="eastAsia" w:ascii="Times New Roman" w:hAnsi="Times New Roman" w:cs="Times New Roman"/>
                <w:szCs w:val="21"/>
              </w:rPr>
              <w:t>高毅资管</w:t>
            </w:r>
            <w:r>
              <w:rPr>
                <w:rFonts w:ascii="Times New Roman" w:hAnsi="Times New Roman" w:cs="Times New Roman"/>
                <w:szCs w:val="21"/>
              </w:rPr>
              <w:t>，</w:t>
            </w:r>
            <w:r>
              <w:rPr>
                <w:rFonts w:hint="eastAsia" w:ascii="Times New Roman" w:hAnsi="Times New Roman" w:cs="Times New Roman"/>
                <w:szCs w:val="21"/>
              </w:rPr>
              <w:t>高盛资管</w:t>
            </w:r>
            <w:r>
              <w:rPr>
                <w:rFonts w:ascii="Times New Roman" w:hAnsi="Times New Roman" w:cs="Times New Roman"/>
                <w:szCs w:val="21"/>
              </w:rPr>
              <w:t>(</w:t>
            </w:r>
            <w:r>
              <w:rPr>
                <w:rFonts w:hint="eastAsia" w:ascii="Times New Roman" w:hAnsi="Times New Roman" w:cs="Times New Roman"/>
                <w:szCs w:val="21"/>
              </w:rPr>
              <w:t>香港</w:t>
            </w:r>
            <w:r>
              <w:rPr>
                <w:rFonts w:ascii="Times New Roman" w:hAnsi="Times New Roman" w:cs="Times New Roman"/>
                <w:szCs w:val="21"/>
              </w:rPr>
              <w:t>)，</w:t>
            </w:r>
            <w:r>
              <w:rPr>
                <w:rFonts w:hint="eastAsia" w:ascii="Times New Roman" w:hAnsi="Times New Roman" w:cs="Times New Roman"/>
                <w:szCs w:val="21"/>
              </w:rPr>
              <w:t>格林基金</w:t>
            </w:r>
            <w:r>
              <w:rPr>
                <w:rFonts w:ascii="Times New Roman" w:hAnsi="Times New Roman" w:cs="Times New Roman"/>
                <w:szCs w:val="21"/>
              </w:rPr>
              <w:t>，</w:t>
            </w:r>
            <w:r>
              <w:rPr>
                <w:rFonts w:hint="eastAsia" w:ascii="Times New Roman" w:hAnsi="Times New Roman" w:cs="Times New Roman"/>
                <w:szCs w:val="21"/>
              </w:rPr>
              <w:t>工银瑞信基金</w:t>
            </w:r>
            <w:r>
              <w:rPr>
                <w:rFonts w:ascii="Times New Roman" w:hAnsi="Times New Roman" w:cs="Times New Roman"/>
                <w:szCs w:val="21"/>
              </w:rPr>
              <w:t>，</w:t>
            </w:r>
            <w:r>
              <w:rPr>
                <w:rFonts w:hint="eastAsia" w:ascii="Times New Roman" w:hAnsi="Times New Roman" w:cs="Times New Roman"/>
                <w:szCs w:val="21"/>
              </w:rPr>
              <w:t>光大证券</w:t>
            </w:r>
            <w:r>
              <w:rPr>
                <w:rFonts w:ascii="Times New Roman" w:hAnsi="Times New Roman" w:cs="Times New Roman"/>
                <w:szCs w:val="21"/>
              </w:rPr>
              <w:t>，</w:t>
            </w:r>
            <w:r>
              <w:rPr>
                <w:rFonts w:hint="eastAsia" w:ascii="Times New Roman" w:hAnsi="Times New Roman" w:cs="Times New Roman"/>
                <w:szCs w:val="21"/>
              </w:rPr>
              <w:t>广发基金</w:t>
            </w:r>
            <w:r>
              <w:rPr>
                <w:rFonts w:ascii="Times New Roman" w:hAnsi="Times New Roman" w:cs="Times New Roman"/>
                <w:szCs w:val="21"/>
              </w:rPr>
              <w:t>，</w:t>
            </w:r>
            <w:r>
              <w:rPr>
                <w:rFonts w:hint="eastAsia" w:ascii="Times New Roman" w:hAnsi="Times New Roman" w:cs="Times New Roman"/>
                <w:szCs w:val="21"/>
              </w:rPr>
              <w:t>广发证券</w:t>
            </w:r>
            <w:r>
              <w:rPr>
                <w:rFonts w:ascii="Times New Roman" w:hAnsi="Times New Roman" w:cs="Times New Roman"/>
                <w:szCs w:val="21"/>
              </w:rPr>
              <w:t>，</w:t>
            </w:r>
            <w:r>
              <w:rPr>
                <w:rFonts w:hint="eastAsia" w:ascii="Times New Roman" w:hAnsi="Times New Roman" w:cs="Times New Roman"/>
                <w:szCs w:val="21"/>
              </w:rPr>
              <w:t>国都证券</w:t>
            </w:r>
            <w:r>
              <w:rPr>
                <w:rFonts w:ascii="Times New Roman" w:hAnsi="Times New Roman" w:cs="Times New Roman"/>
                <w:szCs w:val="21"/>
              </w:rPr>
              <w:t>，</w:t>
            </w:r>
            <w:r>
              <w:rPr>
                <w:rFonts w:hint="eastAsia" w:ascii="Times New Roman" w:hAnsi="Times New Roman" w:cs="Times New Roman"/>
                <w:szCs w:val="21"/>
              </w:rPr>
              <w:t>国富人寿</w:t>
            </w:r>
            <w:r>
              <w:rPr>
                <w:rFonts w:ascii="Times New Roman" w:hAnsi="Times New Roman" w:cs="Times New Roman"/>
                <w:szCs w:val="21"/>
              </w:rPr>
              <w:t>，</w:t>
            </w:r>
            <w:r>
              <w:rPr>
                <w:rFonts w:hint="eastAsia" w:ascii="Times New Roman" w:hAnsi="Times New Roman" w:cs="Times New Roman"/>
                <w:szCs w:val="21"/>
              </w:rPr>
              <w:t>国海证券</w:t>
            </w:r>
            <w:r>
              <w:rPr>
                <w:rFonts w:ascii="Times New Roman" w:hAnsi="Times New Roman" w:cs="Times New Roman"/>
                <w:szCs w:val="21"/>
              </w:rPr>
              <w:t>，</w:t>
            </w:r>
            <w:r>
              <w:rPr>
                <w:rFonts w:hint="eastAsia" w:ascii="Times New Roman" w:hAnsi="Times New Roman" w:cs="Times New Roman"/>
                <w:szCs w:val="21"/>
              </w:rPr>
              <w:t>国华兴益资管</w:t>
            </w:r>
            <w:r>
              <w:rPr>
                <w:rFonts w:ascii="Times New Roman" w:hAnsi="Times New Roman" w:cs="Times New Roman"/>
                <w:szCs w:val="21"/>
              </w:rPr>
              <w:t>，</w:t>
            </w:r>
            <w:r>
              <w:rPr>
                <w:rFonts w:hint="eastAsia" w:ascii="Times New Roman" w:hAnsi="Times New Roman" w:cs="Times New Roman"/>
                <w:szCs w:val="21"/>
              </w:rPr>
              <w:t>国联证券</w:t>
            </w:r>
            <w:r>
              <w:rPr>
                <w:rFonts w:ascii="Times New Roman" w:hAnsi="Times New Roman" w:cs="Times New Roman"/>
                <w:szCs w:val="21"/>
              </w:rPr>
              <w:t>，</w:t>
            </w:r>
            <w:r>
              <w:rPr>
                <w:rFonts w:hint="eastAsia" w:ascii="Times New Roman" w:hAnsi="Times New Roman" w:cs="Times New Roman"/>
                <w:szCs w:val="21"/>
              </w:rPr>
              <w:t>国融证券</w:t>
            </w:r>
            <w:r>
              <w:rPr>
                <w:rFonts w:ascii="Times New Roman" w:hAnsi="Times New Roman" w:cs="Times New Roman"/>
                <w:szCs w:val="21"/>
              </w:rPr>
              <w:t>，</w:t>
            </w:r>
            <w:r>
              <w:rPr>
                <w:rFonts w:hint="eastAsia" w:ascii="Times New Roman" w:hAnsi="Times New Roman" w:cs="Times New Roman"/>
                <w:szCs w:val="21"/>
              </w:rPr>
              <w:t>国盛证券</w:t>
            </w:r>
            <w:r>
              <w:rPr>
                <w:rFonts w:ascii="Times New Roman" w:hAnsi="Times New Roman" w:cs="Times New Roman"/>
                <w:szCs w:val="21"/>
              </w:rPr>
              <w:t>，</w:t>
            </w:r>
            <w:r>
              <w:rPr>
                <w:rFonts w:hint="eastAsia" w:ascii="Times New Roman" w:hAnsi="Times New Roman" w:cs="Times New Roman"/>
                <w:szCs w:val="21"/>
              </w:rPr>
              <w:t>国寿安保基金</w:t>
            </w:r>
            <w:r>
              <w:rPr>
                <w:rFonts w:ascii="Times New Roman" w:hAnsi="Times New Roman" w:cs="Times New Roman"/>
                <w:szCs w:val="21"/>
              </w:rPr>
              <w:t>，</w:t>
            </w:r>
            <w:r>
              <w:rPr>
                <w:rFonts w:hint="eastAsia" w:ascii="Times New Roman" w:hAnsi="Times New Roman" w:cs="Times New Roman"/>
                <w:szCs w:val="21"/>
              </w:rPr>
              <w:t>国泰君安证券</w:t>
            </w:r>
            <w:r>
              <w:rPr>
                <w:rFonts w:ascii="Times New Roman" w:hAnsi="Times New Roman" w:cs="Times New Roman"/>
                <w:szCs w:val="21"/>
              </w:rPr>
              <w:t>，</w:t>
            </w:r>
            <w:r>
              <w:rPr>
                <w:rFonts w:hint="eastAsia" w:ascii="Times New Roman" w:hAnsi="Times New Roman" w:cs="Times New Roman"/>
                <w:szCs w:val="21"/>
              </w:rPr>
              <w:t>国投瑞银基金</w:t>
            </w:r>
            <w:r>
              <w:rPr>
                <w:rFonts w:ascii="Times New Roman" w:hAnsi="Times New Roman" w:cs="Times New Roman"/>
                <w:szCs w:val="21"/>
              </w:rPr>
              <w:t>，</w:t>
            </w:r>
            <w:r>
              <w:rPr>
                <w:rFonts w:hint="eastAsia" w:ascii="Times New Roman" w:hAnsi="Times New Roman" w:cs="Times New Roman"/>
                <w:szCs w:val="21"/>
              </w:rPr>
              <w:t>国信证券</w:t>
            </w:r>
            <w:r>
              <w:rPr>
                <w:rFonts w:ascii="Times New Roman" w:hAnsi="Times New Roman" w:cs="Times New Roman"/>
                <w:szCs w:val="21"/>
              </w:rPr>
              <w:t>，</w:t>
            </w:r>
            <w:r>
              <w:rPr>
                <w:rFonts w:hint="eastAsia" w:ascii="Times New Roman" w:hAnsi="Times New Roman" w:cs="Times New Roman"/>
                <w:szCs w:val="21"/>
              </w:rPr>
              <w:t>国元证券</w:t>
            </w:r>
            <w:r>
              <w:rPr>
                <w:rFonts w:ascii="Times New Roman" w:hAnsi="Times New Roman" w:cs="Times New Roman"/>
                <w:szCs w:val="21"/>
              </w:rPr>
              <w:t>，</w:t>
            </w:r>
            <w:r>
              <w:rPr>
                <w:rFonts w:hint="eastAsia" w:ascii="Times New Roman" w:hAnsi="Times New Roman" w:cs="Times New Roman"/>
                <w:szCs w:val="21"/>
              </w:rPr>
              <w:t>海通国际证券</w:t>
            </w:r>
            <w:r>
              <w:rPr>
                <w:rFonts w:ascii="Times New Roman" w:hAnsi="Times New Roman" w:cs="Times New Roman"/>
                <w:szCs w:val="21"/>
              </w:rPr>
              <w:t>，</w:t>
            </w:r>
            <w:r>
              <w:rPr>
                <w:rFonts w:hint="eastAsia" w:ascii="Times New Roman" w:hAnsi="Times New Roman" w:cs="Times New Roman"/>
                <w:szCs w:val="21"/>
              </w:rPr>
              <w:t>杭银理财</w:t>
            </w:r>
            <w:r>
              <w:rPr>
                <w:rFonts w:ascii="Times New Roman" w:hAnsi="Times New Roman" w:cs="Times New Roman"/>
                <w:szCs w:val="21"/>
              </w:rPr>
              <w:t>，</w:t>
            </w:r>
            <w:r>
              <w:rPr>
                <w:rFonts w:hint="eastAsia" w:ascii="Times New Roman" w:hAnsi="Times New Roman" w:cs="Times New Roman"/>
                <w:szCs w:val="21"/>
              </w:rPr>
              <w:t>和鼎财险</w:t>
            </w:r>
            <w:r>
              <w:rPr>
                <w:rFonts w:ascii="Times New Roman" w:hAnsi="Times New Roman" w:cs="Times New Roman"/>
                <w:szCs w:val="21"/>
              </w:rPr>
              <w:t>，</w:t>
            </w:r>
            <w:r>
              <w:rPr>
                <w:rFonts w:hint="eastAsia" w:ascii="Times New Roman" w:hAnsi="Times New Roman" w:cs="Times New Roman"/>
                <w:szCs w:val="21"/>
              </w:rPr>
              <w:t>恒穗资管</w:t>
            </w:r>
            <w:r>
              <w:rPr>
                <w:rFonts w:ascii="Times New Roman" w:hAnsi="Times New Roman" w:cs="Times New Roman"/>
                <w:szCs w:val="21"/>
              </w:rPr>
              <w:t>，</w:t>
            </w:r>
            <w:r>
              <w:rPr>
                <w:rFonts w:hint="eastAsia" w:ascii="Times New Roman" w:hAnsi="Times New Roman" w:cs="Times New Roman"/>
                <w:szCs w:val="21"/>
              </w:rPr>
              <w:t>恒泰证券</w:t>
            </w:r>
            <w:r>
              <w:rPr>
                <w:rFonts w:ascii="Times New Roman" w:hAnsi="Times New Roman" w:cs="Times New Roman"/>
                <w:szCs w:val="21"/>
              </w:rPr>
              <w:t>，</w:t>
            </w:r>
            <w:r>
              <w:rPr>
                <w:rFonts w:hint="eastAsia" w:ascii="Times New Roman" w:hAnsi="Times New Roman" w:cs="Times New Roman"/>
                <w:szCs w:val="21"/>
              </w:rPr>
              <w:t>恒越基金</w:t>
            </w:r>
            <w:r>
              <w:rPr>
                <w:rFonts w:ascii="Times New Roman" w:hAnsi="Times New Roman" w:cs="Times New Roman"/>
                <w:szCs w:val="21"/>
              </w:rPr>
              <w:t>，</w:t>
            </w:r>
            <w:r>
              <w:rPr>
                <w:rFonts w:hint="eastAsia" w:ascii="Times New Roman" w:hAnsi="Times New Roman" w:cs="Times New Roman"/>
                <w:szCs w:val="21"/>
              </w:rPr>
              <w:t>红杉资本</w:t>
            </w:r>
            <w:r>
              <w:rPr>
                <w:rFonts w:ascii="Times New Roman" w:hAnsi="Times New Roman" w:cs="Times New Roman"/>
                <w:szCs w:val="21"/>
              </w:rPr>
              <w:t>(</w:t>
            </w:r>
            <w:r>
              <w:rPr>
                <w:rFonts w:hint="eastAsia" w:ascii="Times New Roman" w:hAnsi="Times New Roman" w:cs="Times New Roman"/>
                <w:szCs w:val="21"/>
              </w:rPr>
              <w:t>天津</w:t>
            </w:r>
            <w:r>
              <w:rPr>
                <w:rFonts w:ascii="Times New Roman" w:hAnsi="Times New Roman" w:cs="Times New Roman"/>
                <w:szCs w:val="21"/>
              </w:rPr>
              <w:t>)，</w:t>
            </w:r>
            <w:r>
              <w:rPr>
                <w:rFonts w:hint="eastAsia" w:ascii="Times New Roman" w:hAnsi="Times New Roman" w:cs="Times New Roman"/>
                <w:szCs w:val="21"/>
              </w:rPr>
              <w:t>红土创新基金</w:t>
            </w:r>
            <w:r>
              <w:rPr>
                <w:rFonts w:ascii="Times New Roman" w:hAnsi="Times New Roman" w:cs="Times New Roman"/>
                <w:szCs w:val="21"/>
              </w:rPr>
              <w:t>，</w:t>
            </w:r>
            <w:r>
              <w:rPr>
                <w:rFonts w:hint="eastAsia" w:ascii="Times New Roman" w:hAnsi="Times New Roman" w:cs="Times New Roman"/>
                <w:szCs w:val="21"/>
              </w:rPr>
              <w:t>华安财保资管</w:t>
            </w:r>
            <w:r>
              <w:rPr>
                <w:rFonts w:ascii="Times New Roman" w:hAnsi="Times New Roman" w:cs="Times New Roman"/>
                <w:szCs w:val="21"/>
              </w:rPr>
              <w:t>，</w:t>
            </w:r>
            <w:r>
              <w:rPr>
                <w:rFonts w:hint="eastAsia" w:ascii="Times New Roman" w:hAnsi="Times New Roman" w:cs="Times New Roman"/>
                <w:szCs w:val="21"/>
              </w:rPr>
              <w:t>华安证券</w:t>
            </w:r>
            <w:r>
              <w:rPr>
                <w:rFonts w:ascii="Times New Roman" w:hAnsi="Times New Roman" w:cs="Times New Roman"/>
                <w:szCs w:val="21"/>
              </w:rPr>
              <w:t>，</w:t>
            </w:r>
            <w:r>
              <w:rPr>
                <w:rFonts w:hint="eastAsia" w:ascii="Times New Roman" w:hAnsi="Times New Roman" w:cs="Times New Roman"/>
                <w:szCs w:val="21"/>
              </w:rPr>
              <w:t>华宝基金</w:t>
            </w:r>
            <w:r>
              <w:rPr>
                <w:rFonts w:ascii="Times New Roman" w:hAnsi="Times New Roman" w:cs="Times New Roman"/>
                <w:szCs w:val="21"/>
              </w:rPr>
              <w:t>，</w:t>
            </w:r>
            <w:r>
              <w:rPr>
                <w:rFonts w:hint="eastAsia" w:ascii="Times New Roman" w:hAnsi="Times New Roman" w:cs="Times New Roman"/>
                <w:szCs w:val="21"/>
              </w:rPr>
              <w:t>华宝信托</w:t>
            </w:r>
            <w:r>
              <w:rPr>
                <w:rFonts w:ascii="Times New Roman" w:hAnsi="Times New Roman" w:cs="Times New Roman"/>
                <w:szCs w:val="21"/>
              </w:rPr>
              <w:t>，</w:t>
            </w:r>
            <w:r>
              <w:rPr>
                <w:rFonts w:hint="eastAsia" w:ascii="Times New Roman" w:hAnsi="Times New Roman" w:cs="Times New Roman"/>
                <w:szCs w:val="21"/>
              </w:rPr>
              <w:t>华宝证券</w:t>
            </w:r>
            <w:r>
              <w:rPr>
                <w:rFonts w:ascii="Times New Roman" w:hAnsi="Times New Roman" w:cs="Times New Roman"/>
                <w:szCs w:val="21"/>
              </w:rPr>
              <w:t>，</w:t>
            </w:r>
            <w:r>
              <w:rPr>
                <w:rFonts w:hint="eastAsia" w:ascii="Times New Roman" w:hAnsi="Times New Roman" w:cs="Times New Roman"/>
                <w:szCs w:val="21"/>
              </w:rPr>
              <w:t>华创证券</w:t>
            </w:r>
            <w:r>
              <w:rPr>
                <w:rFonts w:ascii="Times New Roman" w:hAnsi="Times New Roman" w:cs="Times New Roman"/>
                <w:szCs w:val="21"/>
              </w:rPr>
              <w:t>，</w:t>
            </w:r>
            <w:r>
              <w:rPr>
                <w:rFonts w:hint="eastAsia" w:ascii="Times New Roman" w:hAnsi="Times New Roman" w:cs="Times New Roman"/>
                <w:szCs w:val="21"/>
              </w:rPr>
              <w:t>华福证券</w:t>
            </w:r>
            <w:r>
              <w:rPr>
                <w:rFonts w:ascii="Times New Roman" w:hAnsi="Times New Roman" w:cs="Times New Roman"/>
                <w:szCs w:val="21"/>
              </w:rPr>
              <w:t>，</w:t>
            </w:r>
            <w:r>
              <w:rPr>
                <w:rFonts w:hint="eastAsia" w:ascii="Times New Roman" w:hAnsi="Times New Roman" w:cs="Times New Roman"/>
                <w:szCs w:val="21"/>
              </w:rPr>
              <w:t>华富基金</w:t>
            </w:r>
            <w:r>
              <w:rPr>
                <w:rFonts w:ascii="Times New Roman" w:hAnsi="Times New Roman" w:cs="Times New Roman"/>
                <w:szCs w:val="21"/>
              </w:rPr>
              <w:t>，</w:t>
            </w:r>
            <w:r>
              <w:rPr>
                <w:rFonts w:hint="eastAsia" w:ascii="Times New Roman" w:hAnsi="Times New Roman" w:cs="Times New Roman"/>
                <w:szCs w:val="21"/>
              </w:rPr>
              <w:t>华金证券</w:t>
            </w:r>
            <w:r>
              <w:rPr>
                <w:rFonts w:ascii="Times New Roman" w:hAnsi="Times New Roman" w:cs="Times New Roman"/>
                <w:szCs w:val="21"/>
              </w:rPr>
              <w:t>，</w:t>
            </w:r>
            <w:r>
              <w:rPr>
                <w:rFonts w:hint="eastAsia" w:ascii="Times New Roman" w:hAnsi="Times New Roman" w:cs="Times New Roman"/>
                <w:szCs w:val="21"/>
              </w:rPr>
              <w:t>华能信托</w:t>
            </w:r>
            <w:r>
              <w:rPr>
                <w:rFonts w:ascii="Times New Roman" w:hAnsi="Times New Roman" w:cs="Times New Roman"/>
                <w:szCs w:val="21"/>
              </w:rPr>
              <w:t>，</w:t>
            </w:r>
            <w:r>
              <w:rPr>
                <w:rFonts w:hint="eastAsia" w:ascii="Times New Roman" w:hAnsi="Times New Roman" w:cs="Times New Roman"/>
                <w:szCs w:val="21"/>
              </w:rPr>
              <w:t>华泰保兴基金</w:t>
            </w:r>
            <w:r>
              <w:rPr>
                <w:rFonts w:ascii="Times New Roman" w:hAnsi="Times New Roman" w:cs="Times New Roman"/>
                <w:szCs w:val="21"/>
              </w:rPr>
              <w:t>，</w:t>
            </w:r>
            <w:r>
              <w:rPr>
                <w:rFonts w:hint="eastAsia" w:ascii="Times New Roman" w:hAnsi="Times New Roman" w:cs="Times New Roman"/>
                <w:szCs w:val="21"/>
              </w:rPr>
              <w:t>华泰柏瑞基金</w:t>
            </w:r>
            <w:r>
              <w:rPr>
                <w:rFonts w:ascii="Times New Roman" w:hAnsi="Times New Roman" w:cs="Times New Roman"/>
                <w:szCs w:val="21"/>
              </w:rPr>
              <w:t>，</w:t>
            </w:r>
            <w:r>
              <w:rPr>
                <w:rFonts w:hint="eastAsia" w:ascii="Times New Roman" w:hAnsi="Times New Roman" w:cs="Times New Roman"/>
                <w:szCs w:val="21"/>
              </w:rPr>
              <w:t>华泰证券</w:t>
            </w:r>
            <w:r>
              <w:rPr>
                <w:rFonts w:ascii="Times New Roman" w:hAnsi="Times New Roman" w:cs="Times New Roman"/>
                <w:szCs w:val="21"/>
              </w:rPr>
              <w:t>，</w:t>
            </w:r>
            <w:r>
              <w:rPr>
                <w:rFonts w:hint="eastAsia" w:ascii="Times New Roman" w:hAnsi="Times New Roman" w:cs="Times New Roman"/>
                <w:szCs w:val="21"/>
              </w:rPr>
              <w:t>华西证券</w:t>
            </w:r>
            <w:r>
              <w:rPr>
                <w:rFonts w:ascii="Times New Roman" w:hAnsi="Times New Roman" w:cs="Times New Roman"/>
                <w:szCs w:val="21"/>
              </w:rPr>
              <w:t>，</w:t>
            </w:r>
            <w:r>
              <w:rPr>
                <w:rFonts w:hint="eastAsia" w:ascii="Times New Roman" w:hAnsi="Times New Roman" w:cs="Times New Roman"/>
                <w:szCs w:val="21"/>
              </w:rPr>
              <w:t>华鑫证券</w:t>
            </w:r>
            <w:r>
              <w:rPr>
                <w:rFonts w:ascii="Times New Roman" w:hAnsi="Times New Roman" w:cs="Times New Roman"/>
                <w:szCs w:val="21"/>
              </w:rPr>
              <w:t>，</w:t>
            </w:r>
            <w:r>
              <w:rPr>
                <w:rFonts w:hint="eastAsia" w:ascii="Times New Roman" w:hAnsi="Times New Roman" w:cs="Times New Roman"/>
                <w:szCs w:val="21"/>
              </w:rPr>
              <w:t>华兴证券</w:t>
            </w:r>
            <w:r>
              <w:rPr>
                <w:rFonts w:ascii="Times New Roman" w:hAnsi="Times New Roman" w:cs="Times New Roman"/>
                <w:szCs w:val="21"/>
              </w:rPr>
              <w:t>，</w:t>
            </w:r>
            <w:r>
              <w:rPr>
                <w:rFonts w:hint="eastAsia" w:ascii="Times New Roman" w:hAnsi="Times New Roman" w:cs="Times New Roman"/>
                <w:szCs w:val="21"/>
              </w:rPr>
              <w:t>华银基金</w:t>
            </w:r>
            <w:r>
              <w:rPr>
                <w:rFonts w:ascii="Times New Roman" w:hAnsi="Times New Roman" w:cs="Times New Roman"/>
                <w:szCs w:val="21"/>
              </w:rPr>
              <w:t>，</w:t>
            </w:r>
            <w:r>
              <w:rPr>
                <w:rFonts w:hint="eastAsia" w:ascii="Times New Roman" w:hAnsi="Times New Roman" w:cs="Times New Roman"/>
                <w:szCs w:val="21"/>
              </w:rPr>
              <w:t>汇百川基金</w:t>
            </w:r>
            <w:r>
              <w:rPr>
                <w:rFonts w:ascii="Times New Roman" w:hAnsi="Times New Roman" w:cs="Times New Roman"/>
                <w:szCs w:val="21"/>
              </w:rPr>
              <w:t>，</w:t>
            </w:r>
            <w:r>
              <w:rPr>
                <w:rFonts w:hint="eastAsia" w:ascii="Times New Roman" w:hAnsi="Times New Roman" w:cs="Times New Roman"/>
                <w:szCs w:val="21"/>
              </w:rPr>
              <w:t>汇丰晋信基金</w:t>
            </w:r>
            <w:r>
              <w:rPr>
                <w:rFonts w:ascii="Times New Roman" w:hAnsi="Times New Roman" w:cs="Times New Roman"/>
                <w:szCs w:val="21"/>
              </w:rPr>
              <w:t>，</w:t>
            </w:r>
            <w:r>
              <w:rPr>
                <w:rFonts w:hint="eastAsia" w:ascii="Times New Roman" w:hAnsi="Times New Roman" w:cs="Times New Roman"/>
                <w:szCs w:val="21"/>
              </w:rPr>
              <w:t>汇丰前海证券</w:t>
            </w:r>
            <w:r>
              <w:rPr>
                <w:rFonts w:ascii="Times New Roman" w:hAnsi="Times New Roman" w:cs="Times New Roman"/>
                <w:szCs w:val="21"/>
              </w:rPr>
              <w:t>，</w:t>
            </w:r>
            <w:r>
              <w:rPr>
                <w:rFonts w:hint="eastAsia" w:ascii="Times New Roman" w:hAnsi="Times New Roman" w:cs="Times New Roman"/>
                <w:szCs w:val="21"/>
              </w:rPr>
              <w:t>汇泉基金</w:t>
            </w:r>
            <w:r>
              <w:rPr>
                <w:rFonts w:ascii="Times New Roman" w:hAnsi="Times New Roman" w:cs="Times New Roman"/>
                <w:szCs w:val="21"/>
              </w:rPr>
              <w:t>，</w:t>
            </w:r>
            <w:r>
              <w:rPr>
                <w:rFonts w:hint="eastAsia" w:ascii="Times New Roman" w:hAnsi="Times New Roman" w:cs="Times New Roman"/>
                <w:szCs w:val="21"/>
              </w:rPr>
              <w:t>汇添富基金</w:t>
            </w:r>
            <w:r>
              <w:rPr>
                <w:rFonts w:ascii="Times New Roman" w:hAnsi="Times New Roman" w:cs="Times New Roman"/>
                <w:szCs w:val="21"/>
              </w:rPr>
              <w:t>，</w:t>
            </w:r>
            <w:r>
              <w:rPr>
                <w:rFonts w:hint="eastAsia" w:ascii="Times New Roman" w:hAnsi="Times New Roman" w:cs="Times New Roman"/>
                <w:szCs w:val="21"/>
              </w:rPr>
              <w:t>惠升基金</w:t>
            </w:r>
            <w:r>
              <w:rPr>
                <w:rFonts w:ascii="Times New Roman" w:hAnsi="Times New Roman" w:cs="Times New Roman"/>
                <w:szCs w:val="21"/>
              </w:rPr>
              <w:t>，</w:t>
            </w:r>
            <w:r>
              <w:rPr>
                <w:rFonts w:hint="eastAsia" w:ascii="Times New Roman" w:hAnsi="Times New Roman" w:cs="Times New Roman"/>
                <w:szCs w:val="21"/>
              </w:rPr>
              <w:t>嘉合基金</w:t>
            </w:r>
            <w:r>
              <w:rPr>
                <w:rFonts w:ascii="Times New Roman" w:hAnsi="Times New Roman" w:cs="Times New Roman"/>
                <w:szCs w:val="21"/>
              </w:rPr>
              <w:t>，</w:t>
            </w:r>
            <w:r>
              <w:rPr>
                <w:rFonts w:hint="eastAsia" w:ascii="Times New Roman" w:hAnsi="Times New Roman" w:cs="Times New Roman"/>
                <w:szCs w:val="21"/>
              </w:rPr>
              <w:t>嘉实基金</w:t>
            </w:r>
            <w:r>
              <w:rPr>
                <w:rFonts w:ascii="Times New Roman" w:hAnsi="Times New Roman" w:cs="Times New Roman"/>
                <w:szCs w:val="21"/>
              </w:rPr>
              <w:t>，</w:t>
            </w:r>
            <w:r>
              <w:rPr>
                <w:rFonts w:hint="eastAsia" w:ascii="Times New Roman" w:hAnsi="Times New Roman" w:cs="Times New Roman"/>
                <w:szCs w:val="21"/>
              </w:rPr>
              <w:t>建信养老金</w:t>
            </w:r>
            <w:r>
              <w:rPr>
                <w:rFonts w:ascii="Times New Roman" w:hAnsi="Times New Roman" w:cs="Times New Roman"/>
                <w:szCs w:val="21"/>
              </w:rPr>
              <w:t>，</w:t>
            </w:r>
            <w:r>
              <w:rPr>
                <w:rFonts w:hint="eastAsia" w:ascii="Times New Roman" w:hAnsi="Times New Roman" w:cs="Times New Roman"/>
                <w:szCs w:val="21"/>
              </w:rPr>
              <w:t>交银施罗德基金</w:t>
            </w:r>
            <w:r>
              <w:rPr>
                <w:rFonts w:ascii="Times New Roman" w:hAnsi="Times New Roman" w:cs="Times New Roman"/>
                <w:szCs w:val="21"/>
              </w:rPr>
              <w:t>，</w:t>
            </w:r>
            <w:r>
              <w:rPr>
                <w:rFonts w:hint="eastAsia" w:ascii="Times New Roman" w:hAnsi="Times New Roman" w:cs="Times New Roman"/>
                <w:szCs w:val="21"/>
              </w:rPr>
              <w:t>交银证券</w:t>
            </w:r>
            <w:r>
              <w:rPr>
                <w:rFonts w:ascii="Times New Roman" w:hAnsi="Times New Roman" w:cs="Times New Roman"/>
                <w:szCs w:val="21"/>
              </w:rPr>
              <w:t>，</w:t>
            </w:r>
            <w:r>
              <w:rPr>
                <w:rFonts w:hint="eastAsia" w:ascii="Times New Roman" w:hAnsi="Times New Roman" w:cs="Times New Roman"/>
                <w:szCs w:val="21"/>
              </w:rPr>
              <w:t>交银资管</w:t>
            </w:r>
            <w:r>
              <w:rPr>
                <w:rFonts w:ascii="Times New Roman" w:hAnsi="Times New Roman" w:cs="Times New Roman"/>
                <w:szCs w:val="21"/>
              </w:rPr>
              <w:t>，</w:t>
            </w:r>
            <w:r>
              <w:rPr>
                <w:rFonts w:hint="eastAsia" w:ascii="Times New Roman" w:hAnsi="Times New Roman" w:cs="Times New Roman"/>
                <w:szCs w:val="21"/>
              </w:rPr>
              <w:t>金鹰基金</w:t>
            </w:r>
            <w:r>
              <w:rPr>
                <w:rFonts w:ascii="Times New Roman" w:hAnsi="Times New Roman" w:cs="Times New Roman"/>
                <w:szCs w:val="21"/>
              </w:rPr>
              <w:t>，</w:t>
            </w:r>
            <w:r>
              <w:rPr>
                <w:rFonts w:hint="eastAsia" w:ascii="Times New Roman" w:hAnsi="Times New Roman" w:cs="Times New Roman"/>
                <w:szCs w:val="21"/>
              </w:rPr>
              <w:t>九州证券</w:t>
            </w:r>
            <w:r>
              <w:rPr>
                <w:rFonts w:ascii="Times New Roman" w:hAnsi="Times New Roman" w:cs="Times New Roman"/>
                <w:szCs w:val="21"/>
              </w:rPr>
              <w:t>，</w:t>
            </w:r>
            <w:r>
              <w:rPr>
                <w:rFonts w:hint="eastAsia" w:ascii="Times New Roman" w:hAnsi="Times New Roman" w:cs="Times New Roman"/>
                <w:szCs w:val="21"/>
              </w:rPr>
              <w:t>九泰基金</w:t>
            </w:r>
            <w:r>
              <w:rPr>
                <w:rFonts w:ascii="Times New Roman" w:hAnsi="Times New Roman" w:cs="Times New Roman"/>
                <w:szCs w:val="21"/>
              </w:rPr>
              <w:t>，</w:t>
            </w:r>
            <w:r>
              <w:rPr>
                <w:rFonts w:hint="eastAsia" w:ascii="Times New Roman" w:hAnsi="Times New Roman" w:cs="Times New Roman"/>
                <w:szCs w:val="21"/>
              </w:rPr>
              <w:t>君康人寿</w:t>
            </w:r>
            <w:r>
              <w:rPr>
                <w:rFonts w:ascii="Times New Roman" w:hAnsi="Times New Roman" w:cs="Times New Roman"/>
                <w:szCs w:val="21"/>
              </w:rPr>
              <w:t>，</w:t>
            </w:r>
            <w:r>
              <w:rPr>
                <w:rFonts w:hint="eastAsia" w:ascii="Times New Roman" w:hAnsi="Times New Roman" w:cs="Times New Roman"/>
                <w:szCs w:val="21"/>
              </w:rPr>
              <w:t>开源证券</w:t>
            </w:r>
            <w:r>
              <w:rPr>
                <w:rFonts w:ascii="Times New Roman" w:hAnsi="Times New Roman" w:cs="Times New Roman"/>
                <w:szCs w:val="21"/>
              </w:rPr>
              <w:t>，</w:t>
            </w:r>
            <w:r>
              <w:rPr>
                <w:rFonts w:hint="eastAsia" w:ascii="Times New Roman" w:hAnsi="Times New Roman" w:cs="Times New Roman"/>
                <w:szCs w:val="21"/>
              </w:rPr>
              <w:t>凯石基金</w:t>
            </w:r>
            <w:r>
              <w:rPr>
                <w:rFonts w:ascii="Times New Roman" w:hAnsi="Times New Roman" w:cs="Times New Roman"/>
                <w:szCs w:val="21"/>
              </w:rPr>
              <w:t>，</w:t>
            </w:r>
            <w:r>
              <w:rPr>
                <w:rFonts w:hint="eastAsia" w:ascii="Times New Roman" w:hAnsi="Times New Roman" w:cs="Times New Roman"/>
                <w:szCs w:val="21"/>
              </w:rPr>
              <w:t>瞰渡资管</w:t>
            </w:r>
            <w:r>
              <w:rPr>
                <w:rFonts w:ascii="Times New Roman" w:hAnsi="Times New Roman" w:cs="Times New Roman"/>
                <w:szCs w:val="21"/>
              </w:rPr>
              <w:t>，</w:t>
            </w:r>
            <w:r>
              <w:rPr>
                <w:rFonts w:hint="eastAsia" w:ascii="Times New Roman" w:hAnsi="Times New Roman" w:cs="Times New Roman"/>
                <w:szCs w:val="21"/>
              </w:rPr>
              <w:t>瞰道资管</w:t>
            </w:r>
            <w:r>
              <w:rPr>
                <w:rFonts w:ascii="Times New Roman" w:hAnsi="Times New Roman" w:cs="Times New Roman"/>
                <w:szCs w:val="21"/>
              </w:rPr>
              <w:t>，</w:t>
            </w:r>
            <w:r>
              <w:rPr>
                <w:rFonts w:hint="eastAsia" w:ascii="Times New Roman" w:hAnsi="Times New Roman" w:cs="Times New Roman"/>
                <w:szCs w:val="21"/>
              </w:rPr>
              <w:t>昆仑保险</w:t>
            </w:r>
            <w:r>
              <w:rPr>
                <w:rFonts w:ascii="Times New Roman" w:hAnsi="Times New Roman" w:cs="Times New Roman"/>
                <w:szCs w:val="21"/>
              </w:rPr>
              <w:t>，</w:t>
            </w:r>
            <w:r>
              <w:rPr>
                <w:rFonts w:hint="eastAsia" w:ascii="Times New Roman" w:hAnsi="Times New Roman" w:cs="Times New Roman"/>
                <w:szCs w:val="21"/>
              </w:rPr>
              <w:t>雷钧资管</w:t>
            </w:r>
            <w:r>
              <w:rPr>
                <w:rFonts w:ascii="Times New Roman" w:hAnsi="Times New Roman" w:cs="Times New Roman"/>
                <w:szCs w:val="21"/>
              </w:rPr>
              <w:t>，</w:t>
            </w:r>
            <w:r>
              <w:rPr>
                <w:rFonts w:hint="eastAsia" w:ascii="Times New Roman" w:hAnsi="Times New Roman" w:cs="Times New Roman"/>
                <w:szCs w:val="21"/>
              </w:rPr>
              <w:t>里昂证券</w:t>
            </w:r>
            <w:r>
              <w:rPr>
                <w:rFonts w:ascii="Times New Roman" w:hAnsi="Times New Roman" w:cs="Times New Roman"/>
                <w:szCs w:val="21"/>
              </w:rPr>
              <w:t>，</w:t>
            </w:r>
            <w:r>
              <w:rPr>
                <w:rFonts w:hint="eastAsia" w:ascii="Times New Roman" w:hAnsi="Times New Roman" w:cs="Times New Roman"/>
                <w:szCs w:val="21"/>
              </w:rPr>
              <w:t>立格资本</w:t>
            </w:r>
            <w:r>
              <w:rPr>
                <w:rFonts w:ascii="Times New Roman" w:hAnsi="Times New Roman" w:cs="Times New Roman"/>
                <w:szCs w:val="21"/>
              </w:rPr>
              <w:t>，</w:t>
            </w:r>
            <w:r>
              <w:rPr>
                <w:rFonts w:hint="eastAsia" w:ascii="Times New Roman" w:hAnsi="Times New Roman" w:cs="Times New Roman"/>
                <w:szCs w:val="21"/>
              </w:rPr>
              <w:t>利檀投资</w:t>
            </w:r>
            <w:r>
              <w:rPr>
                <w:rFonts w:ascii="Times New Roman" w:hAnsi="Times New Roman" w:cs="Times New Roman"/>
                <w:szCs w:val="21"/>
              </w:rPr>
              <w:t>，</w:t>
            </w:r>
            <w:r>
              <w:rPr>
                <w:rFonts w:hint="eastAsia" w:ascii="Times New Roman" w:hAnsi="Times New Roman" w:cs="Times New Roman"/>
                <w:szCs w:val="21"/>
              </w:rPr>
              <w:t>量界投资</w:t>
            </w:r>
            <w:r>
              <w:rPr>
                <w:rFonts w:ascii="Times New Roman" w:hAnsi="Times New Roman" w:cs="Times New Roman"/>
                <w:szCs w:val="21"/>
              </w:rPr>
              <w:t>，</w:t>
            </w:r>
            <w:r>
              <w:rPr>
                <w:rFonts w:hint="eastAsia" w:ascii="Times New Roman" w:hAnsi="Times New Roman" w:cs="Times New Roman"/>
                <w:szCs w:val="21"/>
              </w:rPr>
              <w:t>民生加银基金</w:t>
            </w:r>
            <w:r>
              <w:rPr>
                <w:rFonts w:ascii="Times New Roman" w:hAnsi="Times New Roman" w:cs="Times New Roman"/>
                <w:szCs w:val="21"/>
              </w:rPr>
              <w:t>，</w:t>
            </w:r>
            <w:r>
              <w:rPr>
                <w:rFonts w:hint="eastAsia" w:ascii="Times New Roman" w:hAnsi="Times New Roman" w:cs="Times New Roman"/>
                <w:szCs w:val="21"/>
              </w:rPr>
              <w:t>民生银行</w:t>
            </w:r>
            <w:r>
              <w:rPr>
                <w:rFonts w:ascii="Times New Roman" w:hAnsi="Times New Roman" w:cs="Times New Roman"/>
                <w:szCs w:val="21"/>
              </w:rPr>
              <w:t>，</w:t>
            </w:r>
            <w:r>
              <w:rPr>
                <w:rFonts w:hint="eastAsia" w:ascii="Times New Roman" w:hAnsi="Times New Roman" w:cs="Times New Roman"/>
                <w:szCs w:val="21"/>
              </w:rPr>
              <w:t>民生证券</w:t>
            </w:r>
            <w:r>
              <w:rPr>
                <w:rFonts w:ascii="Times New Roman" w:hAnsi="Times New Roman" w:cs="Times New Roman"/>
                <w:szCs w:val="21"/>
              </w:rPr>
              <w:t>，</w:t>
            </w:r>
            <w:r>
              <w:rPr>
                <w:rFonts w:hint="eastAsia" w:ascii="Times New Roman" w:hAnsi="Times New Roman" w:cs="Times New Roman"/>
                <w:szCs w:val="21"/>
              </w:rPr>
              <w:t>摩根大通</w:t>
            </w:r>
            <w:r>
              <w:rPr>
                <w:rFonts w:ascii="Times New Roman" w:hAnsi="Times New Roman" w:cs="Times New Roman"/>
                <w:szCs w:val="21"/>
              </w:rPr>
              <w:t>，</w:t>
            </w:r>
            <w:r>
              <w:rPr>
                <w:rFonts w:hint="eastAsia" w:ascii="Times New Roman" w:hAnsi="Times New Roman" w:cs="Times New Roman"/>
                <w:szCs w:val="21"/>
              </w:rPr>
              <w:t>摩根基金</w:t>
            </w:r>
            <w:r>
              <w:rPr>
                <w:rFonts w:ascii="Times New Roman" w:hAnsi="Times New Roman" w:cs="Times New Roman"/>
                <w:szCs w:val="21"/>
              </w:rPr>
              <w:t>(</w:t>
            </w:r>
            <w:r>
              <w:rPr>
                <w:rFonts w:hint="eastAsia" w:ascii="Times New Roman" w:hAnsi="Times New Roman" w:cs="Times New Roman"/>
                <w:szCs w:val="21"/>
              </w:rPr>
              <w:t>中国</w:t>
            </w:r>
            <w:r>
              <w:rPr>
                <w:rFonts w:ascii="Times New Roman" w:hAnsi="Times New Roman" w:cs="Times New Roman"/>
                <w:szCs w:val="21"/>
              </w:rPr>
              <w:t>)</w:t>
            </w:r>
            <w:r>
              <w:rPr>
                <w:rFonts w:hint="eastAsia" w:ascii="Times New Roman" w:hAnsi="Times New Roman" w:cs="Times New Roman"/>
                <w:szCs w:val="21"/>
              </w:rPr>
              <w:t>，摩根士丹利亚洲</w:t>
            </w:r>
            <w:r>
              <w:rPr>
                <w:rFonts w:ascii="Times New Roman" w:hAnsi="Times New Roman" w:cs="Times New Roman"/>
                <w:szCs w:val="21"/>
              </w:rPr>
              <w:t>，</w:t>
            </w:r>
            <w:r>
              <w:rPr>
                <w:rFonts w:hint="eastAsia" w:ascii="Times New Roman" w:hAnsi="Times New Roman" w:cs="Times New Roman"/>
                <w:szCs w:val="21"/>
              </w:rPr>
              <w:t>摩根士丹利基金</w:t>
            </w:r>
            <w:r>
              <w:rPr>
                <w:rFonts w:ascii="Times New Roman" w:hAnsi="Times New Roman" w:cs="Times New Roman"/>
                <w:szCs w:val="21"/>
              </w:rPr>
              <w:t>(</w:t>
            </w:r>
            <w:r>
              <w:rPr>
                <w:rFonts w:hint="eastAsia" w:ascii="Times New Roman" w:hAnsi="Times New Roman" w:cs="Times New Roman"/>
                <w:szCs w:val="21"/>
              </w:rPr>
              <w:t>中国</w:t>
            </w:r>
            <w:r>
              <w:rPr>
                <w:rFonts w:ascii="Times New Roman" w:hAnsi="Times New Roman" w:cs="Times New Roman"/>
                <w:szCs w:val="21"/>
              </w:rPr>
              <w:t>)，</w:t>
            </w:r>
            <w:r>
              <w:rPr>
                <w:rFonts w:hint="eastAsia" w:ascii="Times New Roman" w:hAnsi="Times New Roman" w:cs="Times New Roman"/>
                <w:szCs w:val="21"/>
              </w:rPr>
              <w:t>摩根证券</w:t>
            </w:r>
            <w:r>
              <w:rPr>
                <w:rFonts w:ascii="Times New Roman" w:hAnsi="Times New Roman" w:cs="Times New Roman"/>
                <w:szCs w:val="21"/>
              </w:rPr>
              <w:t>，</w:t>
            </w:r>
            <w:r>
              <w:rPr>
                <w:rFonts w:hint="eastAsia" w:ascii="Times New Roman" w:hAnsi="Times New Roman" w:cs="Times New Roman"/>
                <w:szCs w:val="21"/>
              </w:rPr>
              <w:t>南方基金</w:t>
            </w:r>
            <w:r>
              <w:rPr>
                <w:rFonts w:ascii="Times New Roman" w:hAnsi="Times New Roman" w:cs="Times New Roman"/>
                <w:szCs w:val="21"/>
              </w:rPr>
              <w:t>，</w:t>
            </w:r>
            <w:r>
              <w:rPr>
                <w:rFonts w:hint="eastAsia" w:ascii="Times New Roman" w:hAnsi="Times New Roman" w:cs="Times New Roman"/>
                <w:szCs w:val="21"/>
              </w:rPr>
              <w:t>南华基金</w:t>
            </w:r>
            <w:r>
              <w:rPr>
                <w:rFonts w:ascii="Times New Roman" w:hAnsi="Times New Roman" w:cs="Times New Roman"/>
                <w:szCs w:val="21"/>
              </w:rPr>
              <w:t>，</w:t>
            </w:r>
            <w:r>
              <w:rPr>
                <w:rFonts w:hint="eastAsia" w:ascii="Times New Roman" w:hAnsi="Times New Roman" w:cs="Times New Roman"/>
                <w:szCs w:val="21"/>
              </w:rPr>
              <w:t>农银汇理基金</w:t>
            </w:r>
            <w:r>
              <w:rPr>
                <w:rFonts w:ascii="Times New Roman" w:hAnsi="Times New Roman" w:cs="Times New Roman"/>
                <w:szCs w:val="21"/>
              </w:rPr>
              <w:t>，</w:t>
            </w:r>
            <w:r>
              <w:rPr>
                <w:rFonts w:hint="eastAsia" w:ascii="Times New Roman" w:hAnsi="Times New Roman" w:cs="Times New Roman"/>
                <w:szCs w:val="21"/>
              </w:rPr>
              <w:t>诺安基金</w:t>
            </w:r>
            <w:r>
              <w:rPr>
                <w:rFonts w:ascii="Times New Roman" w:hAnsi="Times New Roman" w:cs="Times New Roman"/>
                <w:szCs w:val="21"/>
              </w:rPr>
              <w:t>，</w:t>
            </w:r>
            <w:r>
              <w:rPr>
                <w:rFonts w:hint="eastAsia" w:ascii="Times New Roman" w:hAnsi="Times New Roman" w:cs="Times New Roman"/>
                <w:szCs w:val="21"/>
              </w:rPr>
              <w:t>平安养老保险</w:t>
            </w:r>
            <w:r>
              <w:rPr>
                <w:rFonts w:ascii="Times New Roman" w:hAnsi="Times New Roman" w:cs="Times New Roman"/>
                <w:szCs w:val="21"/>
              </w:rPr>
              <w:t>，</w:t>
            </w:r>
            <w:r>
              <w:rPr>
                <w:rFonts w:hint="eastAsia" w:ascii="Times New Roman" w:hAnsi="Times New Roman" w:cs="Times New Roman"/>
                <w:szCs w:val="21"/>
              </w:rPr>
              <w:t>平安证券</w:t>
            </w:r>
            <w:r>
              <w:rPr>
                <w:rFonts w:ascii="Times New Roman" w:hAnsi="Times New Roman" w:cs="Times New Roman"/>
                <w:szCs w:val="21"/>
              </w:rPr>
              <w:t>，</w:t>
            </w:r>
            <w:r>
              <w:rPr>
                <w:rFonts w:hint="eastAsia" w:ascii="Times New Roman" w:hAnsi="Times New Roman" w:cs="Times New Roman"/>
                <w:szCs w:val="21"/>
              </w:rPr>
              <w:t>平安资管</w:t>
            </w:r>
            <w:r>
              <w:rPr>
                <w:rFonts w:ascii="Times New Roman" w:hAnsi="Times New Roman" w:cs="Times New Roman"/>
                <w:szCs w:val="21"/>
              </w:rPr>
              <w:t>，</w:t>
            </w:r>
            <w:r>
              <w:rPr>
                <w:rFonts w:hint="eastAsia" w:ascii="Times New Roman" w:hAnsi="Times New Roman" w:cs="Times New Roman"/>
                <w:szCs w:val="21"/>
              </w:rPr>
              <w:t>浦发银行</w:t>
            </w:r>
            <w:r>
              <w:rPr>
                <w:rFonts w:ascii="Times New Roman" w:hAnsi="Times New Roman" w:cs="Times New Roman"/>
                <w:szCs w:val="21"/>
              </w:rPr>
              <w:t>，</w:t>
            </w:r>
            <w:r>
              <w:rPr>
                <w:rFonts w:hint="eastAsia" w:ascii="Times New Roman" w:hAnsi="Times New Roman" w:cs="Times New Roman"/>
                <w:szCs w:val="21"/>
              </w:rPr>
              <w:t>浦银国际控股</w:t>
            </w:r>
            <w:r>
              <w:rPr>
                <w:rFonts w:ascii="Times New Roman" w:hAnsi="Times New Roman" w:cs="Times New Roman"/>
                <w:szCs w:val="21"/>
              </w:rPr>
              <w:t>，</w:t>
            </w:r>
            <w:r>
              <w:rPr>
                <w:rFonts w:hint="eastAsia" w:ascii="Times New Roman" w:hAnsi="Times New Roman" w:cs="Times New Roman"/>
                <w:szCs w:val="21"/>
              </w:rPr>
              <w:t>齐鲁资管</w:t>
            </w:r>
            <w:r>
              <w:rPr>
                <w:rFonts w:ascii="Times New Roman" w:hAnsi="Times New Roman" w:cs="Times New Roman"/>
                <w:szCs w:val="21"/>
              </w:rPr>
              <w:t>，</w:t>
            </w:r>
            <w:r>
              <w:rPr>
                <w:rFonts w:hint="eastAsia" w:ascii="Times New Roman" w:hAnsi="Times New Roman" w:cs="Times New Roman"/>
                <w:szCs w:val="21"/>
              </w:rPr>
              <w:t>千合资本</w:t>
            </w:r>
            <w:r>
              <w:rPr>
                <w:rFonts w:ascii="Times New Roman" w:hAnsi="Times New Roman" w:cs="Times New Roman"/>
                <w:szCs w:val="21"/>
              </w:rPr>
              <w:t>，</w:t>
            </w:r>
            <w:r>
              <w:rPr>
                <w:rFonts w:hint="eastAsia" w:ascii="Times New Roman" w:hAnsi="Times New Roman" w:cs="Times New Roman"/>
                <w:szCs w:val="21"/>
              </w:rPr>
              <w:t>前海开源基金</w:t>
            </w:r>
            <w:r>
              <w:rPr>
                <w:rFonts w:ascii="Times New Roman" w:hAnsi="Times New Roman" w:cs="Times New Roman"/>
                <w:szCs w:val="21"/>
              </w:rPr>
              <w:t>，</w:t>
            </w:r>
            <w:r>
              <w:rPr>
                <w:rFonts w:hint="eastAsia" w:ascii="Times New Roman" w:hAnsi="Times New Roman" w:cs="Times New Roman"/>
                <w:szCs w:val="21"/>
              </w:rPr>
              <w:t>青岛国信资管</w:t>
            </w:r>
            <w:r>
              <w:rPr>
                <w:rFonts w:ascii="Times New Roman" w:hAnsi="Times New Roman" w:cs="Times New Roman"/>
                <w:szCs w:val="21"/>
              </w:rPr>
              <w:t>，</w:t>
            </w:r>
            <w:r>
              <w:rPr>
                <w:rFonts w:hint="eastAsia" w:ascii="Times New Roman" w:hAnsi="Times New Roman" w:cs="Times New Roman"/>
                <w:szCs w:val="21"/>
              </w:rPr>
              <w:t>泉果基金</w:t>
            </w:r>
            <w:r>
              <w:rPr>
                <w:rFonts w:ascii="Times New Roman" w:hAnsi="Times New Roman" w:cs="Times New Roman"/>
                <w:szCs w:val="21"/>
              </w:rPr>
              <w:t>，</w:t>
            </w:r>
            <w:r>
              <w:rPr>
                <w:rFonts w:hint="eastAsia" w:ascii="Times New Roman" w:hAnsi="Times New Roman" w:cs="Times New Roman"/>
                <w:szCs w:val="21"/>
              </w:rPr>
              <w:t>融通基金</w:t>
            </w:r>
            <w:r>
              <w:rPr>
                <w:rFonts w:ascii="Times New Roman" w:hAnsi="Times New Roman" w:cs="Times New Roman"/>
                <w:szCs w:val="21"/>
              </w:rPr>
              <w:t>，</w:t>
            </w:r>
            <w:r>
              <w:rPr>
                <w:rFonts w:hint="eastAsia" w:ascii="Times New Roman" w:hAnsi="Times New Roman" w:cs="Times New Roman"/>
                <w:szCs w:val="21"/>
              </w:rPr>
              <w:t>瑞华投资控股</w:t>
            </w:r>
            <w:r>
              <w:rPr>
                <w:rFonts w:ascii="Times New Roman" w:hAnsi="Times New Roman" w:cs="Times New Roman"/>
                <w:szCs w:val="21"/>
              </w:rPr>
              <w:t>，</w:t>
            </w:r>
            <w:r>
              <w:rPr>
                <w:rFonts w:hint="eastAsia" w:ascii="Times New Roman" w:hAnsi="Times New Roman" w:cs="Times New Roman"/>
                <w:szCs w:val="21"/>
              </w:rPr>
              <w:t>瑞穗亚洲</w:t>
            </w:r>
            <w:r>
              <w:rPr>
                <w:rFonts w:ascii="Times New Roman" w:hAnsi="Times New Roman" w:cs="Times New Roman"/>
                <w:szCs w:val="21"/>
              </w:rPr>
              <w:t>，</w:t>
            </w:r>
            <w:r>
              <w:rPr>
                <w:rFonts w:hint="eastAsia" w:ascii="Times New Roman" w:hAnsi="Times New Roman" w:cs="Times New Roman"/>
                <w:szCs w:val="21"/>
              </w:rPr>
              <w:t>瑞信证券</w:t>
            </w:r>
            <w:r>
              <w:rPr>
                <w:rFonts w:ascii="Times New Roman" w:hAnsi="Times New Roman" w:cs="Times New Roman"/>
                <w:szCs w:val="21"/>
              </w:rPr>
              <w:t>，</w:t>
            </w:r>
            <w:r>
              <w:rPr>
                <w:rFonts w:hint="eastAsia" w:ascii="Times New Roman" w:hAnsi="Times New Roman" w:cs="Times New Roman"/>
                <w:szCs w:val="21"/>
              </w:rPr>
              <w:t>瑞银证券</w:t>
            </w:r>
            <w:r>
              <w:rPr>
                <w:rFonts w:ascii="Times New Roman" w:hAnsi="Times New Roman" w:cs="Times New Roman"/>
                <w:szCs w:val="21"/>
              </w:rPr>
              <w:t>，</w:t>
            </w:r>
            <w:r>
              <w:rPr>
                <w:rFonts w:hint="eastAsia" w:ascii="Times New Roman" w:hAnsi="Times New Roman" w:cs="Times New Roman"/>
                <w:szCs w:val="21"/>
              </w:rPr>
              <w:t>瑞银资管</w:t>
            </w:r>
            <w:r>
              <w:rPr>
                <w:rFonts w:ascii="Times New Roman" w:hAnsi="Times New Roman" w:cs="Times New Roman"/>
                <w:szCs w:val="21"/>
              </w:rPr>
              <w:t>(</w:t>
            </w:r>
            <w:r>
              <w:rPr>
                <w:rFonts w:hint="eastAsia" w:ascii="Times New Roman" w:hAnsi="Times New Roman" w:cs="Times New Roman"/>
                <w:szCs w:val="21"/>
              </w:rPr>
              <w:t>香港</w:t>
            </w:r>
            <w:r>
              <w:rPr>
                <w:rFonts w:ascii="Times New Roman" w:hAnsi="Times New Roman" w:cs="Times New Roman"/>
                <w:szCs w:val="21"/>
              </w:rPr>
              <w:t>)，</w:t>
            </w:r>
            <w:r>
              <w:rPr>
                <w:rFonts w:hint="eastAsia" w:ascii="Times New Roman" w:hAnsi="Times New Roman" w:cs="Times New Roman"/>
                <w:szCs w:val="21"/>
              </w:rPr>
              <w:t>睿远基金</w:t>
            </w:r>
            <w:r>
              <w:rPr>
                <w:rFonts w:ascii="Times New Roman" w:hAnsi="Times New Roman" w:cs="Times New Roman"/>
                <w:szCs w:val="21"/>
              </w:rPr>
              <w:t>，</w:t>
            </w:r>
            <w:r>
              <w:rPr>
                <w:rFonts w:hint="eastAsia" w:ascii="Times New Roman" w:hAnsi="Times New Roman" w:cs="Times New Roman"/>
                <w:szCs w:val="21"/>
              </w:rPr>
              <w:t>三井住友资管</w:t>
            </w:r>
            <w:r>
              <w:rPr>
                <w:rFonts w:ascii="Times New Roman" w:hAnsi="Times New Roman" w:cs="Times New Roman"/>
                <w:szCs w:val="21"/>
              </w:rPr>
              <w:t>，</w:t>
            </w:r>
            <w:r>
              <w:rPr>
                <w:rFonts w:hint="eastAsia" w:ascii="Times New Roman" w:hAnsi="Times New Roman" w:cs="Times New Roman"/>
                <w:szCs w:val="21"/>
              </w:rPr>
              <w:t>上海大朴资管</w:t>
            </w:r>
            <w:r>
              <w:rPr>
                <w:rFonts w:ascii="Times New Roman" w:hAnsi="Times New Roman" w:cs="Times New Roman"/>
                <w:szCs w:val="21"/>
              </w:rPr>
              <w:t>，</w:t>
            </w:r>
            <w:r>
              <w:rPr>
                <w:rFonts w:hint="eastAsia" w:ascii="Times New Roman" w:hAnsi="Times New Roman" w:cs="Times New Roman"/>
                <w:szCs w:val="21"/>
              </w:rPr>
              <w:t>上海富敦投资</w:t>
            </w:r>
            <w:r>
              <w:rPr>
                <w:rFonts w:ascii="Times New Roman" w:hAnsi="Times New Roman" w:cs="Times New Roman"/>
                <w:szCs w:val="21"/>
              </w:rPr>
              <w:t>，</w:t>
            </w:r>
            <w:r>
              <w:rPr>
                <w:rFonts w:hint="eastAsia" w:ascii="Times New Roman" w:hAnsi="Times New Roman" w:cs="Times New Roman"/>
                <w:szCs w:val="21"/>
              </w:rPr>
              <w:t>上海海宸投资</w:t>
            </w:r>
            <w:r>
              <w:rPr>
                <w:rFonts w:ascii="Times New Roman" w:hAnsi="Times New Roman" w:cs="Times New Roman"/>
                <w:szCs w:val="21"/>
              </w:rPr>
              <w:t>，</w:t>
            </w:r>
            <w:r>
              <w:rPr>
                <w:rFonts w:hint="eastAsia" w:ascii="Times New Roman" w:hAnsi="Times New Roman" w:cs="Times New Roman"/>
                <w:szCs w:val="21"/>
              </w:rPr>
              <w:t>上海华宝基金</w:t>
            </w:r>
            <w:r>
              <w:rPr>
                <w:rFonts w:ascii="Times New Roman" w:hAnsi="Times New Roman" w:cs="Times New Roman"/>
                <w:szCs w:val="21"/>
              </w:rPr>
              <w:t>，</w:t>
            </w:r>
            <w:r>
              <w:rPr>
                <w:rFonts w:hint="eastAsia" w:ascii="Times New Roman" w:hAnsi="Times New Roman" w:cs="Times New Roman"/>
                <w:szCs w:val="21"/>
              </w:rPr>
              <w:t>上海聆泽私募</w:t>
            </w:r>
            <w:r>
              <w:rPr>
                <w:rFonts w:ascii="Times New Roman" w:hAnsi="Times New Roman" w:cs="Times New Roman"/>
                <w:szCs w:val="21"/>
              </w:rPr>
              <w:t>，</w:t>
            </w:r>
            <w:r>
              <w:rPr>
                <w:rFonts w:hint="eastAsia" w:ascii="Times New Roman" w:hAnsi="Times New Roman" w:cs="Times New Roman"/>
                <w:szCs w:val="21"/>
              </w:rPr>
              <w:t>上海银行</w:t>
            </w:r>
            <w:r>
              <w:rPr>
                <w:rFonts w:ascii="Times New Roman" w:hAnsi="Times New Roman" w:cs="Times New Roman"/>
                <w:szCs w:val="21"/>
              </w:rPr>
              <w:t>，</w:t>
            </w:r>
            <w:r>
              <w:rPr>
                <w:rFonts w:hint="eastAsia" w:ascii="Times New Roman" w:hAnsi="Times New Roman" w:cs="Times New Roman"/>
                <w:szCs w:val="21"/>
              </w:rPr>
              <w:t>申万宏源证券</w:t>
            </w:r>
            <w:r>
              <w:rPr>
                <w:rFonts w:ascii="Times New Roman" w:hAnsi="Times New Roman" w:cs="Times New Roman"/>
                <w:szCs w:val="21"/>
              </w:rPr>
              <w:t>，</w:t>
            </w:r>
            <w:r>
              <w:rPr>
                <w:rFonts w:hint="eastAsia" w:ascii="Times New Roman" w:hAnsi="Times New Roman" w:cs="Times New Roman"/>
                <w:szCs w:val="21"/>
              </w:rPr>
              <w:t>申万菱信基金</w:t>
            </w:r>
            <w:r>
              <w:rPr>
                <w:rFonts w:ascii="Times New Roman" w:hAnsi="Times New Roman" w:cs="Times New Roman"/>
                <w:szCs w:val="21"/>
              </w:rPr>
              <w:t>，</w:t>
            </w:r>
            <w:r>
              <w:rPr>
                <w:rFonts w:hint="eastAsia" w:ascii="Times New Roman" w:hAnsi="Times New Roman" w:cs="Times New Roman"/>
                <w:szCs w:val="21"/>
              </w:rPr>
              <w:t>深圳明曜投资</w:t>
            </w:r>
            <w:r>
              <w:rPr>
                <w:rFonts w:ascii="Times New Roman" w:hAnsi="Times New Roman" w:cs="Times New Roman"/>
                <w:szCs w:val="21"/>
              </w:rPr>
              <w:t>，</w:t>
            </w:r>
            <w:r>
              <w:rPr>
                <w:rFonts w:hint="eastAsia" w:ascii="Times New Roman" w:hAnsi="Times New Roman" w:cs="Times New Roman"/>
                <w:szCs w:val="21"/>
              </w:rPr>
              <w:t>深圳前海道谊</w:t>
            </w:r>
            <w:r>
              <w:rPr>
                <w:rFonts w:ascii="Times New Roman" w:hAnsi="Times New Roman" w:cs="Times New Roman"/>
                <w:szCs w:val="21"/>
              </w:rPr>
              <w:t>，</w:t>
            </w:r>
            <w:r>
              <w:rPr>
                <w:rFonts w:hint="eastAsia" w:ascii="Times New Roman" w:hAnsi="Times New Roman" w:cs="Times New Roman"/>
                <w:szCs w:val="21"/>
              </w:rPr>
              <w:t>施罗德投资</w:t>
            </w:r>
            <w:r>
              <w:rPr>
                <w:rFonts w:ascii="Times New Roman" w:hAnsi="Times New Roman" w:cs="Times New Roman"/>
                <w:szCs w:val="21"/>
              </w:rPr>
              <w:t>(</w:t>
            </w:r>
            <w:r>
              <w:rPr>
                <w:rFonts w:hint="eastAsia" w:ascii="Times New Roman" w:hAnsi="Times New Roman" w:cs="Times New Roman"/>
                <w:szCs w:val="21"/>
              </w:rPr>
              <w:t>香港</w:t>
            </w:r>
            <w:r>
              <w:rPr>
                <w:rFonts w:ascii="Times New Roman" w:hAnsi="Times New Roman" w:cs="Times New Roman"/>
                <w:szCs w:val="21"/>
              </w:rPr>
              <w:t>)，</w:t>
            </w:r>
            <w:r>
              <w:rPr>
                <w:rFonts w:hint="eastAsia" w:ascii="Times New Roman" w:hAnsi="Times New Roman" w:cs="Times New Roman"/>
                <w:szCs w:val="21"/>
              </w:rPr>
              <w:t>首创证券</w:t>
            </w:r>
            <w:r>
              <w:rPr>
                <w:rFonts w:ascii="Times New Roman" w:hAnsi="Times New Roman" w:cs="Times New Roman"/>
                <w:szCs w:val="21"/>
              </w:rPr>
              <w:t>，</w:t>
            </w:r>
            <w:r>
              <w:rPr>
                <w:rFonts w:hint="eastAsia" w:ascii="Times New Roman" w:hAnsi="Times New Roman" w:cs="Times New Roman"/>
                <w:szCs w:val="21"/>
              </w:rPr>
              <w:t>太平基金</w:t>
            </w:r>
            <w:r>
              <w:rPr>
                <w:rFonts w:ascii="Times New Roman" w:hAnsi="Times New Roman" w:cs="Times New Roman"/>
                <w:szCs w:val="21"/>
              </w:rPr>
              <w:t>，</w:t>
            </w:r>
            <w:r>
              <w:rPr>
                <w:rFonts w:hint="eastAsia" w:ascii="Times New Roman" w:hAnsi="Times New Roman" w:cs="Times New Roman"/>
                <w:szCs w:val="21"/>
              </w:rPr>
              <w:t>太平养老</w:t>
            </w:r>
            <w:r>
              <w:rPr>
                <w:rFonts w:ascii="Times New Roman" w:hAnsi="Times New Roman" w:cs="Times New Roman"/>
                <w:szCs w:val="21"/>
              </w:rPr>
              <w:t>，</w:t>
            </w:r>
            <w:r>
              <w:rPr>
                <w:rFonts w:hint="eastAsia" w:ascii="Times New Roman" w:hAnsi="Times New Roman" w:cs="Times New Roman"/>
                <w:szCs w:val="21"/>
              </w:rPr>
              <w:t>太平资管</w:t>
            </w:r>
            <w:r>
              <w:rPr>
                <w:rFonts w:ascii="Times New Roman" w:hAnsi="Times New Roman" w:cs="Times New Roman"/>
                <w:szCs w:val="21"/>
              </w:rPr>
              <w:t>，</w:t>
            </w:r>
            <w:r>
              <w:rPr>
                <w:rFonts w:hint="eastAsia" w:ascii="Times New Roman" w:hAnsi="Times New Roman" w:cs="Times New Roman"/>
                <w:szCs w:val="21"/>
              </w:rPr>
              <w:t>泰达宏利基金</w:t>
            </w:r>
            <w:r>
              <w:rPr>
                <w:rFonts w:ascii="Times New Roman" w:hAnsi="Times New Roman" w:cs="Times New Roman"/>
                <w:szCs w:val="21"/>
              </w:rPr>
              <w:t>，</w:t>
            </w:r>
            <w:r>
              <w:rPr>
                <w:rFonts w:hint="eastAsia" w:ascii="Times New Roman" w:hAnsi="Times New Roman" w:cs="Times New Roman"/>
                <w:szCs w:val="21"/>
              </w:rPr>
              <w:t>泰康资管</w:t>
            </w:r>
            <w:r>
              <w:rPr>
                <w:rFonts w:ascii="Times New Roman" w:hAnsi="Times New Roman" w:cs="Times New Roman"/>
                <w:szCs w:val="21"/>
              </w:rPr>
              <w:t>，</w:t>
            </w:r>
            <w:r>
              <w:rPr>
                <w:rFonts w:hint="eastAsia" w:ascii="Times New Roman" w:hAnsi="Times New Roman" w:cs="Times New Roman"/>
                <w:szCs w:val="21"/>
              </w:rPr>
              <w:t>天风证券</w:t>
            </w:r>
            <w:r>
              <w:rPr>
                <w:rFonts w:ascii="Times New Roman" w:hAnsi="Times New Roman" w:cs="Times New Roman"/>
                <w:szCs w:val="21"/>
              </w:rPr>
              <w:t>，</w:t>
            </w:r>
            <w:r>
              <w:rPr>
                <w:rFonts w:hint="eastAsia" w:ascii="Times New Roman" w:hAnsi="Times New Roman" w:cs="Times New Roman"/>
                <w:szCs w:val="21"/>
              </w:rPr>
              <w:t>天弘基金</w:t>
            </w:r>
            <w:r>
              <w:rPr>
                <w:rFonts w:ascii="Times New Roman" w:hAnsi="Times New Roman" w:cs="Times New Roman"/>
                <w:szCs w:val="21"/>
              </w:rPr>
              <w:t>，</w:t>
            </w:r>
            <w:r>
              <w:rPr>
                <w:rFonts w:hint="eastAsia" w:ascii="Times New Roman" w:hAnsi="Times New Roman" w:cs="Times New Roman"/>
                <w:szCs w:val="21"/>
              </w:rPr>
              <w:t>天惠投资</w:t>
            </w:r>
            <w:r>
              <w:rPr>
                <w:rFonts w:ascii="Times New Roman" w:hAnsi="Times New Roman" w:cs="Times New Roman"/>
                <w:szCs w:val="21"/>
              </w:rPr>
              <w:t>，</w:t>
            </w:r>
            <w:r>
              <w:rPr>
                <w:rFonts w:hint="eastAsia" w:ascii="Times New Roman" w:hAnsi="Times New Roman" w:cs="Times New Roman"/>
                <w:szCs w:val="21"/>
              </w:rPr>
              <w:t>统一证券</w:t>
            </w:r>
            <w:r>
              <w:rPr>
                <w:rFonts w:ascii="Times New Roman" w:hAnsi="Times New Roman" w:cs="Times New Roman"/>
                <w:szCs w:val="21"/>
              </w:rPr>
              <w:t>，</w:t>
            </w:r>
            <w:r>
              <w:rPr>
                <w:rFonts w:hint="eastAsia" w:ascii="Times New Roman" w:hAnsi="Times New Roman" w:cs="Times New Roman"/>
                <w:szCs w:val="21"/>
              </w:rPr>
              <w:t>万家基金</w:t>
            </w:r>
            <w:r>
              <w:rPr>
                <w:rFonts w:ascii="Times New Roman" w:hAnsi="Times New Roman" w:cs="Times New Roman"/>
                <w:szCs w:val="21"/>
              </w:rPr>
              <w:t>，</w:t>
            </w:r>
            <w:r>
              <w:rPr>
                <w:rFonts w:hint="eastAsia" w:ascii="Times New Roman" w:hAnsi="Times New Roman" w:cs="Times New Roman"/>
                <w:szCs w:val="21"/>
              </w:rPr>
              <w:t>万和证券</w:t>
            </w:r>
            <w:r>
              <w:rPr>
                <w:rFonts w:ascii="Times New Roman" w:hAnsi="Times New Roman" w:cs="Times New Roman"/>
                <w:szCs w:val="21"/>
              </w:rPr>
              <w:t>，</w:t>
            </w:r>
            <w:r>
              <w:rPr>
                <w:rFonts w:hint="eastAsia" w:ascii="Times New Roman" w:hAnsi="Times New Roman" w:cs="Times New Roman"/>
                <w:szCs w:val="21"/>
              </w:rPr>
              <w:t>西部利得基金</w:t>
            </w:r>
            <w:r>
              <w:rPr>
                <w:rFonts w:ascii="Times New Roman" w:hAnsi="Times New Roman" w:cs="Times New Roman"/>
                <w:szCs w:val="21"/>
              </w:rPr>
              <w:t>，</w:t>
            </w:r>
            <w:r>
              <w:rPr>
                <w:rFonts w:hint="eastAsia" w:ascii="Times New Roman" w:hAnsi="Times New Roman" w:cs="Times New Roman"/>
                <w:szCs w:val="21"/>
              </w:rPr>
              <w:t>西部证券</w:t>
            </w:r>
            <w:r>
              <w:rPr>
                <w:rFonts w:ascii="Times New Roman" w:hAnsi="Times New Roman" w:cs="Times New Roman"/>
                <w:szCs w:val="21"/>
              </w:rPr>
              <w:t>，</w:t>
            </w:r>
            <w:r>
              <w:rPr>
                <w:rFonts w:hint="eastAsia" w:ascii="Times New Roman" w:hAnsi="Times New Roman" w:cs="Times New Roman"/>
                <w:szCs w:val="21"/>
              </w:rPr>
              <w:t>先锋基金</w:t>
            </w:r>
            <w:r>
              <w:rPr>
                <w:rFonts w:ascii="Times New Roman" w:hAnsi="Times New Roman" w:cs="Times New Roman"/>
                <w:szCs w:val="21"/>
              </w:rPr>
              <w:t>，</w:t>
            </w:r>
            <w:r>
              <w:rPr>
                <w:rFonts w:hint="eastAsia" w:ascii="Times New Roman" w:hAnsi="Times New Roman" w:cs="Times New Roman"/>
                <w:szCs w:val="21"/>
              </w:rPr>
              <w:t>湘财证券</w:t>
            </w:r>
            <w:r>
              <w:rPr>
                <w:rFonts w:ascii="Times New Roman" w:hAnsi="Times New Roman" w:cs="Times New Roman"/>
                <w:szCs w:val="21"/>
              </w:rPr>
              <w:t>，</w:t>
            </w:r>
            <w:r>
              <w:rPr>
                <w:rFonts w:hint="eastAsia" w:ascii="Times New Roman" w:hAnsi="Times New Roman" w:cs="Times New Roman"/>
                <w:szCs w:val="21"/>
              </w:rPr>
              <w:t>新华基金</w:t>
            </w:r>
            <w:r>
              <w:rPr>
                <w:rFonts w:ascii="Times New Roman" w:hAnsi="Times New Roman" w:cs="Times New Roman"/>
                <w:szCs w:val="21"/>
              </w:rPr>
              <w:t>，</w:t>
            </w:r>
            <w:r>
              <w:rPr>
                <w:rFonts w:hint="eastAsia" w:ascii="Times New Roman" w:hAnsi="Times New Roman" w:cs="Times New Roman"/>
                <w:szCs w:val="21"/>
              </w:rPr>
              <w:t>新华资管</w:t>
            </w:r>
            <w:r>
              <w:rPr>
                <w:rFonts w:ascii="Times New Roman" w:hAnsi="Times New Roman" w:cs="Times New Roman"/>
                <w:szCs w:val="21"/>
              </w:rPr>
              <w:t>，</w:t>
            </w:r>
            <w:r>
              <w:rPr>
                <w:rFonts w:hint="eastAsia" w:ascii="Times New Roman" w:hAnsi="Times New Roman" w:cs="Times New Roman"/>
                <w:szCs w:val="21"/>
              </w:rPr>
              <w:t>新活力资本</w:t>
            </w:r>
            <w:r>
              <w:rPr>
                <w:rFonts w:ascii="Times New Roman" w:hAnsi="Times New Roman" w:cs="Times New Roman"/>
                <w:szCs w:val="21"/>
              </w:rPr>
              <w:t>，</w:t>
            </w:r>
            <w:r>
              <w:rPr>
                <w:rFonts w:hint="eastAsia" w:ascii="Times New Roman" w:hAnsi="Times New Roman" w:cs="Times New Roman"/>
                <w:szCs w:val="21"/>
              </w:rPr>
              <w:t>信达澳亚基金</w:t>
            </w:r>
            <w:r>
              <w:rPr>
                <w:rFonts w:ascii="Times New Roman" w:hAnsi="Times New Roman" w:cs="Times New Roman"/>
                <w:szCs w:val="21"/>
              </w:rPr>
              <w:t>，</w:t>
            </w:r>
            <w:r>
              <w:rPr>
                <w:rFonts w:hint="eastAsia" w:ascii="Times New Roman" w:hAnsi="Times New Roman" w:cs="Times New Roman"/>
                <w:szCs w:val="21"/>
              </w:rPr>
              <w:t>信达证券</w:t>
            </w:r>
            <w:r>
              <w:rPr>
                <w:rFonts w:ascii="Times New Roman" w:hAnsi="Times New Roman" w:cs="Times New Roman"/>
                <w:szCs w:val="21"/>
              </w:rPr>
              <w:t>，</w:t>
            </w:r>
            <w:r>
              <w:rPr>
                <w:rFonts w:hint="eastAsia" w:ascii="Times New Roman" w:hAnsi="Times New Roman" w:cs="Times New Roman"/>
                <w:szCs w:val="21"/>
              </w:rPr>
              <w:t>兴证全球基金</w:t>
            </w:r>
            <w:r>
              <w:rPr>
                <w:rFonts w:ascii="Times New Roman" w:hAnsi="Times New Roman" w:cs="Times New Roman"/>
                <w:szCs w:val="21"/>
              </w:rPr>
              <w:t>，</w:t>
            </w:r>
            <w:r>
              <w:rPr>
                <w:rFonts w:hint="eastAsia" w:ascii="Times New Roman" w:hAnsi="Times New Roman" w:cs="Times New Roman"/>
                <w:szCs w:val="21"/>
              </w:rPr>
              <w:t>兴业基金</w:t>
            </w:r>
            <w:r>
              <w:rPr>
                <w:rFonts w:ascii="Times New Roman" w:hAnsi="Times New Roman" w:cs="Times New Roman"/>
                <w:szCs w:val="21"/>
              </w:rPr>
              <w:t>，</w:t>
            </w:r>
            <w:r>
              <w:rPr>
                <w:rFonts w:hint="eastAsia" w:ascii="Times New Roman" w:hAnsi="Times New Roman" w:cs="Times New Roman"/>
                <w:szCs w:val="21"/>
              </w:rPr>
              <w:t>兴业银行</w:t>
            </w:r>
            <w:r>
              <w:rPr>
                <w:rFonts w:ascii="Times New Roman" w:hAnsi="Times New Roman" w:cs="Times New Roman"/>
                <w:szCs w:val="21"/>
              </w:rPr>
              <w:t>，</w:t>
            </w:r>
            <w:r>
              <w:rPr>
                <w:rFonts w:hint="eastAsia" w:ascii="Times New Roman" w:hAnsi="Times New Roman" w:cs="Times New Roman"/>
                <w:szCs w:val="21"/>
              </w:rPr>
              <w:t>兴业证券</w:t>
            </w:r>
            <w:r>
              <w:rPr>
                <w:rFonts w:ascii="Times New Roman" w:hAnsi="Times New Roman" w:cs="Times New Roman"/>
                <w:szCs w:val="21"/>
              </w:rPr>
              <w:t>，</w:t>
            </w:r>
            <w:r>
              <w:rPr>
                <w:rFonts w:hint="eastAsia" w:ascii="Times New Roman" w:hAnsi="Times New Roman" w:cs="Times New Roman"/>
                <w:szCs w:val="21"/>
              </w:rPr>
              <w:t>玄元私募基金</w:t>
            </w:r>
            <w:r>
              <w:rPr>
                <w:rFonts w:ascii="Times New Roman" w:hAnsi="Times New Roman" w:cs="Times New Roman"/>
                <w:szCs w:val="21"/>
              </w:rPr>
              <w:t>，</w:t>
            </w:r>
            <w:r>
              <w:rPr>
                <w:rFonts w:hint="eastAsia" w:ascii="Times New Roman" w:hAnsi="Times New Roman" w:cs="Times New Roman"/>
                <w:szCs w:val="21"/>
              </w:rPr>
              <w:t>亚信控股</w:t>
            </w:r>
            <w:r>
              <w:rPr>
                <w:rFonts w:ascii="Times New Roman" w:hAnsi="Times New Roman" w:cs="Times New Roman"/>
                <w:szCs w:val="21"/>
              </w:rPr>
              <w:t>，</w:t>
            </w:r>
            <w:r>
              <w:rPr>
                <w:rFonts w:hint="eastAsia" w:ascii="Times New Roman" w:hAnsi="Times New Roman" w:cs="Times New Roman"/>
                <w:szCs w:val="21"/>
              </w:rPr>
              <w:t>野村东方国际证券</w:t>
            </w:r>
            <w:r>
              <w:rPr>
                <w:rFonts w:ascii="Times New Roman" w:hAnsi="Times New Roman" w:cs="Times New Roman"/>
                <w:szCs w:val="21"/>
              </w:rPr>
              <w:t>，</w:t>
            </w:r>
            <w:r>
              <w:rPr>
                <w:rFonts w:hint="eastAsia" w:ascii="Times New Roman" w:hAnsi="Times New Roman" w:cs="Times New Roman"/>
                <w:szCs w:val="21"/>
              </w:rPr>
              <w:t>益民基金</w:t>
            </w:r>
            <w:r>
              <w:rPr>
                <w:rFonts w:ascii="Times New Roman" w:hAnsi="Times New Roman" w:cs="Times New Roman"/>
                <w:szCs w:val="21"/>
              </w:rPr>
              <w:t>，</w:t>
            </w:r>
            <w:r>
              <w:rPr>
                <w:rFonts w:hint="eastAsia" w:ascii="Times New Roman" w:hAnsi="Times New Roman" w:cs="Times New Roman"/>
                <w:szCs w:val="21"/>
              </w:rPr>
              <w:t>银河金汇</w:t>
            </w:r>
            <w:r>
              <w:rPr>
                <w:rFonts w:ascii="Times New Roman" w:hAnsi="Times New Roman" w:cs="Times New Roman"/>
                <w:szCs w:val="21"/>
              </w:rPr>
              <w:t>，</w:t>
            </w:r>
            <w:r>
              <w:rPr>
                <w:rFonts w:hint="eastAsia" w:ascii="Times New Roman" w:hAnsi="Times New Roman" w:cs="Times New Roman"/>
                <w:szCs w:val="21"/>
              </w:rPr>
              <w:t>银华基金</w:t>
            </w:r>
            <w:r>
              <w:rPr>
                <w:rFonts w:ascii="Times New Roman" w:hAnsi="Times New Roman" w:cs="Times New Roman"/>
                <w:szCs w:val="21"/>
              </w:rPr>
              <w:t>，</w:t>
            </w:r>
            <w:r>
              <w:rPr>
                <w:rFonts w:hint="eastAsia" w:ascii="Times New Roman" w:hAnsi="Times New Roman" w:cs="Times New Roman"/>
                <w:szCs w:val="21"/>
              </w:rPr>
              <w:t>英大基金</w:t>
            </w:r>
            <w:r>
              <w:rPr>
                <w:rFonts w:ascii="Times New Roman" w:hAnsi="Times New Roman" w:cs="Times New Roman"/>
                <w:szCs w:val="21"/>
              </w:rPr>
              <w:t>，</w:t>
            </w:r>
            <w:r>
              <w:rPr>
                <w:rFonts w:hint="eastAsia" w:ascii="Times New Roman" w:hAnsi="Times New Roman" w:cs="Times New Roman"/>
                <w:szCs w:val="21"/>
              </w:rPr>
              <w:t>盈米基金</w:t>
            </w:r>
            <w:r>
              <w:rPr>
                <w:rFonts w:ascii="Times New Roman" w:hAnsi="Times New Roman" w:cs="Times New Roman"/>
                <w:szCs w:val="21"/>
              </w:rPr>
              <w:t>，</w:t>
            </w:r>
            <w:r>
              <w:rPr>
                <w:rFonts w:hint="eastAsia" w:ascii="Times New Roman" w:hAnsi="Times New Roman" w:cs="Times New Roman"/>
                <w:szCs w:val="21"/>
              </w:rPr>
              <w:t>永赢基金</w:t>
            </w:r>
            <w:r>
              <w:rPr>
                <w:rFonts w:ascii="Times New Roman" w:hAnsi="Times New Roman" w:cs="Times New Roman"/>
                <w:szCs w:val="21"/>
              </w:rPr>
              <w:t>，</w:t>
            </w:r>
            <w:r>
              <w:rPr>
                <w:rFonts w:hint="eastAsia" w:ascii="Times New Roman" w:hAnsi="Times New Roman" w:cs="Times New Roman"/>
                <w:szCs w:val="21"/>
              </w:rPr>
              <w:t>甬兴证券</w:t>
            </w:r>
            <w:r>
              <w:rPr>
                <w:rFonts w:ascii="Times New Roman" w:hAnsi="Times New Roman" w:cs="Times New Roman"/>
                <w:szCs w:val="21"/>
              </w:rPr>
              <w:t>，</w:t>
            </w:r>
            <w:r>
              <w:rPr>
                <w:rFonts w:hint="eastAsia" w:ascii="Times New Roman" w:hAnsi="Times New Roman" w:cs="Times New Roman"/>
                <w:szCs w:val="21"/>
              </w:rPr>
              <w:t>友邦保险</w:t>
            </w:r>
            <w:r>
              <w:rPr>
                <w:rFonts w:ascii="Times New Roman" w:hAnsi="Times New Roman" w:cs="Times New Roman"/>
                <w:szCs w:val="21"/>
              </w:rPr>
              <w:t>，</w:t>
            </w:r>
            <w:r>
              <w:rPr>
                <w:rFonts w:hint="eastAsia" w:ascii="Times New Roman" w:hAnsi="Times New Roman" w:cs="Times New Roman"/>
                <w:szCs w:val="21"/>
              </w:rPr>
              <w:t>圆方资管</w:t>
            </w:r>
            <w:r>
              <w:rPr>
                <w:rFonts w:ascii="Times New Roman" w:hAnsi="Times New Roman" w:cs="Times New Roman"/>
                <w:szCs w:val="21"/>
              </w:rPr>
              <w:t>，</w:t>
            </w:r>
            <w:r>
              <w:rPr>
                <w:rFonts w:hint="eastAsia" w:ascii="Times New Roman" w:hAnsi="Times New Roman" w:cs="Times New Roman"/>
                <w:szCs w:val="21"/>
              </w:rPr>
              <w:t>圆信永丰基金</w:t>
            </w:r>
            <w:r>
              <w:rPr>
                <w:rFonts w:ascii="Times New Roman" w:hAnsi="Times New Roman" w:cs="Times New Roman"/>
                <w:szCs w:val="21"/>
              </w:rPr>
              <w:t>，</w:t>
            </w:r>
            <w:r>
              <w:rPr>
                <w:rFonts w:hint="eastAsia" w:ascii="Times New Roman" w:hAnsi="Times New Roman" w:cs="Times New Roman"/>
                <w:szCs w:val="21"/>
              </w:rPr>
              <w:t>云富投资</w:t>
            </w:r>
            <w:r>
              <w:rPr>
                <w:rFonts w:ascii="Times New Roman" w:hAnsi="Times New Roman" w:cs="Times New Roman"/>
                <w:szCs w:val="21"/>
              </w:rPr>
              <w:t>，</w:t>
            </w:r>
            <w:r>
              <w:rPr>
                <w:rFonts w:hint="eastAsia" w:ascii="Times New Roman" w:hAnsi="Times New Roman" w:cs="Times New Roman"/>
                <w:szCs w:val="21"/>
              </w:rPr>
              <w:t>长安基金</w:t>
            </w:r>
            <w:r>
              <w:rPr>
                <w:rFonts w:ascii="Times New Roman" w:hAnsi="Times New Roman" w:cs="Times New Roman"/>
                <w:szCs w:val="21"/>
              </w:rPr>
              <w:t>，</w:t>
            </w:r>
            <w:r>
              <w:rPr>
                <w:rFonts w:hint="eastAsia" w:ascii="Times New Roman" w:hAnsi="Times New Roman" w:cs="Times New Roman"/>
                <w:szCs w:val="21"/>
              </w:rPr>
              <w:t>长城财富资管</w:t>
            </w:r>
            <w:r>
              <w:rPr>
                <w:rFonts w:ascii="Times New Roman" w:hAnsi="Times New Roman" w:cs="Times New Roman"/>
                <w:szCs w:val="21"/>
              </w:rPr>
              <w:t>，</w:t>
            </w:r>
            <w:r>
              <w:rPr>
                <w:rFonts w:hint="eastAsia" w:ascii="Times New Roman" w:hAnsi="Times New Roman" w:cs="Times New Roman"/>
                <w:szCs w:val="21"/>
              </w:rPr>
              <w:t>长城证券</w:t>
            </w:r>
            <w:r>
              <w:rPr>
                <w:rFonts w:ascii="Times New Roman" w:hAnsi="Times New Roman" w:cs="Times New Roman"/>
                <w:szCs w:val="21"/>
              </w:rPr>
              <w:t>，</w:t>
            </w:r>
            <w:r>
              <w:rPr>
                <w:rFonts w:hint="eastAsia" w:ascii="Times New Roman" w:hAnsi="Times New Roman" w:cs="Times New Roman"/>
                <w:szCs w:val="21"/>
              </w:rPr>
              <w:t>长江证券</w:t>
            </w:r>
            <w:r>
              <w:rPr>
                <w:rFonts w:ascii="Times New Roman" w:hAnsi="Times New Roman" w:cs="Times New Roman"/>
                <w:szCs w:val="21"/>
              </w:rPr>
              <w:t>(</w:t>
            </w:r>
            <w:r>
              <w:rPr>
                <w:rFonts w:hint="eastAsia" w:ascii="Times New Roman" w:hAnsi="Times New Roman" w:cs="Times New Roman"/>
                <w:szCs w:val="21"/>
              </w:rPr>
              <w:t>上海</w:t>
            </w:r>
            <w:r>
              <w:rPr>
                <w:rFonts w:ascii="Times New Roman" w:hAnsi="Times New Roman" w:cs="Times New Roman"/>
                <w:szCs w:val="21"/>
              </w:rPr>
              <w:t>)，</w:t>
            </w:r>
            <w:r>
              <w:rPr>
                <w:rFonts w:hint="eastAsia" w:ascii="Times New Roman" w:hAnsi="Times New Roman" w:cs="Times New Roman"/>
                <w:szCs w:val="21"/>
              </w:rPr>
              <w:t>长盛基金</w:t>
            </w:r>
            <w:r>
              <w:rPr>
                <w:rFonts w:ascii="Times New Roman" w:hAnsi="Times New Roman" w:cs="Times New Roman"/>
                <w:szCs w:val="21"/>
              </w:rPr>
              <w:t>，</w:t>
            </w:r>
            <w:r>
              <w:rPr>
                <w:rFonts w:hint="eastAsia" w:ascii="Times New Roman" w:hAnsi="Times New Roman" w:cs="Times New Roman"/>
                <w:szCs w:val="21"/>
              </w:rPr>
              <w:t>长信基金</w:t>
            </w:r>
            <w:r>
              <w:rPr>
                <w:rFonts w:ascii="Times New Roman" w:hAnsi="Times New Roman" w:cs="Times New Roman"/>
                <w:szCs w:val="21"/>
              </w:rPr>
              <w:t>，</w:t>
            </w:r>
            <w:r>
              <w:rPr>
                <w:rFonts w:hint="eastAsia" w:ascii="Times New Roman" w:hAnsi="Times New Roman" w:cs="Times New Roman"/>
                <w:szCs w:val="21"/>
              </w:rPr>
              <w:t>招商基金</w:t>
            </w:r>
            <w:r>
              <w:rPr>
                <w:rFonts w:ascii="Times New Roman" w:hAnsi="Times New Roman" w:cs="Times New Roman"/>
                <w:szCs w:val="21"/>
              </w:rPr>
              <w:t>，</w:t>
            </w:r>
            <w:r>
              <w:rPr>
                <w:rFonts w:hint="eastAsia" w:ascii="Times New Roman" w:hAnsi="Times New Roman" w:cs="Times New Roman"/>
                <w:szCs w:val="21"/>
              </w:rPr>
              <w:t>招商证券</w:t>
            </w:r>
            <w:r>
              <w:rPr>
                <w:rFonts w:ascii="Times New Roman" w:hAnsi="Times New Roman" w:cs="Times New Roman"/>
                <w:szCs w:val="21"/>
              </w:rPr>
              <w:t>，</w:t>
            </w:r>
            <w:r>
              <w:rPr>
                <w:rFonts w:hint="eastAsia" w:ascii="Times New Roman" w:hAnsi="Times New Roman" w:cs="Times New Roman"/>
                <w:szCs w:val="21"/>
              </w:rPr>
              <w:t>招商信诺资管</w:t>
            </w:r>
            <w:r>
              <w:rPr>
                <w:rFonts w:ascii="Times New Roman" w:hAnsi="Times New Roman" w:cs="Times New Roman"/>
                <w:szCs w:val="21"/>
              </w:rPr>
              <w:t>，</w:t>
            </w:r>
            <w:r>
              <w:rPr>
                <w:rFonts w:hint="eastAsia" w:ascii="Times New Roman" w:hAnsi="Times New Roman" w:cs="Times New Roman"/>
                <w:szCs w:val="21"/>
              </w:rPr>
              <w:t>招银国际</w:t>
            </w:r>
            <w:r>
              <w:rPr>
                <w:rFonts w:ascii="Times New Roman" w:hAnsi="Times New Roman" w:cs="Times New Roman"/>
                <w:szCs w:val="21"/>
              </w:rPr>
              <w:t>，</w:t>
            </w:r>
            <w:r>
              <w:rPr>
                <w:rFonts w:hint="eastAsia" w:ascii="Times New Roman" w:hAnsi="Times New Roman" w:cs="Times New Roman"/>
                <w:szCs w:val="21"/>
              </w:rPr>
              <w:t>浙商证券</w:t>
            </w:r>
            <w:r>
              <w:rPr>
                <w:rFonts w:ascii="Times New Roman" w:hAnsi="Times New Roman" w:cs="Times New Roman"/>
                <w:szCs w:val="21"/>
              </w:rPr>
              <w:t>，</w:t>
            </w:r>
            <w:r>
              <w:rPr>
                <w:rFonts w:hint="eastAsia" w:ascii="Times New Roman" w:hAnsi="Times New Roman" w:cs="Times New Roman"/>
                <w:szCs w:val="21"/>
              </w:rPr>
              <w:t>正心谷资本</w:t>
            </w:r>
            <w:r>
              <w:rPr>
                <w:rFonts w:ascii="Times New Roman" w:hAnsi="Times New Roman" w:cs="Times New Roman"/>
                <w:szCs w:val="21"/>
              </w:rPr>
              <w:t>，</w:t>
            </w:r>
            <w:r>
              <w:rPr>
                <w:rFonts w:hint="eastAsia" w:ascii="Times New Roman" w:hAnsi="Times New Roman" w:cs="Times New Roman"/>
                <w:szCs w:val="21"/>
              </w:rPr>
              <w:t>正圆私募基金</w:t>
            </w:r>
            <w:r>
              <w:rPr>
                <w:rFonts w:ascii="Times New Roman" w:hAnsi="Times New Roman" w:cs="Times New Roman"/>
                <w:szCs w:val="21"/>
              </w:rPr>
              <w:t>，</w:t>
            </w:r>
            <w:r>
              <w:rPr>
                <w:rFonts w:hint="eastAsia" w:ascii="Times New Roman" w:hAnsi="Times New Roman" w:cs="Times New Roman"/>
                <w:szCs w:val="21"/>
              </w:rPr>
              <w:t>中诚信托</w:t>
            </w:r>
            <w:r>
              <w:rPr>
                <w:rFonts w:ascii="Times New Roman" w:hAnsi="Times New Roman" w:cs="Times New Roman"/>
                <w:szCs w:val="21"/>
              </w:rPr>
              <w:t>，</w:t>
            </w:r>
            <w:r>
              <w:rPr>
                <w:rFonts w:hint="eastAsia" w:ascii="Times New Roman" w:hAnsi="Times New Roman" w:cs="Times New Roman"/>
                <w:szCs w:val="21"/>
              </w:rPr>
              <w:t>中庚基金</w:t>
            </w:r>
            <w:r>
              <w:rPr>
                <w:rFonts w:ascii="Times New Roman" w:hAnsi="Times New Roman" w:cs="Times New Roman"/>
                <w:szCs w:val="21"/>
              </w:rPr>
              <w:t>，</w:t>
            </w:r>
            <w:r>
              <w:rPr>
                <w:rFonts w:hint="eastAsia" w:ascii="Times New Roman" w:hAnsi="Times New Roman" w:cs="Times New Roman"/>
                <w:szCs w:val="21"/>
              </w:rPr>
              <w:t>中国平安</w:t>
            </w:r>
            <w:r>
              <w:rPr>
                <w:rFonts w:ascii="Times New Roman" w:hAnsi="Times New Roman" w:cs="Times New Roman"/>
                <w:szCs w:val="21"/>
              </w:rPr>
              <w:t>，</w:t>
            </w:r>
            <w:r>
              <w:rPr>
                <w:rFonts w:hint="eastAsia" w:ascii="Times New Roman" w:hAnsi="Times New Roman" w:cs="Times New Roman"/>
                <w:szCs w:val="21"/>
              </w:rPr>
              <w:t>中国银河证券</w:t>
            </w:r>
            <w:r>
              <w:rPr>
                <w:rFonts w:ascii="Times New Roman" w:hAnsi="Times New Roman" w:cs="Times New Roman"/>
                <w:szCs w:val="21"/>
              </w:rPr>
              <w:t>，</w:t>
            </w:r>
            <w:r>
              <w:rPr>
                <w:rFonts w:hint="eastAsia" w:ascii="Times New Roman" w:hAnsi="Times New Roman" w:cs="Times New Roman"/>
                <w:szCs w:val="21"/>
              </w:rPr>
              <w:t>中航基金</w:t>
            </w:r>
            <w:r>
              <w:rPr>
                <w:rFonts w:ascii="Times New Roman" w:hAnsi="Times New Roman" w:cs="Times New Roman"/>
                <w:szCs w:val="21"/>
              </w:rPr>
              <w:t>，</w:t>
            </w:r>
            <w:r>
              <w:rPr>
                <w:rFonts w:hint="eastAsia" w:ascii="Times New Roman" w:hAnsi="Times New Roman" w:cs="Times New Roman"/>
                <w:szCs w:val="21"/>
              </w:rPr>
              <w:t>中航信托</w:t>
            </w:r>
            <w:r>
              <w:rPr>
                <w:rFonts w:ascii="Times New Roman" w:hAnsi="Times New Roman" w:cs="Times New Roman"/>
                <w:szCs w:val="21"/>
              </w:rPr>
              <w:t>，</w:t>
            </w:r>
            <w:r>
              <w:rPr>
                <w:rFonts w:hint="eastAsia" w:ascii="Times New Roman" w:hAnsi="Times New Roman" w:cs="Times New Roman"/>
                <w:szCs w:val="21"/>
              </w:rPr>
              <w:t>中航证券</w:t>
            </w:r>
            <w:r>
              <w:rPr>
                <w:rFonts w:ascii="Times New Roman" w:hAnsi="Times New Roman" w:cs="Times New Roman"/>
                <w:szCs w:val="21"/>
              </w:rPr>
              <w:t>，</w:t>
            </w:r>
            <w:r>
              <w:rPr>
                <w:rFonts w:hint="eastAsia" w:ascii="Times New Roman" w:hAnsi="Times New Roman" w:cs="Times New Roman"/>
                <w:szCs w:val="21"/>
              </w:rPr>
              <w:t>中金财富</w:t>
            </w:r>
            <w:r>
              <w:rPr>
                <w:rFonts w:ascii="Times New Roman" w:hAnsi="Times New Roman" w:cs="Times New Roman"/>
                <w:szCs w:val="21"/>
              </w:rPr>
              <w:t>，</w:t>
            </w:r>
            <w:r>
              <w:rPr>
                <w:rFonts w:hint="eastAsia" w:ascii="Times New Roman" w:hAnsi="Times New Roman" w:cs="Times New Roman"/>
                <w:szCs w:val="21"/>
              </w:rPr>
              <w:t>中金公司</w:t>
            </w:r>
            <w:r>
              <w:rPr>
                <w:rFonts w:ascii="Times New Roman" w:hAnsi="Times New Roman" w:cs="Times New Roman"/>
                <w:szCs w:val="21"/>
              </w:rPr>
              <w:t>，</w:t>
            </w:r>
            <w:r>
              <w:rPr>
                <w:rFonts w:hint="eastAsia" w:ascii="Times New Roman" w:hAnsi="Times New Roman" w:cs="Times New Roman"/>
                <w:szCs w:val="21"/>
              </w:rPr>
              <w:t>中欧基金</w:t>
            </w:r>
            <w:r>
              <w:rPr>
                <w:rFonts w:ascii="Times New Roman" w:hAnsi="Times New Roman" w:cs="Times New Roman"/>
                <w:szCs w:val="21"/>
              </w:rPr>
              <w:t>，</w:t>
            </w:r>
            <w:r>
              <w:rPr>
                <w:rFonts w:hint="eastAsia" w:ascii="Times New Roman" w:hAnsi="Times New Roman" w:cs="Times New Roman"/>
                <w:szCs w:val="21"/>
              </w:rPr>
              <w:t>中信保诚基金</w:t>
            </w:r>
            <w:r>
              <w:rPr>
                <w:rFonts w:ascii="Times New Roman" w:hAnsi="Times New Roman" w:cs="Times New Roman"/>
                <w:szCs w:val="21"/>
              </w:rPr>
              <w:t>，</w:t>
            </w:r>
            <w:r>
              <w:rPr>
                <w:rFonts w:hint="eastAsia" w:ascii="Times New Roman" w:hAnsi="Times New Roman" w:cs="Times New Roman"/>
                <w:szCs w:val="21"/>
              </w:rPr>
              <w:t>中信建投证券</w:t>
            </w:r>
            <w:r>
              <w:rPr>
                <w:rFonts w:ascii="Times New Roman" w:hAnsi="Times New Roman" w:cs="Times New Roman"/>
                <w:szCs w:val="21"/>
              </w:rPr>
              <w:t>，</w:t>
            </w:r>
            <w:r>
              <w:rPr>
                <w:rFonts w:hint="eastAsia" w:ascii="Times New Roman" w:hAnsi="Times New Roman" w:cs="Times New Roman"/>
                <w:szCs w:val="21"/>
              </w:rPr>
              <w:t>中信期货</w:t>
            </w:r>
            <w:r>
              <w:rPr>
                <w:rFonts w:ascii="Times New Roman" w:hAnsi="Times New Roman" w:cs="Times New Roman"/>
                <w:szCs w:val="21"/>
              </w:rPr>
              <w:t>，</w:t>
            </w:r>
            <w:r>
              <w:rPr>
                <w:rFonts w:hint="eastAsia" w:ascii="Times New Roman" w:hAnsi="Times New Roman" w:cs="Times New Roman"/>
                <w:szCs w:val="21"/>
              </w:rPr>
              <w:t>中信证券</w:t>
            </w:r>
            <w:r>
              <w:rPr>
                <w:rFonts w:ascii="Times New Roman" w:hAnsi="Times New Roman" w:cs="Times New Roman"/>
                <w:szCs w:val="21"/>
              </w:rPr>
              <w:t>，</w:t>
            </w:r>
            <w:r>
              <w:rPr>
                <w:rFonts w:hint="eastAsia" w:ascii="Times New Roman" w:hAnsi="Times New Roman" w:cs="Times New Roman"/>
                <w:szCs w:val="21"/>
              </w:rPr>
              <w:t>中银国际证券</w:t>
            </w:r>
            <w:r>
              <w:rPr>
                <w:rFonts w:ascii="Times New Roman" w:hAnsi="Times New Roman" w:cs="Times New Roman"/>
                <w:szCs w:val="21"/>
              </w:rPr>
              <w:t>，</w:t>
            </w:r>
            <w:r>
              <w:rPr>
                <w:rFonts w:hint="eastAsia" w:ascii="Times New Roman" w:hAnsi="Times New Roman" w:cs="Times New Roman"/>
                <w:szCs w:val="21"/>
              </w:rPr>
              <w:t>中邮创业基金</w:t>
            </w:r>
            <w:r>
              <w:rPr>
                <w:rFonts w:ascii="Times New Roman" w:hAnsi="Times New Roman" w:cs="Times New Roman"/>
                <w:szCs w:val="21"/>
              </w:rPr>
              <w:t>，</w:t>
            </w:r>
            <w:r>
              <w:rPr>
                <w:rFonts w:hint="eastAsia" w:ascii="Times New Roman" w:hAnsi="Times New Roman" w:cs="Times New Roman"/>
                <w:szCs w:val="21"/>
              </w:rPr>
              <w:t>中植基金</w:t>
            </w:r>
            <w:r>
              <w:rPr>
                <w:rFonts w:ascii="Times New Roman" w:hAnsi="Times New Roman" w:cs="Times New Roman"/>
                <w:szCs w:val="21"/>
              </w:rPr>
              <w:t>，</w:t>
            </w:r>
            <w:r>
              <w:rPr>
                <w:rFonts w:hint="eastAsia" w:ascii="Times New Roman" w:hAnsi="Times New Roman" w:cs="Times New Roman"/>
                <w:szCs w:val="21"/>
              </w:rPr>
              <w:t>中泰证券</w:t>
            </w:r>
            <w:r>
              <w:rPr>
                <w:rFonts w:ascii="Times New Roman" w:hAnsi="Times New Roman" w:cs="Times New Roman"/>
                <w:szCs w:val="21"/>
              </w:rPr>
              <w:t>，</w:t>
            </w:r>
            <w:r>
              <w:rPr>
                <w:rFonts w:hint="eastAsia" w:ascii="Times New Roman" w:hAnsi="Times New Roman" w:cs="Times New Roman"/>
                <w:szCs w:val="21"/>
              </w:rPr>
              <w:t>中原证券</w:t>
            </w:r>
            <w:r>
              <w:rPr>
                <w:rFonts w:ascii="Times New Roman" w:hAnsi="Times New Roman" w:cs="Times New Roman"/>
                <w:szCs w:val="21"/>
              </w:rPr>
              <w:t>，</w:t>
            </w:r>
            <w:r>
              <w:rPr>
                <w:rFonts w:hint="eastAsia" w:ascii="Times New Roman" w:hAnsi="Times New Roman" w:cs="Times New Roman"/>
                <w:szCs w:val="21"/>
              </w:rPr>
              <w:t>朱雀基金</w:t>
            </w:r>
            <w:r>
              <w:rPr>
                <w:rFonts w:ascii="Times New Roman" w:hAnsi="Times New Roman" w:cs="Times New Roman"/>
                <w:szCs w:val="21"/>
              </w:rPr>
              <w:t>，</w:t>
            </w:r>
            <w:r>
              <w:rPr>
                <w:rFonts w:hint="eastAsia" w:ascii="Times New Roman" w:hAnsi="Times New Roman" w:cs="Times New Roman"/>
                <w:szCs w:val="21"/>
              </w:rPr>
              <w:t>珠海盈米基金</w:t>
            </w:r>
            <w:r>
              <w:rPr>
                <w:rFonts w:ascii="Times New Roman" w:hAnsi="Times New Roman" w:cs="Times New Roman"/>
                <w:szCs w:val="21"/>
              </w:rPr>
              <w:t>，Asset Management One, Artisan Partners Asset Management, Balyasny Asset Management, Bank of America, Bank of China International, Blue Pool Capital, Brilliance Asset Management, Brighter Investment Management Co, Ltd, CICC, Coalescence Partners, Daiwa Capital Markets Hong Kong Limited, DBS Vickers, Entrust Pacific, Everbright PGIM, Goldman Sachs (Asia) L.L.C., Hao Capital, Goldman Sachs (Asia) L.L.C., Harvest Fund, IGWT Investment, Invesco, J.P. Morgan Asset Management, Janus Henderson Investors, Keywise Capital, Macquarie Capital, MFS International Singapore Pte Ltd, Millennium Capital Management (Hong Kong) Limited, Morgan Stanley, Nomura International,Point72 Hong Kong, Schroders, Schroder Investment Management (Hong Kong), StillPoint Investment, Sumitomo Mitsui DS Asset Management, UG Investment Advises LTD, Value Partners, Wells Fargo Securities, Wellington Management, Zhongrong International Trust</w:t>
            </w:r>
            <w:r>
              <w:rPr>
                <w:rFonts w:hint="eastAsia" w:ascii="Times New Roman" w:hAnsi="Times New Roman" w:cs="Times New Roman"/>
                <w:szCs w:val="21"/>
              </w:rPr>
              <w:t>等</w:t>
            </w:r>
            <w:r>
              <w:rPr>
                <w:rFonts w:ascii="Times New Roman" w:hAnsi="Times New Roman" w:cs="Times New Roman"/>
                <w:szCs w:val="21"/>
              </w:rPr>
              <w:t>400</w:t>
            </w:r>
            <w:r>
              <w:rPr>
                <w:rFonts w:hint="eastAsia" w:ascii="Times New Roman" w:hAnsi="Times New Roman" w:cs="Times New Roman"/>
                <w:szCs w:val="21"/>
              </w:rPr>
              <w:t>余家机构。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公司接待人员</w:t>
            </w:r>
          </w:p>
        </w:tc>
        <w:tc>
          <w:tcPr>
            <w:tcW w:w="7234" w:type="dxa"/>
            <w:vAlign w:val="center"/>
          </w:tcPr>
          <w:p>
            <w:pPr>
              <w:spacing w:line="360" w:lineRule="auto"/>
              <w:rPr>
                <w:rFonts w:ascii="Times New Roman" w:hAnsi="Times New Roman" w:cs="Times New Roman"/>
                <w:szCs w:val="21"/>
              </w:rPr>
            </w:pPr>
            <w:r>
              <w:rPr>
                <w:rFonts w:hint="eastAsia" w:ascii="Times New Roman" w:hAnsi="Times New Roman" w:cs="Times New Roman"/>
                <w:szCs w:val="21"/>
              </w:rPr>
              <w:t>董事长虞仁荣、</w:t>
            </w:r>
            <w:r>
              <w:rPr>
                <w:rFonts w:ascii="Times New Roman" w:hAnsi="Times New Roman" w:cs="Times New Roman"/>
                <w:szCs w:val="21"/>
              </w:rPr>
              <w:t>总经理王</w:t>
            </w:r>
            <w:r>
              <w:rPr>
                <w:rFonts w:hint="eastAsia" w:ascii="Times New Roman" w:hAnsi="Times New Roman" w:cs="Times New Roman"/>
                <w:szCs w:val="21"/>
              </w:rPr>
              <w:t>崧、董事</w:t>
            </w:r>
            <w:r>
              <w:rPr>
                <w:rFonts w:ascii="Times New Roman" w:hAnsi="Times New Roman" w:cs="Times New Roman"/>
                <w:szCs w:val="21"/>
              </w:rPr>
              <w:t>/</w:t>
            </w:r>
            <w:r>
              <w:rPr>
                <w:rFonts w:hint="eastAsia" w:ascii="Times New Roman" w:hAnsi="Times New Roman" w:cs="Times New Roman"/>
                <w:szCs w:val="21"/>
              </w:rPr>
              <w:t>全球业务高级副总裁</w:t>
            </w:r>
            <w:r>
              <w:rPr>
                <w:rFonts w:ascii="Times New Roman" w:hAnsi="Times New Roman" w:cs="Times New Roman"/>
                <w:szCs w:val="21"/>
              </w:rPr>
              <w:t>吴晓东</w:t>
            </w:r>
            <w:r>
              <w:rPr>
                <w:rFonts w:hint="eastAsia" w:ascii="Times New Roman" w:hAnsi="Times New Roman" w:cs="Times New Roman"/>
                <w:szCs w:val="21"/>
              </w:rPr>
              <w:t>、</w:t>
            </w:r>
            <w:r>
              <w:rPr>
                <w:rFonts w:ascii="Times New Roman" w:hAnsi="Times New Roman" w:cs="Times New Roman"/>
                <w:szCs w:val="21"/>
              </w:rPr>
              <w:t>董事/</w:t>
            </w:r>
            <w:r>
              <w:rPr>
                <w:rFonts w:hint="eastAsia" w:ascii="Times New Roman" w:hAnsi="Times New Roman" w:cs="Times New Roman"/>
                <w:szCs w:val="21"/>
              </w:rPr>
              <w:t>财务总监</w:t>
            </w:r>
            <w:r>
              <w:rPr>
                <w:rFonts w:ascii="Times New Roman" w:hAnsi="Times New Roman" w:cs="Times New Roman"/>
                <w:szCs w:val="21"/>
              </w:rPr>
              <w:t>/</w:t>
            </w:r>
            <w:r>
              <w:rPr>
                <w:rFonts w:hint="eastAsia" w:ascii="Times New Roman" w:hAnsi="Times New Roman" w:cs="Times New Roman"/>
                <w:szCs w:val="21"/>
              </w:rPr>
              <w:t>副总经理</w:t>
            </w:r>
            <w:r>
              <w:rPr>
                <w:rFonts w:ascii="Times New Roman" w:hAnsi="Times New Roman" w:cs="Times New Roman"/>
                <w:szCs w:val="21"/>
              </w:rPr>
              <w:t>贾渊</w:t>
            </w:r>
            <w:r>
              <w:rPr>
                <w:rFonts w:hint="eastAsia" w:ascii="Times New Roman" w:hAnsi="Times New Roman" w:cs="Times New Roman"/>
                <w:szCs w:val="21"/>
              </w:rPr>
              <w:t>、董事会秘书任冰、中国区财务总监徐兴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时间</w:t>
            </w:r>
          </w:p>
        </w:tc>
        <w:tc>
          <w:tcPr>
            <w:tcW w:w="7234" w:type="dxa"/>
            <w:vAlign w:val="center"/>
          </w:tcPr>
          <w:p>
            <w:pPr>
              <w:spacing w:line="360" w:lineRule="auto"/>
              <w:rPr>
                <w:rFonts w:ascii="Times New Roman" w:hAnsi="Times New Roman" w:cs="Times New Roman"/>
                <w:szCs w:val="21"/>
              </w:rPr>
            </w:pPr>
            <w:r>
              <w:rPr>
                <w:rFonts w:ascii="Times New Roman" w:hAnsi="Times New Roman" w:cs="Times New Roman"/>
                <w:szCs w:val="21"/>
              </w:rPr>
              <w:t>2025</w:t>
            </w:r>
            <w:r>
              <w:rPr>
                <w:rFonts w:hint="eastAsia" w:ascii="Times New Roman" w:hAnsi="Times New Roman" w:cs="Times New Roman"/>
                <w:szCs w:val="21"/>
              </w:rPr>
              <w:t>年</w:t>
            </w:r>
            <w:r>
              <w:rPr>
                <w:rFonts w:ascii="Times New Roman" w:hAnsi="Times New Roman" w:cs="Times New Roman"/>
                <w:szCs w:val="21"/>
              </w:rPr>
              <w:t>4</w:t>
            </w:r>
            <w:r>
              <w:rPr>
                <w:rFonts w:hint="eastAsia" w:ascii="Times New Roman" w:hAnsi="Times New Roman" w:cs="Times New Roman"/>
                <w:szCs w:val="21"/>
              </w:rPr>
              <w:t>月</w:t>
            </w:r>
            <w:r>
              <w:rPr>
                <w:rFonts w:ascii="Times New Roman" w:hAnsi="Times New Roman" w:cs="Times New Roman"/>
                <w:szCs w:val="21"/>
              </w:rPr>
              <w:t>29</w:t>
            </w:r>
            <w:r>
              <w:rPr>
                <w:rFonts w:hint="eastAsia" w:ascii="Times New Roman" w:hAnsi="Times New Roman" w:cs="Times New Roman"/>
                <w:szCs w:val="21"/>
              </w:rPr>
              <w:t>日</w:t>
            </w:r>
            <w:r>
              <w:rPr>
                <w:rFonts w:ascii="Times New Roman" w:hAnsi="Times New Roman" w:cs="Times New Roman"/>
                <w:szCs w:val="21"/>
              </w:rPr>
              <w:t xml:space="preserve"> 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jc w:val="center"/>
              <w:rPr>
                <w:rFonts w:ascii="Times New Roman" w:hAnsi="Times New Roman" w:cs="Times New Roman"/>
                <w:b/>
                <w:szCs w:val="21"/>
              </w:rPr>
            </w:pPr>
            <w:r>
              <w:rPr>
                <w:rFonts w:hint="eastAsia" w:ascii="Times New Roman" w:hAnsi="Times New Roman" w:cs="Times New Roman"/>
                <w:b/>
                <w:szCs w:val="21"/>
              </w:rPr>
              <w:t>地点</w:t>
            </w:r>
          </w:p>
        </w:tc>
        <w:tc>
          <w:tcPr>
            <w:tcW w:w="7234" w:type="dxa"/>
            <w:vAlign w:val="center"/>
          </w:tcPr>
          <w:p>
            <w:pPr>
              <w:spacing w:line="360" w:lineRule="auto"/>
              <w:rPr>
                <w:rFonts w:ascii="Times New Roman" w:hAnsi="Times New Roman" w:cs="Times New Roman"/>
                <w:szCs w:val="21"/>
              </w:rPr>
            </w:pPr>
            <w:r>
              <w:rPr>
                <w:rFonts w:hint="eastAsia" w:ascii="Times New Roman" w:hAnsi="Times New Roman" w:cs="Times New Roman"/>
                <w:szCs w:val="21"/>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55" w:type="dxa"/>
            <w:vAlign w:val="center"/>
          </w:tcPr>
          <w:p>
            <w:pPr>
              <w:spacing w:line="360" w:lineRule="auto"/>
              <w:jc w:val="center"/>
              <w:rPr>
                <w:rFonts w:ascii="Times New Roman" w:hAnsi="Times New Roman" w:cs="Times New Roman"/>
                <w:b/>
                <w:szCs w:val="21"/>
              </w:rPr>
            </w:pPr>
            <w:r>
              <w:rPr>
                <w:rFonts w:hint="eastAsia" w:ascii="Times New Roman" w:hAnsi="Times New Roman" w:cs="Times New Roman"/>
                <w:b/>
                <w:szCs w:val="21"/>
              </w:rPr>
              <w:t>交流内容</w:t>
            </w:r>
          </w:p>
        </w:tc>
        <w:tc>
          <w:tcPr>
            <w:tcW w:w="7234" w:type="dxa"/>
          </w:tcPr>
          <w:p>
            <w:pPr>
              <w:tabs>
                <w:tab w:val="left" w:pos="720"/>
              </w:tabs>
              <w:spacing w:line="360" w:lineRule="auto"/>
              <w:rPr>
                <w:rFonts w:ascii="Times New Roman" w:hAnsi="Times New Roman" w:cs="Times New Roman"/>
                <w:b/>
                <w:bCs/>
                <w:szCs w:val="21"/>
              </w:rPr>
            </w:pPr>
            <w:r>
              <w:rPr>
                <w:rFonts w:ascii="Times New Roman" w:hAnsi="Times New Roman" w:cs="Times New Roman"/>
                <w:b/>
                <w:bCs/>
                <w:szCs w:val="21"/>
              </w:rPr>
              <w:t>2024</w:t>
            </w:r>
            <w:r>
              <w:rPr>
                <w:rFonts w:hint="eastAsia" w:ascii="Times New Roman" w:hAnsi="Times New Roman" w:cs="Times New Roman"/>
                <w:b/>
                <w:bCs/>
                <w:szCs w:val="21"/>
              </w:rPr>
              <w:t>年度经营情况介绍：</w:t>
            </w:r>
          </w:p>
          <w:p>
            <w:pPr>
              <w:tabs>
                <w:tab w:val="left" w:pos="720"/>
              </w:tabs>
              <w:spacing w:line="360" w:lineRule="auto"/>
              <w:ind w:firstLine="420" w:firstLineChars="200"/>
              <w:rPr>
                <w:rFonts w:ascii="Times New Roman" w:hAnsi="Times New Roman" w:cs="Times New Roman"/>
                <w:szCs w:val="21"/>
              </w:rPr>
            </w:pPr>
            <w:r>
              <w:rPr>
                <w:rFonts w:ascii="Times New Roman" w:hAnsi="Times New Roman" w:cs="Times New Roman"/>
                <w:szCs w:val="21"/>
              </w:rPr>
              <w:t>2024</w:t>
            </w:r>
            <w:r>
              <w:rPr>
                <w:rFonts w:hint="eastAsia" w:ascii="Times New Roman" w:hAnsi="Times New Roman" w:cs="Times New Roman"/>
                <w:szCs w:val="21"/>
              </w:rPr>
              <w:t>年度，公司主营业务收入为</w:t>
            </w:r>
            <w:r>
              <w:rPr>
                <w:rFonts w:ascii="Times New Roman" w:hAnsi="Times New Roman" w:cs="Times New Roman"/>
                <w:szCs w:val="21"/>
              </w:rPr>
              <w:t>256.70</w:t>
            </w:r>
            <w:r>
              <w:rPr>
                <w:rFonts w:hint="eastAsia" w:ascii="Times New Roman" w:hAnsi="Times New Roman" w:cs="Times New Roman"/>
                <w:szCs w:val="21"/>
              </w:rPr>
              <w:t>亿元，较</w:t>
            </w:r>
            <w:r>
              <w:rPr>
                <w:rFonts w:ascii="Times New Roman" w:hAnsi="Times New Roman" w:cs="Times New Roman"/>
                <w:szCs w:val="21"/>
              </w:rPr>
              <w:t>2023</w:t>
            </w:r>
            <w:r>
              <w:rPr>
                <w:rFonts w:hint="eastAsia" w:ascii="Times New Roman" w:hAnsi="Times New Roman" w:cs="Times New Roman"/>
                <w:szCs w:val="21"/>
              </w:rPr>
              <w:t>年增加</w:t>
            </w:r>
            <w:r>
              <w:rPr>
                <w:rFonts w:ascii="Times New Roman" w:hAnsi="Times New Roman" w:cs="Times New Roman"/>
                <w:szCs w:val="21"/>
              </w:rPr>
              <w:t>22.43%</w:t>
            </w:r>
            <w:r>
              <w:rPr>
                <w:rFonts w:hint="eastAsia" w:ascii="Times New Roman" w:hAnsi="Times New Roman" w:cs="Times New Roman"/>
                <w:szCs w:val="21"/>
              </w:rPr>
              <w:t>。其中半导体设计业务产品销售收入实现</w:t>
            </w:r>
            <w:r>
              <w:rPr>
                <w:rFonts w:ascii="Times New Roman" w:hAnsi="Times New Roman" w:cs="Times New Roman"/>
                <w:szCs w:val="21"/>
              </w:rPr>
              <w:t>216.40</w:t>
            </w:r>
            <w:r>
              <w:rPr>
                <w:rFonts w:hint="eastAsia" w:ascii="Times New Roman" w:hAnsi="Times New Roman" w:cs="Times New Roman"/>
                <w:szCs w:val="21"/>
              </w:rPr>
              <w:t>亿元，占主营业务收入的比例为</w:t>
            </w:r>
            <w:r>
              <w:rPr>
                <w:rFonts w:ascii="Times New Roman" w:hAnsi="Times New Roman" w:cs="Times New Roman"/>
                <w:szCs w:val="21"/>
              </w:rPr>
              <w:t>84.30%</w:t>
            </w:r>
            <w:r>
              <w:rPr>
                <w:rFonts w:hint="eastAsia" w:ascii="Times New Roman" w:hAnsi="Times New Roman" w:cs="Times New Roman"/>
                <w:szCs w:val="21"/>
              </w:rPr>
              <w:t>，较上年增加</w:t>
            </w:r>
            <w:r>
              <w:rPr>
                <w:rFonts w:ascii="Times New Roman" w:hAnsi="Times New Roman" w:cs="Times New Roman"/>
                <w:szCs w:val="21"/>
              </w:rPr>
              <w:t>20.62%</w:t>
            </w:r>
            <w:r>
              <w:rPr>
                <w:rFonts w:hint="eastAsia" w:ascii="Times New Roman" w:hAnsi="Times New Roman" w:cs="Times New Roman"/>
                <w:szCs w:val="21"/>
              </w:rPr>
              <w:t>；公司半导体代理销售业务实现收入</w:t>
            </w:r>
            <w:r>
              <w:rPr>
                <w:rFonts w:ascii="Times New Roman" w:hAnsi="Times New Roman" w:cs="Times New Roman"/>
                <w:szCs w:val="21"/>
              </w:rPr>
              <w:t>39.39</w:t>
            </w:r>
            <w:r>
              <w:rPr>
                <w:rFonts w:hint="eastAsia" w:ascii="Times New Roman" w:hAnsi="Times New Roman" w:cs="Times New Roman"/>
                <w:szCs w:val="21"/>
              </w:rPr>
              <w:t>亿元，占公司主营业务收入的</w:t>
            </w:r>
            <w:r>
              <w:rPr>
                <w:rFonts w:ascii="Times New Roman" w:hAnsi="Times New Roman" w:cs="Times New Roman"/>
                <w:szCs w:val="21"/>
              </w:rPr>
              <w:t>15.34%</w:t>
            </w:r>
            <w:r>
              <w:rPr>
                <w:rFonts w:hint="eastAsia" w:ascii="Times New Roman" w:hAnsi="Times New Roman" w:cs="Times New Roman"/>
                <w:szCs w:val="21"/>
              </w:rPr>
              <w:t>，较上年增加</w:t>
            </w:r>
            <w:r>
              <w:rPr>
                <w:rFonts w:ascii="Times New Roman" w:hAnsi="Times New Roman" w:cs="Times New Roman"/>
                <w:szCs w:val="21"/>
              </w:rPr>
              <w:t>32.62%</w:t>
            </w:r>
            <w:r>
              <w:rPr>
                <w:rFonts w:hint="eastAsia" w:ascii="Times New Roman" w:hAnsi="Times New Roman" w:cs="Times New Roman"/>
                <w:szCs w:val="21"/>
              </w:rPr>
              <w:t>。</w:t>
            </w:r>
          </w:p>
          <w:p>
            <w:pPr>
              <w:tabs>
                <w:tab w:val="left" w:pos="720"/>
              </w:tabs>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半导体设计业务中，营收占比最高的图像传感器解决方案</w:t>
            </w:r>
            <w:r>
              <w:rPr>
                <w:rFonts w:ascii="Times New Roman" w:hAnsi="Times New Roman" w:cs="Times New Roman"/>
                <w:szCs w:val="21"/>
              </w:rPr>
              <w:t>2024</w:t>
            </w:r>
            <w:r>
              <w:rPr>
                <w:rFonts w:hint="eastAsia" w:ascii="Times New Roman" w:hAnsi="Times New Roman" w:cs="Times New Roman"/>
                <w:szCs w:val="21"/>
              </w:rPr>
              <w:t>年实现营业收入</w:t>
            </w:r>
            <w:r>
              <w:rPr>
                <w:rFonts w:ascii="Times New Roman" w:hAnsi="Times New Roman" w:cs="Times New Roman"/>
                <w:szCs w:val="21"/>
              </w:rPr>
              <w:t>191.90</w:t>
            </w:r>
            <w:r>
              <w:rPr>
                <w:rFonts w:hint="eastAsia" w:ascii="Times New Roman" w:hAnsi="Times New Roman" w:cs="Times New Roman"/>
                <w:szCs w:val="21"/>
              </w:rPr>
              <w:t>亿元，占主营业务收入的比例约为</w:t>
            </w:r>
            <w:r>
              <w:rPr>
                <w:rFonts w:ascii="Times New Roman" w:hAnsi="Times New Roman" w:cs="Times New Roman"/>
                <w:szCs w:val="21"/>
              </w:rPr>
              <w:t>74.76%</w:t>
            </w:r>
            <w:r>
              <w:rPr>
                <w:rFonts w:hint="eastAsia" w:ascii="Times New Roman" w:hAnsi="Times New Roman" w:cs="Times New Roman"/>
                <w:szCs w:val="21"/>
              </w:rPr>
              <w:t>，较上年增加</w:t>
            </w:r>
            <w:r>
              <w:rPr>
                <w:rFonts w:ascii="Times New Roman" w:hAnsi="Times New Roman" w:cs="Times New Roman"/>
                <w:szCs w:val="21"/>
              </w:rPr>
              <w:t>23.52%</w:t>
            </w:r>
            <w:r>
              <w:rPr>
                <w:rFonts w:hint="eastAsia" w:ascii="Times New Roman" w:hAnsi="Times New Roman" w:cs="Times New Roman"/>
                <w:szCs w:val="21"/>
              </w:rPr>
              <w:t>；其中，公司图像传感器来自智能手机及汽车市场的营业收入增速明显，并贡献了图像传感器业务超</w:t>
            </w:r>
            <w:r>
              <w:rPr>
                <w:rFonts w:ascii="Times New Roman" w:hAnsi="Times New Roman" w:cs="Times New Roman"/>
                <w:szCs w:val="21"/>
              </w:rPr>
              <w:t>8</w:t>
            </w:r>
            <w:r>
              <w:rPr>
                <w:rFonts w:hint="eastAsia" w:ascii="Times New Roman" w:hAnsi="Times New Roman" w:cs="Times New Roman"/>
                <w:szCs w:val="21"/>
              </w:rPr>
              <w:t>成的收入规模，另外来自新兴市场</w:t>
            </w:r>
            <w:r>
              <w:rPr>
                <w:rFonts w:ascii="Times New Roman" w:hAnsi="Times New Roman" w:cs="Times New Roman"/>
                <w:szCs w:val="21"/>
              </w:rPr>
              <w:t>/</w:t>
            </w:r>
            <w:r>
              <w:rPr>
                <w:rFonts w:hint="eastAsia" w:ascii="Times New Roman" w:hAnsi="Times New Roman" w:cs="Times New Roman"/>
                <w:szCs w:val="21"/>
              </w:rPr>
              <w:t>物联网、医疗等应用市场的收入也实现了高速增长。</w:t>
            </w:r>
          </w:p>
          <w:p>
            <w:pPr>
              <w:tabs>
                <w:tab w:val="left" w:pos="720"/>
              </w:tabs>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公司模拟解决方案于</w:t>
            </w:r>
            <w:r>
              <w:rPr>
                <w:rFonts w:ascii="Times New Roman" w:hAnsi="Times New Roman" w:cs="Times New Roman"/>
                <w:szCs w:val="21"/>
              </w:rPr>
              <w:t>2024</w:t>
            </w:r>
            <w:r>
              <w:rPr>
                <w:rFonts w:hint="eastAsia" w:ascii="Times New Roman" w:hAnsi="Times New Roman" w:cs="Times New Roman"/>
                <w:szCs w:val="21"/>
              </w:rPr>
              <w:t>年度实现营业收入</w:t>
            </w:r>
            <w:r>
              <w:rPr>
                <w:rFonts w:ascii="Times New Roman" w:hAnsi="Times New Roman" w:cs="Times New Roman"/>
                <w:szCs w:val="21"/>
              </w:rPr>
              <w:t>14.22</w:t>
            </w:r>
            <w:r>
              <w:rPr>
                <w:rFonts w:hint="eastAsia" w:ascii="Times New Roman" w:hAnsi="Times New Roman" w:cs="Times New Roman"/>
                <w:szCs w:val="21"/>
              </w:rPr>
              <w:t>亿元，占主营业务收入的比例约</w:t>
            </w:r>
            <w:r>
              <w:rPr>
                <w:rFonts w:ascii="Times New Roman" w:hAnsi="Times New Roman" w:cs="Times New Roman"/>
                <w:szCs w:val="21"/>
              </w:rPr>
              <w:t>6%</w:t>
            </w:r>
            <w:r>
              <w:rPr>
                <w:rFonts w:hint="eastAsia" w:ascii="Times New Roman" w:hAnsi="Times New Roman" w:cs="Times New Roman"/>
                <w:szCs w:val="21"/>
              </w:rPr>
              <w:t>，较上年同期增加</w:t>
            </w:r>
            <w:r>
              <w:rPr>
                <w:rFonts w:ascii="Times New Roman" w:hAnsi="Times New Roman" w:cs="Times New Roman"/>
                <w:szCs w:val="21"/>
              </w:rPr>
              <w:t>23.18%</w:t>
            </w:r>
            <w:r>
              <w:rPr>
                <w:rFonts w:hint="eastAsia" w:ascii="Times New Roman" w:hAnsi="Times New Roman" w:cs="Times New Roman"/>
                <w:szCs w:val="21"/>
              </w:rPr>
              <w:t>。公司将继续推进在车用模拟芯片的产品布局，推进</w:t>
            </w:r>
            <w:r>
              <w:rPr>
                <w:rFonts w:ascii="Times New Roman" w:hAnsi="Times New Roman" w:cs="Times New Roman"/>
                <w:szCs w:val="21"/>
              </w:rPr>
              <w:t>CAN/LIN</w:t>
            </w:r>
            <w:r>
              <w:rPr>
                <w:rFonts w:hint="eastAsia" w:ascii="Times New Roman" w:hAnsi="Times New Roman" w:cs="Times New Roman"/>
                <w:szCs w:val="21"/>
              </w:rPr>
              <w:t>、</w:t>
            </w:r>
            <w:r>
              <w:rPr>
                <w:rFonts w:ascii="Times New Roman" w:hAnsi="Times New Roman" w:cs="Times New Roman"/>
                <w:szCs w:val="21"/>
              </w:rPr>
              <w:t>SerDes</w:t>
            </w:r>
            <w:r>
              <w:rPr>
                <w:rFonts w:hint="eastAsia" w:ascii="Times New Roman" w:hAnsi="Times New Roman" w:cs="Times New Roman"/>
                <w:szCs w:val="21"/>
              </w:rPr>
              <w:t>、</w:t>
            </w:r>
            <w:r>
              <w:rPr>
                <w:rFonts w:ascii="Times New Roman" w:hAnsi="Times New Roman" w:cs="Times New Roman"/>
                <w:szCs w:val="21"/>
              </w:rPr>
              <w:t>PMIC</w:t>
            </w:r>
            <w:r>
              <w:rPr>
                <w:rFonts w:hint="eastAsia" w:ascii="Times New Roman" w:hAnsi="Times New Roman" w:cs="Times New Roman"/>
                <w:szCs w:val="21"/>
              </w:rPr>
              <w:t>、</w:t>
            </w:r>
            <w:r>
              <w:rPr>
                <w:rFonts w:ascii="Times New Roman" w:hAnsi="Times New Roman" w:cs="Times New Roman"/>
                <w:szCs w:val="21"/>
              </w:rPr>
              <w:t>SBC</w:t>
            </w:r>
            <w:r>
              <w:rPr>
                <w:rFonts w:hint="eastAsia" w:ascii="Times New Roman" w:hAnsi="Times New Roman" w:cs="Times New Roman"/>
                <w:szCs w:val="21"/>
              </w:rPr>
              <w:t>等多产品的验证导入，为模拟解决方案的成长贡献新的增长点，车用模拟</w:t>
            </w:r>
            <w:r>
              <w:rPr>
                <w:rFonts w:ascii="Times New Roman" w:hAnsi="Times New Roman" w:cs="Times New Roman"/>
                <w:szCs w:val="21"/>
              </w:rPr>
              <w:t>IC</w:t>
            </w:r>
            <w:r>
              <w:rPr>
                <w:rFonts w:hint="eastAsia" w:ascii="Times New Roman" w:hAnsi="Times New Roman" w:cs="Times New Roman"/>
                <w:szCs w:val="21"/>
              </w:rPr>
              <w:t>较上年同比增加</w:t>
            </w:r>
            <w:r>
              <w:rPr>
                <w:rFonts w:ascii="Times New Roman" w:hAnsi="Times New Roman" w:cs="Times New Roman"/>
                <w:szCs w:val="21"/>
              </w:rPr>
              <w:t>37.03%</w:t>
            </w:r>
            <w:r>
              <w:rPr>
                <w:rFonts w:hint="eastAsia" w:ascii="Times New Roman" w:hAnsi="Times New Roman" w:cs="Times New Roman"/>
                <w:szCs w:val="21"/>
              </w:rPr>
              <w:t>。</w:t>
            </w:r>
          </w:p>
          <w:p>
            <w:pPr>
              <w:tabs>
                <w:tab w:val="left" w:pos="720"/>
              </w:tabs>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公司显示解决方案于</w:t>
            </w:r>
            <w:r>
              <w:rPr>
                <w:rFonts w:ascii="Times New Roman" w:hAnsi="Times New Roman" w:cs="Times New Roman"/>
                <w:szCs w:val="21"/>
              </w:rPr>
              <w:t>2024</w:t>
            </w:r>
            <w:r>
              <w:rPr>
                <w:rFonts w:hint="eastAsia" w:ascii="Times New Roman" w:hAnsi="Times New Roman" w:cs="Times New Roman"/>
                <w:szCs w:val="21"/>
              </w:rPr>
              <w:t>年度实现营业收入</w:t>
            </w:r>
            <w:r>
              <w:rPr>
                <w:rFonts w:ascii="Times New Roman" w:hAnsi="Times New Roman" w:cs="Times New Roman"/>
                <w:szCs w:val="21"/>
              </w:rPr>
              <w:t>10.28</w:t>
            </w:r>
            <w:r>
              <w:rPr>
                <w:rFonts w:hint="eastAsia" w:ascii="Times New Roman" w:hAnsi="Times New Roman" w:cs="Times New Roman"/>
                <w:szCs w:val="21"/>
              </w:rPr>
              <w:t>亿元，占主营业务收入的比例为约</w:t>
            </w:r>
            <w:r>
              <w:rPr>
                <w:rFonts w:ascii="Times New Roman" w:hAnsi="Times New Roman" w:cs="Times New Roman"/>
                <w:szCs w:val="21"/>
              </w:rPr>
              <w:t>4%</w:t>
            </w:r>
            <w:r>
              <w:rPr>
                <w:rFonts w:hint="eastAsia" w:ascii="Times New Roman" w:hAnsi="Times New Roman" w:cs="Times New Roman"/>
                <w:szCs w:val="21"/>
              </w:rPr>
              <w:t>，较上年减少</w:t>
            </w:r>
            <w:r>
              <w:rPr>
                <w:rFonts w:ascii="Times New Roman" w:hAnsi="Times New Roman" w:cs="Times New Roman"/>
                <w:szCs w:val="21"/>
              </w:rPr>
              <w:t>17.77%</w:t>
            </w:r>
            <w:r>
              <w:rPr>
                <w:rFonts w:hint="eastAsia" w:ascii="Times New Roman" w:hAnsi="Times New Roman" w:cs="Times New Roman"/>
                <w:szCs w:val="21"/>
              </w:rPr>
              <w:t>，主要是因为受到行业供需关系不平衡的影响，公司</w:t>
            </w:r>
            <w:r>
              <w:rPr>
                <w:rFonts w:ascii="Times New Roman" w:hAnsi="Times New Roman" w:cs="Times New Roman"/>
                <w:szCs w:val="21"/>
              </w:rPr>
              <w:t>LCD-TDDI</w:t>
            </w:r>
            <w:r>
              <w:rPr>
                <w:rFonts w:hint="eastAsia" w:ascii="Times New Roman" w:hAnsi="Times New Roman" w:cs="Times New Roman"/>
                <w:szCs w:val="21"/>
              </w:rPr>
              <w:t>产品平均单价持续承压。为了充分提升公司在显示解决方案的竞争力，公司持续推进产品迭代，优化产品性能，</w:t>
            </w:r>
            <w:r>
              <w:rPr>
                <w:rFonts w:ascii="Times New Roman" w:hAnsi="Times New Roman" w:cs="Times New Roman"/>
                <w:szCs w:val="21"/>
              </w:rPr>
              <w:t>2024</w:t>
            </w:r>
            <w:r>
              <w:rPr>
                <w:rFonts w:hint="eastAsia" w:ascii="Times New Roman" w:hAnsi="Times New Roman" w:cs="Times New Roman"/>
                <w:szCs w:val="21"/>
              </w:rPr>
              <w:t>年公司显示解决方案业务实现销售量</w:t>
            </w:r>
            <w:r>
              <w:rPr>
                <w:rFonts w:ascii="Times New Roman" w:hAnsi="Times New Roman" w:cs="Times New Roman"/>
                <w:szCs w:val="21"/>
              </w:rPr>
              <w:t>15,523.23</w:t>
            </w:r>
            <w:r>
              <w:rPr>
                <w:rFonts w:hint="eastAsia" w:ascii="Times New Roman" w:hAnsi="Times New Roman" w:cs="Times New Roman"/>
                <w:szCs w:val="21"/>
              </w:rPr>
              <w:t>万颗，较上年同期增长</w:t>
            </w:r>
            <w:r>
              <w:rPr>
                <w:rFonts w:ascii="Times New Roman" w:hAnsi="Times New Roman" w:cs="Times New Roman"/>
                <w:szCs w:val="21"/>
              </w:rPr>
              <w:t>16.84%</w:t>
            </w:r>
            <w:r>
              <w:rPr>
                <w:rFonts w:hint="eastAsia" w:ascii="Times New Roman" w:hAnsi="Times New Roman" w:cs="Times New Roman"/>
                <w:szCs w:val="21"/>
              </w:rPr>
              <w:t>，市场份额稳步提升。</w:t>
            </w:r>
          </w:p>
          <w:p>
            <w:pPr>
              <w:tabs>
                <w:tab w:val="left" w:pos="720"/>
              </w:tabs>
              <w:spacing w:line="360" w:lineRule="auto"/>
              <w:ind w:firstLine="420" w:firstLineChars="200"/>
              <w:rPr>
                <w:rFonts w:ascii="Times New Roman" w:hAnsi="Times New Roman" w:cs="Times New Roman"/>
                <w:szCs w:val="21"/>
              </w:rPr>
            </w:pPr>
            <w:r>
              <w:rPr>
                <w:rFonts w:ascii="Times New Roman" w:hAnsi="Times New Roman" w:cs="Times New Roman"/>
                <w:szCs w:val="21"/>
              </w:rPr>
              <w:t>2024</w:t>
            </w:r>
            <w:r>
              <w:rPr>
                <w:rFonts w:hint="eastAsia" w:ascii="Times New Roman" w:hAnsi="Times New Roman" w:cs="Times New Roman"/>
                <w:szCs w:val="21"/>
              </w:rPr>
              <w:t>年，公司实现归母净利润</w:t>
            </w:r>
            <w:r>
              <w:rPr>
                <w:rFonts w:ascii="Times New Roman" w:hAnsi="Times New Roman" w:cs="Times New Roman"/>
                <w:szCs w:val="21"/>
              </w:rPr>
              <w:t>33.23</w:t>
            </w:r>
            <w:r>
              <w:rPr>
                <w:rFonts w:hint="eastAsia" w:ascii="Times New Roman" w:hAnsi="Times New Roman" w:cs="Times New Roman"/>
                <w:szCs w:val="21"/>
              </w:rPr>
              <w:t>亿元，较上年同期增长</w:t>
            </w:r>
            <w:r>
              <w:rPr>
                <w:rFonts w:ascii="Times New Roman" w:hAnsi="Times New Roman" w:cs="Times New Roman"/>
                <w:szCs w:val="21"/>
              </w:rPr>
              <w:t>498.11%</w:t>
            </w:r>
            <w:r>
              <w:rPr>
                <w:rFonts w:hint="eastAsia" w:ascii="Times New Roman" w:hAnsi="Times New Roman" w:cs="Times New Roman"/>
                <w:szCs w:val="21"/>
              </w:rPr>
              <w:t>；实现扣非后归母净利润</w:t>
            </w:r>
            <w:r>
              <w:rPr>
                <w:rFonts w:ascii="Times New Roman" w:hAnsi="Times New Roman" w:cs="Times New Roman"/>
                <w:szCs w:val="21"/>
              </w:rPr>
              <w:t>30.57</w:t>
            </w:r>
            <w:r>
              <w:rPr>
                <w:rFonts w:hint="eastAsia" w:ascii="Times New Roman" w:hAnsi="Times New Roman" w:cs="Times New Roman"/>
                <w:szCs w:val="21"/>
              </w:rPr>
              <w:t>亿元，较上年同期增长</w:t>
            </w:r>
            <w:r>
              <w:rPr>
                <w:rFonts w:ascii="Times New Roman" w:hAnsi="Times New Roman" w:cs="Times New Roman"/>
                <w:szCs w:val="21"/>
              </w:rPr>
              <w:t>2114.72%</w:t>
            </w:r>
            <w:r>
              <w:rPr>
                <w:rFonts w:hint="eastAsia" w:ascii="Times New Roman" w:hAnsi="Times New Roman" w:cs="Times New Roman"/>
                <w:szCs w:val="21"/>
              </w:rPr>
              <w:t>。公司实现全年综合毛利率为</w:t>
            </w:r>
            <w:r>
              <w:rPr>
                <w:rFonts w:ascii="Times New Roman" w:hAnsi="Times New Roman" w:cs="Times New Roman"/>
                <w:szCs w:val="21"/>
              </w:rPr>
              <w:t>29.36%</w:t>
            </w:r>
            <w:r>
              <w:rPr>
                <w:rFonts w:hint="eastAsia" w:ascii="Times New Roman" w:hAnsi="Times New Roman" w:cs="Times New Roman"/>
                <w:szCs w:val="21"/>
              </w:rPr>
              <w:t>，同比提升</w:t>
            </w:r>
            <w:r>
              <w:rPr>
                <w:rFonts w:ascii="Times New Roman" w:hAnsi="Times New Roman" w:cs="Times New Roman"/>
                <w:szCs w:val="21"/>
              </w:rPr>
              <w:t>7.74</w:t>
            </w:r>
            <w:r>
              <w:rPr>
                <w:rFonts w:hint="eastAsia" w:ascii="Times New Roman" w:hAnsi="Times New Roman" w:cs="Times New Roman"/>
                <w:szCs w:val="21"/>
              </w:rPr>
              <w:t>个百分点。</w:t>
            </w:r>
          </w:p>
          <w:p>
            <w:pPr>
              <w:tabs>
                <w:tab w:val="left" w:pos="720"/>
              </w:tabs>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公司持续稳定的加大在各产品领域的研发投入，为产品升级及新产品的研发提供充分的保障，</w:t>
            </w:r>
            <w:r>
              <w:rPr>
                <w:rFonts w:ascii="Times New Roman" w:hAnsi="Times New Roman" w:cs="Times New Roman"/>
                <w:szCs w:val="21"/>
              </w:rPr>
              <w:t>2024</w:t>
            </w:r>
            <w:r>
              <w:rPr>
                <w:rFonts w:hint="eastAsia" w:ascii="Times New Roman" w:hAnsi="Times New Roman" w:cs="Times New Roman"/>
                <w:szCs w:val="21"/>
              </w:rPr>
              <w:t>年公司半导体设计业务研发投入金额为</w:t>
            </w:r>
            <w:r>
              <w:rPr>
                <w:rFonts w:ascii="Times New Roman" w:hAnsi="Times New Roman" w:cs="Times New Roman"/>
                <w:szCs w:val="21"/>
              </w:rPr>
              <w:t>32.45</w:t>
            </w:r>
            <w:r>
              <w:rPr>
                <w:rFonts w:hint="eastAsia" w:ascii="Times New Roman" w:hAnsi="Times New Roman" w:cs="Times New Roman"/>
                <w:szCs w:val="21"/>
              </w:rPr>
              <w:t>亿元，占公司半导体设计销售业务收入的</w:t>
            </w:r>
            <w:r>
              <w:rPr>
                <w:rFonts w:ascii="Times New Roman" w:hAnsi="Times New Roman" w:cs="Times New Roman"/>
                <w:szCs w:val="21"/>
              </w:rPr>
              <w:t>15</w:t>
            </w:r>
            <w:r>
              <w:rPr>
                <w:rFonts w:hint="eastAsia" w:ascii="Times New Roman" w:hAnsi="Times New Roman" w:cs="Times New Roman"/>
                <w:szCs w:val="21"/>
              </w:rPr>
              <w:t>.</w:t>
            </w:r>
            <w:r>
              <w:rPr>
                <w:rFonts w:ascii="Times New Roman" w:hAnsi="Times New Roman" w:cs="Times New Roman"/>
                <w:szCs w:val="21"/>
              </w:rPr>
              <w:t>00%</w:t>
            </w:r>
            <w:r>
              <w:rPr>
                <w:rFonts w:hint="eastAsia" w:ascii="Times New Roman" w:hAnsi="Times New Roman" w:cs="Times New Roman"/>
                <w:szCs w:val="21"/>
              </w:rPr>
              <w:t>，较上年增长</w:t>
            </w:r>
            <w:r>
              <w:rPr>
                <w:rFonts w:ascii="Times New Roman" w:hAnsi="Times New Roman" w:cs="Times New Roman"/>
                <w:szCs w:val="21"/>
              </w:rPr>
              <w:t>10.89%</w:t>
            </w:r>
            <w:r>
              <w:rPr>
                <w:rFonts w:hint="eastAsia" w:ascii="Times New Roman" w:hAnsi="Times New Roman" w:cs="Times New Roman"/>
                <w:szCs w:val="21"/>
              </w:rPr>
              <w:t>。公司持续稳定地加大在各产品领域的研发投入，为产品升级及新产品的研发提供充分的保障，公司产品竞争力稳步提升。</w:t>
            </w:r>
          </w:p>
          <w:p>
            <w:pPr>
              <w:tabs>
                <w:tab w:val="left" w:pos="720"/>
              </w:tabs>
              <w:spacing w:line="360" w:lineRule="auto"/>
              <w:rPr>
                <w:rFonts w:ascii="Times New Roman" w:hAnsi="Times New Roman" w:cs="Times New Roman"/>
                <w:b/>
                <w:szCs w:val="21"/>
              </w:rPr>
            </w:pPr>
            <w:r>
              <w:rPr>
                <w:rFonts w:ascii="Times New Roman" w:hAnsi="Times New Roman" w:cs="Times New Roman"/>
                <w:b/>
                <w:szCs w:val="21"/>
              </w:rPr>
              <w:t>2025</w:t>
            </w:r>
            <w:r>
              <w:rPr>
                <w:rFonts w:hint="eastAsia" w:ascii="Times New Roman" w:hAnsi="Times New Roman" w:cs="Times New Roman"/>
                <w:b/>
                <w:szCs w:val="21"/>
              </w:rPr>
              <w:t>年第一季度经营情况介绍：</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2025</w:t>
            </w:r>
            <w:r>
              <w:rPr>
                <w:rFonts w:hint="eastAsia" w:ascii="Times New Roman" w:hAnsi="Times New Roman" w:cs="Times New Roman"/>
                <w:szCs w:val="21"/>
              </w:rPr>
              <w:t>年第一季度，公司主营业务维持了良好的发展态势，实现营业收入</w:t>
            </w:r>
            <w:r>
              <w:rPr>
                <w:rFonts w:ascii="Times New Roman" w:hAnsi="Times New Roman" w:cs="Times New Roman"/>
                <w:szCs w:val="21"/>
              </w:rPr>
              <w:t>64.72</w:t>
            </w:r>
            <w:r>
              <w:rPr>
                <w:rFonts w:hint="eastAsia" w:ascii="Times New Roman" w:hAnsi="Times New Roman" w:cs="Times New Roman"/>
                <w:szCs w:val="21"/>
              </w:rPr>
              <w:t>亿元，较上年同期增长</w:t>
            </w:r>
            <w:r>
              <w:rPr>
                <w:rFonts w:ascii="Times New Roman" w:hAnsi="Times New Roman" w:cs="Times New Roman"/>
                <w:szCs w:val="21"/>
              </w:rPr>
              <w:t>14.68%</w:t>
            </w:r>
            <w:r>
              <w:rPr>
                <w:rFonts w:hint="eastAsia" w:ascii="Times New Roman" w:hAnsi="Times New Roman" w:cs="Times New Roman"/>
                <w:szCs w:val="21"/>
              </w:rPr>
              <w:t>。公司实现归母净利润</w:t>
            </w:r>
            <w:r>
              <w:rPr>
                <w:rFonts w:ascii="Times New Roman" w:hAnsi="Times New Roman" w:cs="Times New Roman"/>
                <w:szCs w:val="21"/>
              </w:rPr>
              <w:t>8.66</w:t>
            </w:r>
            <w:r>
              <w:rPr>
                <w:rFonts w:hint="eastAsia" w:ascii="Times New Roman" w:hAnsi="Times New Roman" w:cs="Times New Roman"/>
                <w:szCs w:val="21"/>
              </w:rPr>
              <w:t>亿元，同比增长</w:t>
            </w:r>
            <w:r>
              <w:rPr>
                <w:rFonts w:ascii="Times New Roman" w:hAnsi="Times New Roman" w:cs="Times New Roman"/>
                <w:szCs w:val="21"/>
              </w:rPr>
              <w:t>55.25%</w:t>
            </w:r>
            <w:r>
              <w:rPr>
                <w:rFonts w:hint="eastAsia" w:ascii="Times New Roman" w:hAnsi="Times New Roman" w:cs="Times New Roman"/>
                <w:szCs w:val="21"/>
              </w:rPr>
              <w:t>；扣非归母净利润</w:t>
            </w:r>
            <w:r>
              <w:rPr>
                <w:rFonts w:ascii="Times New Roman" w:hAnsi="Times New Roman" w:cs="Times New Roman"/>
                <w:szCs w:val="21"/>
              </w:rPr>
              <w:t>8.48</w:t>
            </w:r>
            <w:r>
              <w:rPr>
                <w:rFonts w:hint="eastAsia" w:ascii="Times New Roman" w:hAnsi="Times New Roman" w:cs="Times New Roman"/>
                <w:szCs w:val="21"/>
              </w:rPr>
              <w:t>亿元，较上年同期增长</w:t>
            </w:r>
            <w:r>
              <w:rPr>
                <w:rFonts w:ascii="Times New Roman" w:hAnsi="Times New Roman" w:cs="Times New Roman"/>
                <w:szCs w:val="21"/>
              </w:rPr>
              <w:t>49.88%</w:t>
            </w:r>
            <w:r>
              <w:rPr>
                <w:rFonts w:hint="eastAsia"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公司毛利率继续改善，</w:t>
            </w:r>
            <w:r>
              <w:rPr>
                <w:rFonts w:ascii="Times New Roman" w:hAnsi="Times New Roman" w:cs="Times New Roman"/>
                <w:szCs w:val="21"/>
              </w:rPr>
              <w:t>2025</w:t>
            </w:r>
            <w:r>
              <w:rPr>
                <w:rFonts w:hint="eastAsia" w:ascii="Times New Roman" w:hAnsi="Times New Roman" w:cs="Times New Roman"/>
                <w:szCs w:val="21"/>
              </w:rPr>
              <w:t>年第一季度，实现综合毛利率为</w:t>
            </w:r>
            <w:r>
              <w:rPr>
                <w:rFonts w:ascii="Times New Roman" w:hAnsi="Times New Roman" w:cs="Times New Roman"/>
                <w:szCs w:val="21"/>
              </w:rPr>
              <w:t>31.03%</w:t>
            </w:r>
            <w:r>
              <w:rPr>
                <w:rFonts w:hint="eastAsia" w:ascii="Times New Roman" w:hAnsi="Times New Roman" w:cs="Times New Roman"/>
                <w:szCs w:val="21"/>
              </w:rPr>
              <w:t>，同比提升</w:t>
            </w:r>
            <w:r>
              <w:rPr>
                <w:rFonts w:ascii="Times New Roman" w:hAnsi="Times New Roman" w:cs="Times New Roman"/>
                <w:szCs w:val="21"/>
              </w:rPr>
              <w:t>3.14</w:t>
            </w:r>
            <w:r>
              <w:rPr>
                <w:rFonts w:hint="eastAsia" w:ascii="Times New Roman" w:hAnsi="Times New Roman" w:cs="Times New Roman"/>
                <w:szCs w:val="21"/>
              </w:rPr>
              <w:t>个百分点，环比提升</w:t>
            </w:r>
            <w:r>
              <w:rPr>
                <w:rFonts w:ascii="Times New Roman" w:hAnsi="Times New Roman" w:cs="Times New Roman"/>
                <w:szCs w:val="21"/>
              </w:rPr>
              <w:t>2.05</w:t>
            </w:r>
            <w:r>
              <w:rPr>
                <w:rFonts w:hint="eastAsia" w:ascii="Times New Roman" w:hAnsi="Times New Roman" w:cs="Times New Roman"/>
                <w:szCs w:val="21"/>
              </w:rPr>
              <w:t>个百分点。</w:t>
            </w:r>
          </w:p>
          <w:p>
            <w:pPr>
              <w:spacing w:line="360" w:lineRule="auto"/>
              <w:ind w:firstLine="420" w:firstLineChars="200"/>
              <w:rPr>
                <w:rFonts w:ascii="Times New Roman" w:hAnsi="Times New Roman" w:eastAsia="宋体" w:cs="Times New Roman"/>
                <w:szCs w:val="21"/>
              </w:rPr>
            </w:pPr>
            <w:r>
              <w:rPr>
                <w:rFonts w:ascii="Segoe UI" w:hAnsi="Segoe UI" w:cs="Segoe UI"/>
                <w:color w:val="404040"/>
                <w:shd w:val="clear" w:color="auto" w:fill="FFFFFF"/>
              </w:rPr>
              <w:t>公司持续贯彻高效管理策略，在费用管控方面成效显著。</w:t>
            </w:r>
            <w:r>
              <w:rPr>
                <w:rFonts w:ascii="Times New Roman" w:hAnsi="Times New Roman" w:cs="Times New Roman"/>
                <w:szCs w:val="21"/>
              </w:rPr>
              <w:t>2025</w:t>
            </w:r>
            <w:r>
              <w:rPr>
                <w:rFonts w:hint="eastAsia" w:ascii="Times New Roman" w:hAnsi="Times New Roman" w:cs="Times New Roman"/>
                <w:szCs w:val="21"/>
              </w:rPr>
              <w:t>年第一季度，公司费用支出控制在</w:t>
            </w:r>
            <w:r>
              <w:rPr>
                <w:rFonts w:ascii="Times New Roman" w:hAnsi="Times New Roman" w:cs="Times New Roman"/>
                <w:szCs w:val="21"/>
              </w:rPr>
              <w:t>10</w:t>
            </w:r>
            <w:r>
              <w:rPr>
                <w:rFonts w:hint="eastAsia" w:ascii="Times New Roman" w:hAnsi="Times New Roman" w:cs="Times New Roman"/>
                <w:szCs w:val="21"/>
              </w:rPr>
              <w:t>亿元以内。</w:t>
            </w:r>
            <w:r>
              <w:rPr>
                <w:rFonts w:hint="eastAsia" w:ascii="Times New Roman" w:hAnsi="Times New Roman" w:eastAsia="宋体" w:cs="Times New Roman"/>
                <w:szCs w:val="21"/>
              </w:rPr>
              <w:t>随着营收规模的持续扩大，预计整体费用率将进一步优化，从而推动公司净利润率稳步提升。</w:t>
            </w:r>
          </w:p>
          <w:p>
            <w:pPr>
              <w:spacing w:line="360" w:lineRule="auto"/>
              <w:rPr>
                <w:rFonts w:ascii="Times New Roman" w:hAnsi="Times New Roman" w:cs="Times New Roman"/>
                <w:b/>
                <w:bCs/>
                <w:szCs w:val="21"/>
              </w:rPr>
            </w:pPr>
            <w:r>
              <w:rPr>
                <w:rFonts w:hint="eastAsia" w:ascii="Times New Roman" w:hAnsi="Times New Roman" w:cs="Times New Roman"/>
                <w:b/>
                <w:bCs/>
                <w:szCs w:val="21"/>
              </w:rPr>
              <w:t>问答环节主要内容：</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问题一：公司去年以及今年一季度的营收与利润同比都有很大幅度的提升，主要是什么原因驱动的？</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答：伴随着全球半导体行业复苏，</w:t>
            </w:r>
            <w:r>
              <w:rPr>
                <w:rFonts w:ascii="Times New Roman" w:hAnsi="Times New Roman" w:cs="Times New Roman"/>
                <w:szCs w:val="21"/>
              </w:rPr>
              <w:t>AI</w:t>
            </w:r>
            <w:r>
              <w:rPr>
                <w:rFonts w:hint="eastAsia" w:ascii="Times New Roman" w:hAnsi="Times New Roman" w:cs="Times New Roman"/>
                <w:szCs w:val="21"/>
              </w:rPr>
              <w:t>推动消费电子需求回暖、汽车智能化加速，行业整体进入上行周期。公司抓住市场机遇，在高端智能手机市场的产品持续导入、汽车智能化渗透加速等因素的驱动下，公司的经营业绩实现明显增长，与此同时，公司通过产品结构性优化与供应链梳理增效，实现毛利率的改善和净利润的提升。</w:t>
            </w:r>
            <w:r>
              <w:rPr>
                <w:rFonts w:ascii="Times New Roman" w:hAnsi="Times New Roman" w:cs="Times New Roman"/>
                <w:szCs w:val="21"/>
              </w:rPr>
              <w:br w:type="textWrapping"/>
            </w:r>
            <w:r>
              <w:rPr>
                <w:rFonts w:ascii="Times New Roman" w:hAnsi="Times New Roman" w:cs="Times New Roman"/>
                <w:szCs w:val="21"/>
              </w:rPr>
              <w:t xml:space="preserve">    </w:t>
            </w:r>
            <w:r>
              <w:rPr>
                <w:rFonts w:hint="eastAsia" w:ascii="Times New Roman" w:hAnsi="Times New Roman" w:cs="Times New Roman"/>
                <w:b/>
                <w:szCs w:val="21"/>
              </w:rPr>
              <w:t>问题二：汽车</w:t>
            </w:r>
            <w:r>
              <w:rPr>
                <w:rFonts w:ascii="Times New Roman" w:hAnsi="Times New Roman" w:cs="Times New Roman"/>
                <w:b/>
                <w:szCs w:val="21"/>
              </w:rPr>
              <w:t>CIS</w:t>
            </w:r>
            <w:r>
              <w:rPr>
                <w:rFonts w:hint="eastAsia" w:ascii="Times New Roman" w:hAnsi="Times New Roman" w:cs="Times New Roman"/>
                <w:b/>
                <w:szCs w:val="21"/>
              </w:rPr>
              <w:t>的需求情况如何？</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答：</w:t>
            </w:r>
            <w:r>
              <w:rPr>
                <w:rFonts w:ascii="Times New Roman" w:hAnsi="Times New Roman" w:cs="Times New Roman"/>
                <w:szCs w:val="21"/>
              </w:rPr>
              <w:t>2024</w:t>
            </w:r>
            <w:r>
              <w:rPr>
                <w:rFonts w:hint="eastAsia" w:ascii="Times New Roman" w:hAnsi="Times New Roman" w:cs="Times New Roman"/>
                <w:szCs w:val="21"/>
              </w:rPr>
              <w:t>年以来，汽车智能化呈现加速下沉的趋势，特别是国内汽车厂商，将</w:t>
            </w:r>
            <w:r>
              <w:rPr>
                <w:rFonts w:ascii="Times New Roman" w:hAnsi="Times New Roman" w:cs="Times New Roman"/>
                <w:szCs w:val="21"/>
              </w:rPr>
              <w:t>L2+</w:t>
            </w:r>
            <w:r>
              <w:rPr>
                <w:rFonts w:hint="eastAsia" w:ascii="Times New Roman" w:hAnsi="Times New Roman" w:cs="Times New Roman"/>
                <w:szCs w:val="21"/>
              </w:rPr>
              <w:t>级的智能驾驶方案往中低价位的车型渗透，推动单车摄像头的装载数量跃升，释放了大量高阶像素的汽车</w:t>
            </w:r>
            <w:r>
              <w:rPr>
                <w:rFonts w:ascii="Times New Roman" w:hAnsi="Times New Roman" w:cs="Times New Roman"/>
                <w:szCs w:val="21"/>
              </w:rPr>
              <w:t>CIS</w:t>
            </w:r>
            <w:r>
              <w:rPr>
                <w:rFonts w:hint="eastAsia" w:ascii="Times New Roman" w:hAnsi="Times New Roman" w:cs="Times New Roman"/>
                <w:szCs w:val="21"/>
              </w:rPr>
              <w:t>产品需求。</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近期，公司推出采用</w:t>
            </w:r>
            <w:r>
              <w:rPr>
                <w:rFonts w:ascii="Times New Roman" w:hAnsi="Times New Roman" w:cs="Times New Roman"/>
                <w:szCs w:val="21"/>
              </w:rPr>
              <w:t>TheiaCel</w:t>
            </w:r>
            <w:r>
              <w:rPr>
                <w:rFonts w:hint="eastAsia" w:ascii="Times New Roman" w:hAnsi="Times New Roman" w:cs="Times New Roman"/>
                <w:szCs w:val="21"/>
              </w:rPr>
              <w:t>™技术不同规格的汽车图像传感器产品，也发布了可用于高级驾驶辅助系统（</w:t>
            </w:r>
            <w:r>
              <w:rPr>
                <w:rFonts w:ascii="Times New Roman" w:hAnsi="Times New Roman" w:cs="Times New Roman"/>
                <w:szCs w:val="21"/>
              </w:rPr>
              <w:t>ADAS</w:t>
            </w:r>
            <w:r>
              <w:rPr>
                <w:rFonts w:hint="eastAsia" w:ascii="Times New Roman" w:hAnsi="Times New Roman" w:cs="Times New Roman"/>
                <w:szCs w:val="21"/>
              </w:rPr>
              <w:t>）和自动驾驶（</w:t>
            </w:r>
            <w:r>
              <w:rPr>
                <w:rFonts w:ascii="Times New Roman" w:hAnsi="Times New Roman" w:cs="Times New Roman"/>
                <w:szCs w:val="21"/>
              </w:rPr>
              <w:t>AD</w:t>
            </w:r>
            <w:r>
              <w:rPr>
                <w:rFonts w:hint="eastAsia" w:ascii="Times New Roman" w:hAnsi="Times New Roman" w:cs="Times New Roman"/>
                <w:szCs w:val="21"/>
              </w:rPr>
              <w:t>）的高性能前置机器视觉摄像头新品，给客户提供了很多适配的解决方案。</w:t>
            </w:r>
          </w:p>
          <w:p>
            <w:pPr>
              <w:spacing w:line="360" w:lineRule="auto"/>
              <w:ind w:firstLine="422" w:firstLineChars="200"/>
              <w:rPr>
                <w:rFonts w:ascii="Times New Roman" w:hAnsi="Times New Roman" w:cs="Times New Roman"/>
                <w:szCs w:val="21"/>
              </w:rPr>
            </w:pPr>
            <w:r>
              <w:rPr>
                <w:rFonts w:hint="eastAsia" w:ascii="Times New Roman" w:hAnsi="Times New Roman" w:cs="Times New Roman"/>
                <w:b/>
                <w:szCs w:val="21"/>
              </w:rPr>
              <w:t>问题三：公司车载模拟产品的进展如何？</w:t>
            </w:r>
            <w:r>
              <w:rPr>
                <w:rFonts w:ascii="Times New Roman" w:hAnsi="Times New Roman" w:cs="Times New Roman"/>
                <w:b/>
                <w:szCs w:val="21"/>
              </w:rPr>
              <w:br w:type="textWrapping"/>
            </w:r>
            <w:r>
              <w:rPr>
                <w:rFonts w:ascii="Times New Roman" w:hAnsi="Times New Roman" w:cs="Times New Roman"/>
                <w:szCs w:val="21"/>
              </w:rPr>
              <w:t xml:space="preserve">    </w:t>
            </w:r>
            <w:r>
              <w:rPr>
                <w:rFonts w:hint="eastAsia" w:ascii="Times New Roman" w:hAnsi="Times New Roman" w:cs="Times New Roman"/>
                <w:szCs w:val="21"/>
              </w:rPr>
              <w:t>答：公司持续推进在车载模拟芯片的产品布局，包括</w:t>
            </w:r>
            <w:r>
              <w:rPr>
                <w:rFonts w:ascii="Times New Roman" w:hAnsi="Times New Roman" w:cs="Times New Roman"/>
                <w:szCs w:val="21"/>
              </w:rPr>
              <w:t>CAN/LIN</w:t>
            </w:r>
            <w:r>
              <w:rPr>
                <w:rFonts w:hint="eastAsia" w:ascii="Times New Roman" w:hAnsi="Times New Roman" w:cs="Times New Roman"/>
                <w:szCs w:val="21"/>
              </w:rPr>
              <w:t>、</w:t>
            </w:r>
            <w:r>
              <w:rPr>
                <w:rFonts w:ascii="Times New Roman" w:hAnsi="Times New Roman" w:cs="Times New Roman"/>
                <w:szCs w:val="21"/>
              </w:rPr>
              <w:t>SerDes</w:t>
            </w:r>
            <w:r>
              <w:rPr>
                <w:rFonts w:hint="eastAsia" w:ascii="Times New Roman" w:hAnsi="Times New Roman" w:cs="Times New Roman"/>
                <w:szCs w:val="21"/>
              </w:rPr>
              <w:t>、</w:t>
            </w:r>
            <w:r>
              <w:rPr>
                <w:rFonts w:ascii="Times New Roman" w:hAnsi="Times New Roman" w:cs="Times New Roman"/>
                <w:szCs w:val="21"/>
              </w:rPr>
              <w:t>PMIC</w:t>
            </w:r>
            <w:r>
              <w:rPr>
                <w:rFonts w:hint="eastAsia" w:ascii="Times New Roman" w:hAnsi="Times New Roman" w:cs="Times New Roman"/>
                <w:szCs w:val="21"/>
              </w:rPr>
              <w:t>、</w:t>
            </w:r>
            <w:r>
              <w:rPr>
                <w:rFonts w:ascii="Times New Roman" w:hAnsi="Times New Roman" w:cs="Times New Roman"/>
                <w:szCs w:val="21"/>
              </w:rPr>
              <w:t>SBC</w:t>
            </w:r>
            <w:r>
              <w:rPr>
                <w:rFonts w:hint="eastAsia" w:ascii="Times New Roman" w:hAnsi="Times New Roman" w:cs="Times New Roman"/>
                <w:szCs w:val="21"/>
              </w:rPr>
              <w:t>等多款产品，近期也在加速验证导入过程中。截至</w:t>
            </w:r>
            <w:r>
              <w:rPr>
                <w:rFonts w:ascii="Times New Roman" w:hAnsi="Times New Roman" w:cs="Times New Roman"/>
                <w:szCs w:val="21"/>
              </w:rPr>
              <w:t>2024</w:t>
            </w:r>
            <w:r>
              <w:rPr>
                <w:rFonts w:hint="eastAsia" w:ascii="Times New Roman" w:hAnsi="Times New Roman" w:cs="Times New Roman"/>
                <w:szCs w:val="21"/>
              </w:rPr>
              <w:t>年末，公司模拟解决方案业务在</w:t>
            </w:r>
            <w:r>
              <w:rPr>
                <w:rFonts w:ascii="Times New Roman" w:hAnsi="Times New Roman" w:cs="Times New Roman"/>
                <w:szCs w:val="21"/>
              </w:rPr>
              <w:t>2024</w:t>
            </w:r>
            <w:r>
              <w:rPr>
                <w:rFonts w:hint="eastAsia" w:ascii="Times New Roman" w:hAnsi="Times New Roman" w:cs="Times New Roman"/>
                <w:szCs w:val="21"/>
              </w:rPr>
              <w:t>年实现营业收入</w:t>
            </w:r>
            <w:r>
              <w:rPr>
                <w:rFonts w:ascii="Times New Roman" w:hAnsi="Times New Roman" w:cs="Times New Roman"/>
                <w:szCs w:val="21"/>
              </w:rPr>
              <w:t>14.22</w:t>
            </w:r>
            <w:r>
              <w:rPr>
                <w:rFonts w:hint="eastAsia" w:ascii="Times New Roman" w:hAnsi="Times New Roman" w:cs="Times New Roman"/>
                <w:szCs w:val="21"/>
              </w:rPr>
              <w:t>亿元，较上年同期增加</w:t>
            </w:r>
            <w:r>
              <w:rPr>
                <w:rFonts w:ascii="Times New Roman" w:hAnsi="Times New Roman" w:cs="Times New Roman"/>
                <w:szCs w:val="21"/>
              </w:rPr>
              <w:t>23.18%</w:t>
            </w:r>
            <w:r>
              <w:rPr>
                <w:rFonts w:hint="eastAsia" w:ascii="Times New Roman" w:hAnsi="Times New Roman" w:cs="Times New Roman"/>
                <w:szCs w:val="21"/>
              </w:rPr>
              <w:t>。车载模拟</w:t>
            </w:r>
            <w:r>
              <w:rPr>
                <w:rFonts w:ascii="Times New Roman" w:hAnsi="Times New Roman" w:cs="Times New Roman"/>
                <w:szCs w:val="21"/>
              </w:rPr>
              <w:t>IC</w:t>
            </w:r>
            <w:r>
              <w:rPr>
                <w:rFonts w:hint="eastAsia" w:ascii="Times New Roman" w:hAnsi="Times New Roman" w:cs="Times New Roman"/>
                <w:szCs w:val="21"/>
              </w:rPr>
              <w:t>销售收入较上年同比增加</w:t>
            </w:r>
            <w:r>
              <w:rPr>
                <w:rFonts w:ascii="Times New Roman" w:hAnsi="Times New Roman" w:cs="Times New Roman"/>
                <w:szCs w:val="21"/>
              </w:rPr>
              <w:t>37.03%</w:t>
            </w:r>
            <w:r>
              <w:rPr>
                <w:rFonts w:hint="eastAsia" w:ascii="Times New Roman" w:hAnsi="Times New Roman" w:cs="Times New Roman"/>
                <w:szCs w:val="21"/>
              </w:rPr>
              <w:t>，占公司模拟解决方案业务收入的</w:t>
            </w:r>
            <w:r>
              <w:rPr>
                <w:rFonts w:ascii="Times New Roman" w:hAnsi="Times New Roman" w:cs="Times New Roman"/>
                <w:szCs w:val="21"/>
              </w:rPr>
              <w:t>14%</w:t>
            </w:r>
            <w:r>
              <w:rPr>
                <w:rFonts w:hint="eastAsia" w:ascii="Times New Roman" w:hAnsi="Times New Roman" w:cs="Times New Roman"/>
                <w:szCs w:val="21"/>
              </w:rPr>
              <w:t>，为模拟解决方案的成长贡献新的增长点。</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问题四：如何看待手机</w:t>
            </w:r>
            <w:r>
              <w:rPr>
                <w:rFonts w:ascii="Times New Roman" w:hAnsi="Times New Roman" w:cs="Times New Roman"/>
                <w:b/>
                <w:szCs w:val="21"/>
              </w:rPr>
              <w:t>CIS</w:t>
            </w:r>
            <w:r>
              <w:rPr>
                <w:rFonts w:hint="eastAsia" w:ascii="Times New Roman" w:hAnsi="Times New Roman" w:cs="Times New Roman"/>
                <w:b/>
                <w:szCs w:val="21"/>
              </w:rPr>
              <w:t>市场的增长？</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答：移动终端性能仍在持续升级，多摄模组成为行业标配，以及消费者对高画质成像、多样化影像表现及创新功能的更高追求，都持续推动着手机</w:t>
            </w:r>
            <w:r>
              <w:rPr>
                <w:rFonts w:ascii="Times New Roman" w:hAnsi="Times New Roman" w:cs="Times New Roman"/>
                <w:szCs w:val="21"/>
              </w:rPr>
              <w:t>CIS</w:t>
            </w:r>
            <w:r>
              <w:rPr>
                <w:rFonts w:hint="eastAsia" w:ascii="Times New Roman" w:hAnsi="Times New Roman" w:cs="Times New Roman"/>
                <w:szCs w:val="21"/>
              </w:rPr>
              <w:t>市场的增长。公司积极推进产品结构优化及供应链结构优化，持续强化高端智能手机</w:t>
            </w:r>
            <w:r>
              <w:rPr>
                <w:rFonts w:ascii="Times New Roman" w:hAnsi="Times New Roman" w:cs="Times New Roman"/>
                <w:szCs w:val="21"/>
              </w:rPr>
              <w:t>CIS</w:t>
            </w:r>
            <w:r>
              <w:rPr>
                <w:rFonts w:hint="eastAsia" w:ascii="Times New Roman" w:hAnsi="Times New Roman" w:cs="Times New Roman"/>
                <w:szCs w:val="21"/>
              </w:rPr>
              <w:t>市场竞争，同时也将加大研发投入，也即将发布一系列不同规格的产品，进一步扩大产品的应用范围，努力提升市场份额及自身核心竞争力。</w:t>
            </w:r>
          </w:p>
          <w:p>
            <w:pPr>
              <w:spacing w:line="360" w:lineRule="auto"/>
              <w:ind w:left="420" w:leftChars="200"/>
              <w:rPr>
                <w:rFonts w:ascii="Times New Roman" w:hAnsi="Times New Roman" w:cs="Times New Roman"/>
                <w:b/>
                <w:szCs w:val="21"/>
              </w:rPr>
            </w:pPr>
            <w:r>
              <w:rPr>
                <w:rFonts w:hint="eastAsia" w:ascii="Times New Roman" w:hAnsi="Times New Roman" w:cs="Times New Roman"/>
                <w:b/>
                <w:szCs w:val="21"/>
              </w:rPr>
              <w:t>问题五：公司最新发布的</w:t>
            </w:r>
            <w:r>
              <w:rPr>
                <w:rFonts w:ascii="Times New Roman" w:hAnsi="Times New Roman" w:cs="Times New Roman"/>
                <w:b/>
                <w:szCs w:val="21"/>
              </w:rPr>
              <w:t>OV50X</w:t>
            </w:r>
            <w:r>
              <w:rPr>
                <w:rFonts w:hint="eastAsia" w:ascii="Times New Roman" w:hAnsi="Times New Roman" w:cs="Times New Roman"/>
                <w:b/>
                <w:szCs w:val="21"/>
              </w:rPr>
              <w:t>有什么看点？什么时候量产？</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答：</w:t>
            </w:r>
            <w:r>
              <w:rPr>
                <w:rFonts w:ascii="Times New Roman" w:hAnsi="Times New Roman" w:cs="Times New Roman"/>
                <w:szCs w:val="21"/>
              </w:rPr>
              <w:t>OV50X</w:t>
            </w:r>
            <w:r>
              <w:rPr>
                <w:rFonts w:hint="eastAsia" w:ascii="Times New Roman" w:hAnsi="Times New Roman" w:cs="Times New Roman"/>
                <w:szCs w:val="21"/>
              </w:rPr>
              <w:t>是公司近期推出的一款</w:t>
            </w:r>
            <w:r>
              <w:rPr>
                <w:rFonts w:ascii="Times New Roman" w:hAnsi="Times New Roman" w:cs="Times New Roman"/>
                <w:szCs w:val="21"/>
              </w:rPr>
              <w:t>5000</w:t>
            </w:r>
            <w:r>
              <w:rPr>
                <w:rFonts w:hint="eastAsia" w:ascii="Times New Roman" w:hAnsi="Times New Roman" w:cs="Times New Roman"/>
                <w:szCs w:val="21"/>
              </w:rPr>
              <w:t>万像素的传感器，采用</w:t>
            </w:r>
            <w:r>
              <w:rPr>
                <w:rFonts w:ascii="Times New Roman" w:hAnsi="Times New Roman" w:cs="Times New Roman"/>
                <w:szCs w:val="21"/>
              </w:rPr>
              <w:t>1</w:t>
            </w:r>
            <w:r>
              <w:rPr>
                <w:rFonts w:hint="eastAsia" w:ascii="Times New Roman" w:hAnsi="Times New Roman" w:cs="Times New Roman"/>
                <w:szCs w:val="21"/>
              </w:rPr>
              <w:t>英寸光学格式，像素尺寸为</w:t>
            </w:r>
            <w:r>
              <w:rPr>
                <w:rFonts w:ascii="Times New Roman" w:hAnsi="Times New Roman" w:cs="Times New Roman"/>
                <w:szCs w:val="21"/>
              </w:rPr>
              <w:t>1.6</w:t>
            </w:r>
            <w:r>
              <w:rPr>
                <w:rFonts w:hint="eastAsia" w:ascii="Times New Roman" w:hAnsi="Times New Roman" w:cs="Times New Roman"/>
                <w:szCs w:val="21"/>
              </w:rPr>
              <w:t>微米，专为旗舰智能手机设计，具备在单次曝光下拍摄高动态范围（</w:t>
            </w:r>
            <w:r>
              <w:rPr>
                <w:rFonts w:ascii="Times New Roman" w:hAnsi="Times New Roman" w:cs="Times New Roman"/>
                <w:szCs w:val="21"/>
              </w:rPr>
              <w:t>HDR</w:t>
            </w:r>
            <w:r>
              <w:rPr>
                <w:rFonts w:hint="eastAsia" w:ascii="Times New Roman" w:hAnsi="Times New Roman" w:cs="Times New Roman"/>
                <w:szCs w:val="21"/>
              </w:rPr>
              <w:t>）视频、优异的弱光性能、快速自动对焦及高帧率的功能。该传感器拥有手机行业中的超高动态范围，采用第二代</w:t>
            </w:r>
            <w:r>
              <w:rPr>
                <w:rFonts w:ascii="Times New Roman" w:hAnsi="Times New Roman" w:cs="Times New Roman"/>
                <w:szCs w:val="21"/>
              </w:rPr>
              <w:t>Lofic</w:t>
            </w:r>
            <w:r>
              <w:rPr>
                <w:rFonts w:hint="eastAsia" w:ascii="Times New Roman" w:hAnsi="Times New Roman" w:cs="Times New Roman"/>
                <w:szCs w:val="21"/>
              </w:rPr>
              <w:t>电容，单次曝光</w:t>
            </w:r>
            <w:r>
              <w:rPr>
                <w:rFonts w:ascii="Times New Roman" w:hAnsi="Times New Roman" w:cs="Times New Roman"/>
                <w:szCs w:val="21"/>
              </w:rPr>
              <w:t>HDR</w:t>
            </w:r>
            <w:r>
              <w:rPr>
                <w:rFonts w:hint="eastAsia" w:ascii="Times New Roman" w:hAnsi="Times New Roman" w:cs="Times New Roman"/>
                <w:szCs w:val="21"/>
              </w:rPr>
              <w:t>扩展至接近</w:t>
            </w:r>
            <w:r>
              <w:rPr>
                <w:rFonts w:ascii="Times New Roman" w:hAnsi="Times New Roman" w:cs="Times New Roman"/>
                <w:szCs w:val="21"/>
              </w:rPr>
              <w:t>110db</w:t>
            </w:r>
            <w:r>
              <w:rPr>
                <w:rFonts w:hint="eastAsia" w:ascii="Times New Roman" w:hAnsi="Times New Roman" w:cs="Times New Roman"/>
                <w:szCs w:val="21"/>
              </w:rPr>
              <w:t>，可实现电影级视频拍摄。</w:t>
            </w:r>
            <w:r>
              <w:rPr>
                <w:rFonts w:ascii="Times New Roman" w:hAnsi="Times New Roman" w:cs="Times New Roman"/>
                <w:szCs w:val="21"/>
              </w:rPr>
              <w:t>OV50X</w:t>
            </w:r>
            <w:r>
              <w:rPr>
                <w:rFonts w:hint="eastAsia" w:ascii="Times New Roman" w:hAnsi="Times New Roman" w:cs="Times New Roman"/>
                <w:szCs w:val="21"/>
              </w:rPr>
              <w:t>现已出样，将于</w:t>
            </w:r>
            <w:r>
              <w:rPr>
                <w:rFonts w:ascii="Times New Roman" w:hAnsi="Times New Roman" w:cs="Times New Roman"/>
                <w:szCs w:val="21"/>
              </w:rPr>
              <w:t>2025</w:t>
            </w:r>
            <w:r>
              <w:rPr>
                <w:rFonts w:hint="eastAsia" w:ascii="Times New Roman" w:hAnsi="Times New Roman" w:cs="Times New Roman"/>
                <w:szCs w:val="21"/>
              </w:rPr>
              <w:t>年第三季度投入量产。</w:t>
            </w:r>
          </w:p>
          <w:p>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问题六：公司如何看待新兴市场</w:t>
            </w:r>
            <w:r>
              <w:rPr>
                <w:rFonts w:ascii="Times New Roman" w:hAnsi="Times New Roman" w:cs="Times New Roman"/>
                <w:b/>
                <w:szCs w:val="21"/>
              </w:rPr>
              <w:t>/</w:t>
            </w:r>
            <w:r>
              <w:rPr>
                <w:rFonts w:hint="eastAsia" w:ascii="Times New Roman" w:hAnsi="Times New Roman" w:cs="Times New Roman"/>
                <w:b/>
                <w:szCs w:val="21"/>
              </w:rPr>
              <w:t>物联网行业的发展趋势，公司在该领域有什么相关布局？</w:t>
            </w:r>
          </w:p>
          <w:p>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答：</w:t>
            </w:r>
            <w:r>
              <w:rPr>
                <w:rFonts w:ascii="Times New Roman" w:hAnsi="Times New Roman" w:cs="Times New Roman"/>
                <w:szCs w:val="21"/>
              </w:rPr>
              <w:t>2024</w:t>
            </w:r>
            <w:r>
              <w:rPr>
                <w:rFonts w:hint="eastAsia" w:ascii="Times New Roman" w:hAnsi="Times New Roman" w:cs="Times New Roman"/>
                <w:szCs w:val="21"/>
              </w:rPr>
              <w:t>年，公司图像传感器业务来源于新兴市场</w:t>
            </w:r>
            <w:r>
              <w:rPr>
                <w:rFonts w:ascii="Times New Roman" w:hAnsi="Times New Roman" w:cs="Times New Roman"/>
                <w:szCs w:val="21"/>
              </w:rPr>
              <w:t>/</w:t>
            </w:r>
            <w:r>
              <w:rPr>
                <w:rFonts w:hint="eastAsia" w:ascii="Times New Roman" w:hAnsi="Times New Roman" w:cs="Times New Roman"/>
                <w:szCs w:val="21"/>
              </w:rPr>
              <w:t>物联网的收入实现约</w:t>
            </w:r>
            <w:r>
              <w:rPr>
                <w:rFonts w:ascii="Times New Roman" w:hAnsi="Times New Roman" w:cs="Times New Roman"/>
                <w:szCs w:val="21"/>
              </w:rPr>
              <w:t>7.60</w:t>
            </w:r>
            <w:r>
              <w:rPr>
                <w:rFonts w:hint="eastAsia" w:ascii="Times New Roman" w:hAnsi="Times New Roman" w:cs="Times New Roman"/>
                <w:szCs w:val="21"/>
              </w:rPr>
              <w:t>亿元，同比增速达到</w:t>
            </w:r>
            <w:r>
              <w:rPr>
                <w:rFonts w:ascii="Times New Roman" w:hAnsi="Times New Roman" w:cs="Times New Roman"/>
                <w:szCs w:val="21"/>
              </w:rPr>
              <w:t>42.37%</w:t>
            </w:r>
            <w:r>
              <w:rPr>
                <w:rFonts w:hint="eastAsia" w:ascii="Times New Roman" w:hAnsi="Times New Roman" w:cs="Times New Roman"/>
                <w:szCs w:val="21"/>
              </w:rPr>
              <w:t>。未来，预计</w:t>
            </w:r>
            <w:r>
              <w:rPr>
                <w:rFonts w:ascii="Times New Roman" w:hAnsi="Times New Roman" w:eastAsia="宋体" w:cs="Times New Roman"/>
                <w:szCs w:val="21"/>
              </w:rPr>
              <w:t>增长较快的是运动相机</w:t>
            </w:r>
            <w:r>
              <w:rPr>
                <w:rFonts w:hint="eastAsia" w:ascii="Times New Roman" w:hAnsi="Times New Roman" w:eastAsia="宋体" w:cs="Times New Roman"/>
                <w:szCs w:val="21"/>
              </w:rPr>
              <w:t>和视频相机，这主要得益于此类摄影器材需求的增加，以及公司市场份额的增长。</w:t>
            </w:r>
          </w:p>
          <w:p>
            <w:pPr>
              <w:spacing w:line="360" w:lineRule="auto"/>
              <w:ind w:firstLine="420" w:firstLineChars="200"/>
              <w:rPr>
                <w:rFonts w:ascii="Times New Roman" w:hAnsi="Times New Roman" w:cs="Times New Roman"/>
                <w:szCs w:val="21"/>
              </w:rPr>
            </w:pPr>
            <w:r>
              <w:rPr>
                <w:rFonts w:hint="eastAsia" w:ascii="Times New Roman" w:hAnsi="Times New Roman" w:eastAsia="宋体" w:cs="Times New Roman"/>
                <w:szCs w:val="21"/>
              </w:rPr>
              <w:t>另外，我们认为</w:t>
            </w:r>
            <w:r>
              <w:rPr>
                <w:rFonts w:ascii="Times New Roman" w:hAnsi="Times New Roman" w:cs="Times New Roman"/>
                <w:szCs w:val="21"/>
              </w:rPr>
              <w:t>AR/VR</w:t>
            </w:r>
            <w:r>
              <w:rPr>
                <w:rFonts w:hint="eastAsia" w:ascii="Times New Roman" w:hAnsi="Times New Roman" w:cs="Times New Roman"/>
                <w:szCs w:val="21"/>
              </w:rPr>
              <w:t>也具备高速增长的潜力。全球科技巨头正在对</w:t>
            </w:r>
            <w:r>
              <w:rPr>
                <w:rFonts w:ascii="Times New Roman" w:hAnsi="Times New Roman" w:cs="Times New Roman"/>
                <w:szCs w:val="21"/>
              </w:rPr>
              <w:t>AR/VR</w:t>
            </w:r>
            <w:r>
              <w:rPr>
                <w:rFonts w:hint="eastAsia" w:ascii="Times New Roman" w:hAnsi="Times New Roman" w:cs="Times New Roman"/>
                <w:szCs w:val="21"/>
              </w:rPr>
              <w:t>价值链（包括硬件、软件、内容及应用程序）积极投资。</w:t>
            </w:r>
            <w:r>
              <w:rPr>
                <w:rFonts w:ascii="Times New Roman" w:hAnsi="Times New Roman" w:cs="Times New Roman"/>
                <w:szCs w:val="21"/>
              </w:rPr>
              <w:t>AR/VR</w:t>
            </w:r>
            <w:r>
              <w:rPr>
                <w:rFonts w:hint="eastAsia" w:ascii="Times New Roman" w:hAnsi="Times New Roman" w:cs="Times New Roman"/>
                <w:szCs w:val="21"/>
              </w:rPr>
              <w:t>正从技术验证期进入规模化渗透期，智能眼镜也迎来质变节点。根据</w:t>
            </w:r>
            <w:r>
              <w:rPr>
                <w:rFonts w:ascii="Times New Roman" w:hAnsi="Times New Roman" w:cs="Times New Roman"/>
                <w:szCs w:val="21"/>
              </w:rPr>
              <w:t>IDC</w:t>
            </w:r>
            <w:r>
              <w:rPr>
                <w:rFonts w:hint="eastAsia" w:ascii="Times New Roman" w:hAnsi="Times New Roman" w:cs="Times New Roman"/>
                <w:szCs w:val="21"/>
              </w:rPr>
              <w:t>预测，</w:t>
            </w:r>
            <w:r>
              <w:rPr>
                <w:rFonts w:ascii="Times New Roman" w:hAnsi="Times New Roman" w:cs="Times New Roman"/>
                <w:szCs w:val="21"/>
              </w:rPr>
              <w:t>2025</w:t>
            </w:r>
            <w:r>
              <w:rPr>
                <w:rFonts w:hint="eastAsia" w:ascii="Times New Roman" w:hAnsi="Times New Roman" w:cs="Times New Roman"/>
                <w:szCs w:val="21"/>
              </w:rPr>
              <w:t>年全球智能眼镜市场预计出货</w:t>
            </w:r>
            <w:r>
              <w:rPr>
                <w:rFonts w:ascii="Times New Roman" w:hAnsi="Times New Roman" w:cs="Times New Roman"/>
                <w:szCs w:val="21"/>
              </w:rPr>
              <w:t>1,205</w:t>
            </w:r>
            <w:r>
              <w:rPr>
                <w:rFonts w:hint="eastAsia" w:ascii="Times New Roman" w:hAnsi="Times New Roman" w:cs="Times New Roman"/>
                <w:szCs w:val="21"/>
              </w:rPr>
              <w:t>万台，同比增长</w:t>
            </w:r>
            <w:r>
              <w:rPr>
                <w:rFonts w:ascii="Times New Roman" w:hAnsi="Times New Roman" w:cs="Times New Roman"/>
                <w:szCs w:val="21"/>
              </w:rPr>
              <w:t>18.3%</w:t>
            </w:r>
            <w:r>
              <w:rPr>
                <w:rFonts w:hint="eastAsia"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CIS</w:t>
            </w:r>
            <w:r>
              <w:rPr>
                <w:rFonts w:hint="eastAsia" w:ascii="Times New Roman" w:hAnsi="Times New Roman" w:cs="Times New Roman"/>
                <w:szCs w:val="21"/>
              </w:rPr>
              <w:t>广泛应用于以</w:t>
            </w:r>
            <w:r>
              <w:rPr>
                <w:rFonts w:ascii="Times New Roman" w:hAnsi="Times New Roman" w:cs="Times New Roman"/>
                <w:szCs w:val="21"/>
              </w:rPr>
              <w:t>AR/VR</w:t>
            </w:r>
            <w:r>
              <w:rPr>
                <w:rFonts w:hint="eastAsia" w:ascii="Times New Roman" w:hAnsi="Times New Roman" w:cs="Times New Roman"/>
                <w:szCs w:val="21"/>
              </w:rPr>
              <w:t>等为代表的新兴市场，以实现摄影及传感功能，作为连接虚拟与现实的眼睛，是</w:t>
            </w:r>
            <w:r>
              <w:rPr>
                <w:rFonts w:ascii="Times New Roman" w:hAnsi="Times New Roman" w:cs="Times New Roman"/>
                <w:szCs w:val="21"/>
              </w:rPr>
              <w:t>AR/VR</w:t>
            </w:r>
            <w:r>
              <w:rPr>
                <w:rFonts w:hint="eastAsia" w:ascii="Times New Roman" w:hAnsi="Times New Roman" w:cs="Times New Roman"/>
                <w:szCs w:val="21"/>
              </w:rPr>
              <w:t>领域的核心芯片，在</w:t>
            </w:r>
            <w:r>
              <w:rPr>
                <w:rFonts w:ascii="Times New Roman" w:hAnsi="Times New Roman" w:cs="Times New Roman"/>
                <w:szCs w:val="21"/>
              </w:rPr>
              <w:t>AR/VR</w:t>
            </w:r>
            <w:r>
              <w:rPr>
                <w:rFonts w:hint="eastAsia" w:ascii="Times New Roman" w:hAnsi="Times New Roman" w:cs="Times New Roman"/>
                <w:szCs w:val="21"/>
              </w:rPr>
              <w:t>市场的快速发展势头下将迎来新的成长。除了</w:t>
            </w:r>
            <w:r>
              <w:rPr>
                <w:rFonts w:ascii="Times New Roman" w:hAnsi="Times New Roman" w:cs="Times New Roman"/>
                <w:szCs w:val="21"/>
              </w:rPr>
              <w:t>CIS</w:t>
            </w:r>
            <w:r>
              <w:rPr>
                <w:rFonts w:hint="eastAsia" w:ascii="Times New Roman" w:hAnsi="Times New Roman" w:cs="Times New Roman"/>
                <w:szCs w:val="21"/>
              </w:rPr>
              <w:t>以外，公司</w:t>
            </w:r>
            <w:r>
              <w:rPr>
                <w:rFonts w:ascii="Times New Roman" w:hAnsi="Times New Roman" w:cs="Times New Roman"/>
                <w:szCs w:val="21"/>
              </w:rPr>
              <w:t>CameraCubeChip</w:t>
            </w:r>
            <w:r>
              <w:rPr>
                <w:rFonts w:hint="eastAsia" w:ascii="Times New Roman" w:hAnsi="Times New Roman" w:cs="Times New Roman"/>
                <w:szCs w:val="21"/>
              </w:rPr>
              <w:t>、</w:t>
            </w:r>
            <w:r>
              <w:rPr>
                <w:rFonts w:ascii="Times New Roman" w:hAnsi="Times New Roman" w:cs="Times New Roman"/>
                <w:szCs w:val="21"/>
              </w:rPr>
              <w:t>LCOS</w:t>
            </w:r>
            <w:r>
              <w:rPr>
                <w:rFonts w:hint="eastAsia" w:ascii="Times New Roman" w:hAnsi="Times New Roman" w:cs="Times New Roman"/>
                <w:szCs w:val="21"/>
              </w:rPr>
              <w:t>、显示芯片、电源管理芯片等产品均已运用在</w:t>
            </w:r>
            <w:r>
              <w:rPr>
                <w:rFonts w:ascii="Times New Roman" w:hAnsi="Times New Roman" w:cs="Times New Roman"/>
                <w:szCs w:val="21"/>
              </w:rPr>
              <w:t>AR/VR</w:t>
            </w:r>
            <w:r>
              <w:rPr>
                <w:rFonts w:hint="eastAsia" w:ascii="Times New Roman" w:hAnsi="Times New Roman" w:cs="Times New Roman"/>
                <w:szCs w:val="21"/>
              </w:rPr>
              <w:t>领域，单机可提供的价值量持续提升。</w:t>
            </w:r>
          </w:p>
          <w:p>
            <w:pPr>
              <w:spacing w:line="360" w:lineRule="auto"/>
              <w:ind w:firstLine="422" w:firstLineChars="200"/>
              <w:rPr>
                <w:rFonts w:ascii="Times New Roman" w:hAnsi="Times New Roman" w:cs="Times New Roman"/>
                <w:szCs w:val="21"/>
              </w:rPr>
            </w:pPr>
            <w:bookmarkStart w:id="0" w:name="_GoBack"/>
            <w:bookmarkEnd w:id="0"/>
            <w:r>
              <w:rPr>
                <w:rFonts w:hint="eastAsia" w:ascii="Times New Roman" w:hAnsi="Times New Roman" w:cs="Times New Roman"/>
                <w:b/>
                <w:szCs w:val="21"/>
              </w:rPr>
              <w:t>问题七：公司的整体毛利率还有提升空间吗？</w:t>
            </w:r>
            <w:r>
              <w:rPr>
                <w:rFonts w:ascii="Times New Roman" w:hAnsi="Times New Roman" w:cs="Times New Roman"/>
                <w:szCs w:val="21"/>
              </w:rPr>
              <w:br w:type="textWrapping"/>
            </w:r>
            <w:r>
              <w:rPr>
                <w:rFonts w:ascii="Times New Roman" w:hAnsi="Times New Roman" w:cs="Times New Roman"/>
                <w:szCs w:val="21"/>
              </w:rPr>
              <w:t xml:space="preserve">    </w:t>
            </w:r>
            <w:r>
              <w:rPr>
                <w:rFonts w:hint="eastAsia" w:ascii="Times New Roman" w:hAnsi="Times New Roman" w:cs="Times New Roman"/>
                <w:szCs w:val="21"/>
              </w:rPr>
              <w:t>答：</w:t>
            </w:r>
            <w:r>
              <w:rPr>
                <w:rFonts w:ascii="Times New Roman" w:hAnsi="Times New Roman" w:cs="Times New Roman"/>
                <w:szCs w:val="21"/>
              </w:rPr>
              <w:t>2024</w:t>
            </w:r>
            <w:r>
              <w:rPr>
                <w:rFonts w:hint="eastAsia" w:ascii="Times New Roman" w:hAnsi="Times New Roman" w:cs="Times New Roman"/>
                <w:szCs w:val="21"/>
              </w:rPr>
              <w:t>年，公司全年综合毛利率为</w:t>
            </w:r>
            <w:r>
              <w:rPr>
                <w:rFonts w:ascii="Times New Roman" w:hAnsi="Times New Roman" w:cs="Times New Roman"/>
                <w:szCs w:val="21"/>
              </w:rPr>
              <w:t>29.36%</w:t>
            </w:r>
            <w:r>
              <w:rPr>
                <w:rFonts w:hint="eastAsia" w:ascii="Times New Roman" w:hAnsi="Times New Roman" w:cs="Times New Roman"/>
                <w:szCs w:val="21"/>
              </w:rPr>
              <w:t>，同比提升</w:t>
            </w:r>
            <w:r>
              <w:rPr>
                <w:rFonts w:ascii="Times New Roman" w:hAnsi="Times New Roman" w:cs="Times New Roman"/>
                <w:szCs w:val="21"/>
              </w:rPr>
              <w:t>7.74</w:t>
            </w:r>
            <w:r>
              <w:rPr>
                <w:rFonts w:hint="eastAsia" w:ascii="Times New Roman" w:hAnsi="Times New Roman" w:cs="Times New Roman"/>
                <w:szCs w:val="21"/>
              </w:rPr>
              <w:t>个百分点。</w:t>
            </w:r>
            <w:r>
              <w:rPr>
                <w:rFonts w:ascii="Times New Roman" w:hAnsi="Times New Roman" w:cs="Times New Roman"/>
                <w:szCs w:val="21"/>
              </w:rPr>
              <w:t>2025</w:t>
            </w:r>
            <w:r>
              <w:rPr>
                <w:rFonts w:hint="eastAsia" w:ascii="Times New Roman" w:hAnsi="Times New Roman" w:cs="Times New Roman"/>
                <w:szCs w:val="21"/>
              </w:rPr>
              <w:t>年第一季度，毛利率持续改善，实现综合毛利率</w:t>
            </w:r>
            <w:r>
              <w:rPr>
                <w:rFonts w:ascii="Times New Roman" w:hAnsi="Times New Roman" w:cs="Times New Roman"/>
                <w:szCs w:val="21"/>
              </w:rPr>
              <w:t>31.03%</w:t>
            </w:r>
            <w:r>
              <w:rPr>
                <w:rFonts w:hint="eastAsia" w:ascii="Times New Roman" w:hAnsi="Times New Roman" w:cs="Times New Roman"/>
                <w:szCs w:val="21"/>
              </w:rPr>
              <w:t>，同比提升</w:t>
            </w:r>
            <w:r>
              <w:rPr>
                <w:rFonts w:ascii="Times New Roman" w:hAnsi="Times New Roman" w:cs="Times New Roman"/>
                <w:szCs w:val="21"/>
              </w:rPr>
              <w:t>3.14</w:t>
            </w:r>
            <w:r>
              <w:rPr>
                <w:rFonts w:hint="eastAsia" w:ascii="Times New Roman" w:hAnsi="Times New Roman" w:cs="Times New Roman"/>
                <w:szCs w:val="21"/>
              </w:rPr>
              <w:t>个百分点，环比提升</w:t>
            </w:r>
            <w:r>
              <w:rPr>
                <w:rFonts w:ascii="Times New Roman" w:hAnsi="Times New Roman" w:cs="Times New Roman"/>
                <w:szCs w:val="21"/>
              </w:rPr>
              <w:t>2.05</w:t>
            </w:r>
            <w:r>
              <w:rPr>
                <w:rFonts w:hint="eastAsia" w:ascii="Times New Roman" w:hAnsi="Times New Roman" w:cs="Times New Roman"/>
                <w:szCs w:val="21"/>
              </w:rPr>
              <w:t>个百分点。公司通过推动产品结构持续优化，并通过供应链梳理增效，毛利率有希望进一步提升。</w:t>
            </w:r>
          </w:p>
        </w:tc>
      </w:tr>
    </w:tbl>
    <w:p>
      <w:pPr>
        <w:spacing w:line="360" w:lineRule="auto"/>
        <w:rPr>
          <w:rFonts w:ascii="Times New Roman" w:hAnsi="Times New Roman" w:cs="Times New Roman"/>
          <w:szCs w:val="21"/>
        </w:rPr>
      </w:pPr>
    </w:p>
    <w:sectPr>
      <w:headerReference r:id="rId3" w:type="default"/>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cs="Times New Roman"/>
      </w:rPr>
    </w:pPr>
    <w:r>
      <w:rPr>
        <w:rFonts w:hint="eastAsia" w:ascii="Times New Roman" w:hAnsi="Times New Roman" w:cs="Times New Roman"/>
      </w:rPr>
      <w:t>证券代码：</w:t>
    </w:r>
    <w:r>
      <w:rPr>
        <w:rFonts w:ascii="Times New Roman" w:hAnsi="Times New Roman" w:cs="Times New Roman"/>
      </w:rPr>
      <w:t xml:space="preserve">603501                                                         </w:t>
    </w:r>
    <w:r>
      <w:rPr>
        <w:rFonts w:hint="eastAsia" w:ascii="Times New Roman" w:hAnsi="Times New Roman" w:cs="Times New Roman"/>
      </w:rPr>
      <w:t>证券简称：韦尔股份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5OTkwMzIzMzc5ZDQyMTU0ODQ0ODY1N2Q0NzZlZDEifQ=="/>
  </w:docVars>
  <w:rsids>
    <w:rsidRoot w:val="00BD16E7"/>
    <w:rsid w:val="000058E7"/>
    <w:rsid w:val="000075EB"/>
    <w:rsid w:val="000105A0"/>
    <w:rsid w:val="00011174"/>
    <w:rsid w:val="00021D6B"/>
    <w:rsid w:val="0002480B"/>
    <w:rsid w:val="00035562"/>
    <w:rsid w:val="00035BB5"/>
    <w:rsid w:val="00045143"/>
    <w:rsid w:val="0004542B"/>
    <w:rsid w:val="000613FB"/>
    <w:rsid w:val="000642C8"/>
    <w:rsid w:val="00071E86"/>
    <w:rsid w:val="00073241"/>
    <w:rsid w:val="00076E57"/>
    <w:rsid w:val="00096653"/>
    <w:rsid w:val="000A0418"/>
    <w:rsid w:val="000A432F"/>
    <w:rsid w:val="000B239C"/>
    <w:rsid w:val="000B3384"/>
    <w:rsid w:val="000B5709"/>
    <w:rsid w:val="000C1B9F"/>
    <w:rsid w:val="000D2C22"/>
    <w:rsid w:val="000D3CE5"/>
    <w:rsid w:val="000E0B9E"/>
    <w:rsid w:val="000E4FCA"/>
    <w:rsid w:val="00101497"/>
    <w:rsid w:val="0010590F"/>
    <w:rsid w:val="00107B16"/>
    <w:rsid w:val="00117D22"/>
    <w:rsid w:val="00123E32"/>
    <w:rsid w:val="001254AE"/>
    <w:rsid w:val="00131409"/>
    <w:rsid w:val="001379FE"/>
    <w:rsid w:val="001501CE"/>
    <w:rsid w:val="00153473"/>
    <w:rsid w:val="00153502"/>
    <w:rsid w:val="00155E22"/>
    <w:rsid w:val="00156F3E"/>
    <w:rsid w:val="001623E4"/>
    <w:rsid w:val="00163FC9"/>
    <w:rsid w:val="0017647A"/>
    <w:rsid w:val="00184D8F"/>
    <w:rsid w:val="00187131"/>
    <w:rsid w:val="00190D3F"/>
    <w:rsid w:val="00195055"/>
    <w:rsid w:val="00197BB2"/>
    <w:rsid w:val="001A3BB3"/>
    <w:rsid w:val="001A5054"/>
    <w:rsid w:val="001B2B9D"/>
    <w:rsid w:val="001B7932"/>
    <w:rsid w:val="001C3760"/>
    <w:rsid w:val="001D0FC1"/>
    <w:rsid w:val="001D10CD"/>
    <w:rsid w:val="001D3F56"/>
    <w:rsid w:val="001F0DA3"/>
    <w:rsid w:val="001F1CB4"/>
    <w:rsid w:val="001F2671"/>
    <w:rsid w:val="001F26F1"/>
    <w:rsid w:val="001F325B"/>
    <w:rsid w:val="001F58AB"/>
    <w:rsid w:val="001F79D7"/>
    <w:rsid w:val="0021236C"/>
    <w:rsid w:val="00216C22"/>
    <w:rsid w:val="00216E74"/>
    <w:rsid w:val="002173E8"/>
    <w:rsid w:val="00223434"/>
    <w:rsid w:val="002266F7"/>
    <w:rsid w:val="002274C8"/>
    <w:rsid w:val="002431BA"/>
    <w:rsid w:val="00244246"/>
    <w:rsid w:val="00250BEC"/>
    <w:rsid w:val="00254E0F"/>
    <w:rsid w:val="002570AA"/>
    <w:rsid w:val="0027492E"/>
    <w:rsid w:val="00286720"/>
    <w:rsid w:val="00297D27"/>
    <w:rsid w:val="002A1560"/>
    <w:rsid w:val="002A7F71"/>
    <w:rsid w:val="002B24F1"/>
    <w:rsid w:val="002C0BF1"/>
    <w:rsid w:val="002D3D04"/>
    <w:rsid w:val="002F2538"/>
    <w:rsid w:val="002F79BE"/>
    <w:rsid w:val="00300357"/>
    <w:rsid w:val="0031031F"/>
    <w:rsid w:val="003133E4"/>
    <w:rsid w:val="0032205B"/>
    <w:rsid w:val="00323323"/>
    <w:rsid w:val="0032409E"/>
    <w:rsid w:val="00326117"/>
    <w:rsid w:val="0033250B"/>
    <w:rsid w:val="00332AFC"/>
    <w:rsid w:val="00333C5E"/>
    <w:rsid w:val="00335580"/>
    <w:rsid w:val="00337E1A"/>
    <w:rsid w:val="003446E7"/>
    <w:rsid w:val="0035284D"/>
    <w:rsid w:val="00361E35"/>
    <w:rsid w:val="003642FE"/>
    <w:rsid w:val="003701CB"/>
    <w:rsid w:val="003702E6"/>
    <w:rsid w:val="00384C4C"/>
    <w:rsid w:val="0038792A"/>
    <w:rsid w:val="00392BFD"/>
    <w:rsid w:val="003A3959"/>
    <w:rsid w:val="003C072A"/>
    <w:rsid w:val="003C42E9"/>
    <w:rsid w:val="003E0E01"/>
    <w:rsid w:val="003E11D2"/>
    <w:rsid w:val="003E5387"/>
    <w:rsid w:val="00401FBD"/>
    <w:rsid w:val="00406284"/>
    <w:rsid w:val="004079C6"/>
    <w:rsid w:val="00407ED6"/>
    <w:rsid w:val="00414949"/>
    <w:rsid w:val="00420E28"/>
    <w:rsid w:val="0042191E"/>
    <w:rsid w:val="00437222"/>
    <w:rsid w:val="004435C4"/>
    <w:rsid w:val="00445596"/>
    <w:rsid w:val="0046210C"/>
    <w:rsid w:val="00465ED1"/>
    <w:rsid w:val="00471D90"/>
    <w:rsid w:val="00474279"/>
    <w:rsid w:val="00481A4D"/>
    <w:rsid w:val="00487D25"/>
    <w:rsid w:val="00493E1F"/>
    <w:rsid w:val="0049519B"/>
    <w:rsid w:val="004966CE"/>
    <w:rsid w:val="004A1D5D"/>
    <w:rsid w:val="004A39D9"/>
    <w:rsid w:val="004A5D68"/>
    <w:rsid w:val="004B22AF"/>
    <w:rsid w:val="004B6FBB"/>
    <w:rsid w:val="004C1E4C"/>
    <w:rsid w:val="004C34FF"/>
    <w:rsid w:val="004D0852"/>
    <w:rsid w:val="004D3C17"/>
    <w:rsid w:val="004D574C"/>
    <w:rsid w:val="004D79A4"/>
    <w:rsid w:val="004E0A9F"/>
    <w:rsid w:val="004E2779"/>
    <w:rsid w:val="004E4151"/>
    <w:rsid w:val="004E79AF"/>
    <w:rsid w:val="004F2774"/>
    <w:rsid w:val="00504A01"/>
    <w:rsid w:val="00505E07"/>
    <w:rsid w:val="00506EBD"/>
    <w:rsid w:val="0050761C"/>
    <w:rsid w:val="00523D0D"/>
    <w:rsid w:val="005335B1"/>
    <w:rsid w:val="00534CC0"/>
    <w:rsid w:val="0053714D"/>
    <w:rsid w:val="005717AB"/>
    <w:rsid w:val="005753B1"/>
    <w:rsid w:val="005801F8"/>
    <w:rsid w:val="00582DEA"/>
    <w:rsid w:val="00592F32"/>
    <w:rsid w:val="00594F75"/>
    <w:rsid w:val="005A0E51"/>
    <w:rsid w:val="005A6E20"/>
    <w:rsid w:val="005B147D"/>
    <w:rsid w:val="005B6F7F"/>
    <w:rsid w:val="005C10E9"/>
    <w:rsid w:val="005C233C"/>
    <w:rsid w:val="005C3C64"/>
    <w:rsid w:val="005F2E36"/>
    <w:rsid w:val="005F36EA"/>
    <w:rsid w:val="005F44A7"/>
    <w:rsid w:val="005F5EB1"/>
    <w:rsid w:val="005F72B1"/>
    <w:rsid w:val="00602184"/>
    <w:rsid w:val="00602C90"/>
    <w:rsid w:val="00611924"/>
    <w:rsid w:val="00614D2B"/>
    <w:rsid w:val="006233FA"/>
    <w:rsid w:val="006241D6"/>
    <w:rsid w:val="006248AF"/>
    <w:rsid w:val="00630133"/>
    <w:rsid w:val="006316E5"/>
    <w:rsid w:val="0064059C"/>
    <w:rsid w:val="00640D80"/>
    <w:rsid w:val="00642E3A"/>
    <w:rsid w:val="0065434F"/>
    <w:rsid w:val="0065581B"/>
    <w:rsid w:val="0066522E"/>
    <w:rsid w:val="00666DD9"/>
    <w:rsid w:val="00672673"/>
    <w:rsid w:val="0067327F"/>
    <w:rsid w:val="00681CB4"/>
    <w:rsid w:val="00692072"/>
    <w:rsid w:val="00693942"/>
    <w:rsid w:val="006947D3"/>
    <w:rsid w:val="00695DB5"/>
    <w:rsid w:val="006970D8"/>
    <w:rsid w:val="006A0444"/>
    <w:rsid w:val="006B1035"/>
    <w:rsid w:val="006B26C6"/>
    <w:rsid w:val="006C1895"/>
    <w:rsid w:val="006C4581"/>
    <w:rsid w:val="006C4E62"/>
    <w:rsid w:val="006D13E4"/>
    <w:rsid w:val="006E18B0"/>
    <w:rsid w:val="00703A03"/>
    <w:rsid w:val="007175ED"/>
    <w:rsid w:val="0071780A"/>
    <w:rsid w:val="007235DF"/>
    <w:rsid w:val="00727D77"/>
    <w:rsid w:val="00735372"/>
    <w:rsid w:val="00746E08"/>
    <w:rsid w:val="00752C95"/>
    <w:rsid w:val="00763271"/>
    <w:rsid w:val="00776A81"/>
    <w:rsid w:val="007831AF"/>
    <w:rsid w:val="00786D31"/>
    <w:rsid w:val="007A6755"/>
    <w:rsid w:val="007B30CB"/>
    <w:rsid w:val="007B6389"/>
    <w:rsid w:val="007C1561"/>
    <w:rsid w:val="007C7E0E"/>
    <w:rsid w:val="007D2053"/>
    <w:rsid w:val="007D7F33"/>
    <w:rsid w:val="007E3C2A"/>
    <w:rsid w:val="007E7184"/>
    <w:rsid w:val="007E73BE"/>
    <w:rsid w:val="007F2653"/>
    <w:rsid w:val="0080343B"/>
    <w:rsid w:val="00803803"/>
    <w:rsid w:val="00813637"/>
    <w:rsid w:val="0081510E"/>
    <w:rsid w:val="008223D6"/>
    <w:rsid w:val="00823DDE"/>
    <w:rsid w:val="008272A4"/>
    <w:rsid w:val="00831AF2"/>
    <w:rsid w:val="00840597"/>
    <w:rsid w:val="00846D9F"/>
    <w:rsid w:val="008617B4"/>
    <w:rsid w:val="00867B2D"/>
    <w:rsid w:val="00871A65"/>
    <w:rsid w:val="00871F03"/>
    <w:rsid w:val="0087492E"/>
    <w:rsid w:val="00875294"/>
    <w:rsid w:val="008766C2"/>
    <w:rsid w:val="008817D6"/>
    <w:rsid w:val="0088268E"/>
    <w:rsid w:val="00883532"/>
    <w:rsid w:val="008942F2"/>
    <w:rsid w:val="00896FEF"/>
    <w:rsid w:val="0089746C"/>
    <w:rsid w:val="008977AC"/>
    <w:rsid w:val="008B6681"/>
    <w:rsid w:val="008D0313"/>
    <w:rsid w:val="008D7281"/>
    <w:rsid w:val="008E3E94"/>
    <w:rsid w:val="008E76B0"/>
    <w:rsid w:val="008E7B7C"/>
    <w:rsid w:val="008F44C2"/>
    <w:rsid w:val="00900074"/>
    <w:rsid w:val="009013C6"/>
    <w:rsid w:val="00904D7E"/>
    <w:rsid w:val="009116B1"/>
    <w:rsid w:val="00923FE1"/>
    <w:rsid w:val="00945192"/>
    <w:rsid w:val="0094557A"/>
    <w:rsid w:val="00950263"/>
    <w:rsid w:val="00962378"/>
    <w:rsid w:val="00964FCC"/>
    <w:rsid w:val="00976313"/>
    <w:rsid w:val="0097725B"/>
    <w:rsid w:val="00980B07"/>
    <w:rsid w:val="009829A0"/>
    <w:rsid w:val="00982E64"/>
    <w:rsid w:val="009A13CE"/>
    <w:rsid w:val="009A7CCB"/>
    <w:rsid w:val="009B0AE2"/>
    <w:rsid w:val="009B0CF1"/>
    <w:rsid w:val="009B1BB5"/>
    <w:rsid w:val="009B618B"/>
    <w:rsid w:val="009D1239"/>
    <w:rsid w:val="009D4FF0"/>
    <w:rsid w:val="009D574A"/>
    <w:rsid w:val="009D7CCD"/>
    <w:rsid w:val="009E269B"/>
    <w:rsid w:val="009E2D1F"/>
    <w:rsid w:val="009E69D5"/>
    <w:rsid w:val="009F3A87"/>
    <w:rsid w:val="00A00256"/>
    <w:rsid w:val="00A02B90"/>
    <w:rsid w:val="00A065C5"/>
    <w:rsid w:val="00A07E1B"/>
    <w:rsid w:val="00A16C23"/>
    <w:rsid w:val="00A20869"/>
    <w:rsid w:val="00A23D0E"/>
    <w:rsid w:val="00A258E0"/>
    <w:rsid w:val="00A263B4"/>
    <w:rsid w:val="00A35509"/>
    <w:rsid w:val="00A41C8A"/>
    <w:rsid w:val="00A73097"/>
    <w:rsid w:val="00A809F3"/>
    <w:rsid w:val="00A82189"/>
    <w:rsid w:val="00A82E22"/>
    <w:rsid w:val="00A832A0"/>
    <w:rsid w:val="00AA0D2A"/>
    <w:rsid w:val="00AA43FA"/>
    <w:rsid w:val="00AA4B5D"/>
    <w:rsid w:val="00AA5EAE"/>
    <w:rsid w:val="00AB1B11"/>
    <w:rsid w:val="00AB2263"/>
    <w:rsid w:val="00AC0CEF"/>
    <w:rsid w:val="00AD0A7E"/>
    <w:rsid w:val="00AD0CEE"/>
    <w:rsid w:val="00AD70A9"/>
    <w:rsid w:val="00AE522F"/>
    <w:rsid w:val="00AE75B6"/>
    <w:rsid w:val="00AE77B5"/>
    <w:rsid w:val="00AE7E57"/>
    <w:rsid w:val="00AF296E"/>
    <w:rsid w:val="00B019EB"/>
    <w:rsid w:val="00B02CC1"/>
    <w:rsid w:val="00B0377D"/>
    <w:rsid w:val="00B06340"/>
    <w:rsid w:val="00B11DE4"/>
    <w:rsid w:val="00B147A8"/>
    <w:rsid w:val="00B20A3E"/>
    <w:rsid w:val="00B26A70"/>
    <w:rsid w:val="00B27D7A"/>
    <w:rsid w:val="00B40D20"/>
    <w:rsid w:val="00B427D0"/>
    <w:rsid w:val="00B4441A"/>
    <w:rsid w:val="00B52FEF"/>
    <w:rsid w:val="00B54121"/>
    <w:rsid w:val="00B62F6B"/>
    <w:rsid w:val="00B653AA"/>
    <w:rsid w:val="00B74A0E"/>
    <w:rsid w:val="00BA0249"/>
    <w:rsid w:val="00BA2A04"/>
    <w:rsid w:val="00BA50BD"/>
    <w:rsid w:val="00BA5655"/>
    <w:rsid w:val="00BB2444"/>
    <w:rsid w:val="00BB2ADD"/>
    <w:rsid w:val="00BC1320"/>
    <w:rsid w:val="00BD092B"/>
    <w:rsid w:val="00BD16E7"/>
    <w:rsid w:val="00BE0647"/>
    <w:rsid w:val="00BE69C3"/>
    <w:rsid w:val="00BF500C"/>
    <w:rsid w:val="00BF58C7"/>
    <w:rsid w:val="00BF7640"/>
    <w:rsid w:val="00C07A62"/>
    <w:rsid w:val="00C113A8"/>
    <w:rsid w:val="00C20A30"/>
    <w:rsid w:val="00C26227"/>
    <w:rsid w:val="00C30E00"/>
    <w:rsid w:val="00C32D3C"/>
    <w:rsid w:val="00C33C91"/>
    <w:rsid w:val="00C402AF"/>
    <w:rsid w:val="00C645D9"/>
    <w:rsid w:val="00C74D5D"/>
    <w:rsid w:val="00C80DC8"/>
    <w:rsid w:val="00C96FDF"/>
    <w:rsid w:val="00CA66F7"/>
    <w:rsid w:val="00CB2636"/>
    <w:rsid w:val="00CB52F3"/>
    <w:rsid w:val="00CB6025"/>
    <w:rsid w:val="00CC1092"/>
    <w:rsid w:val="00CD49AF"/>
    <w:rsid w:val="00CE2DC6"/>
    <w:rsid w:val="00D004D0"/>
    <w:rsid w:val="00D04422"/>
    <w:rsid w:val="00D07D67"/>
    <w:rsid w:val="00D118A4"/>
    <w:rsid w:val="00D121BC"/>
    <w:rsid w:val="00D24E69"/>
    <w:rsid w:val="00D253DE"/>
    <w:rsid w:val="00D30297"/>
    <w:rsid w:val="00D35CFC"/>
    <w:rsid w:val="00D414AD"/>
    <w:rsid w:val="00D43F25"/>
    <w:rsid w:val="00D46A23"/>
    <w:rsid w:val="00D47118"/>
    <w:rsid w:val="00D4716E"/>
    <w:rsid w:val="00D51CBF"/>
    <w:rsid w:val="00D560DD"/>
    <w:rsid w:val="00D5685F"/>
    <w:rsid w:val="00D5724B"/>
    <w:rsid w:val="00D57D6D"/>
    <w:rsid w:val="00D75BB5"/>
    <w:rsid w:val="00D80097"/>
    <w:rsid w:val="00D80DA7"/>
    <w:rsid w:val="00D83D61"/>
    <w:rsid w:val="00D84F02"/>
    <w:rsid w:val="00D87A98"/>
    <w:rsid w:val="00D90141"/>
    <w:rsid w:val="00DA0DB3"/>
    <w:rsid w:val="00DA781F"/>
    <w:rsid w:val="00DA7FF5"/>
    <w:rsid w:val="00DC0288"/>
    <w:rsid w:val="00DC313F"/>
    <w:rsid w:val="00DC5852"/>
    <w:rsid w:val="00DC5A2E"/>
    <w:rsid w:val="00DD3F39"/>
    <w:rsid w:val="00DE25BC"/>
    <w:rsid w:val="00DE462E"/>
    <w:rsid w:val="00E1709E"/>
    <w:rsid w:val="00E203AF"/>
    <w:rsid w:val="00E23B3C"/>
    <w:rsid w:val="00E23B46"/>
    <w:rsid w:val="00E40D87"/>
    <w:rsid w:val="00E45935"/>
    <w:rsid w:val="00E460FA"/>
    <w:rsid w:val="00E51A7F"/>
    <w:rsid w:val="00E53A38"/>
    <w:rsid w:val="00E57F78"/>
    <w:rsid w:val="00E61FBD"/>
    <w:rsid w:val="00E65B1D"/>
    <w:rsid w:val="00E75C12"/>
    <w:rsid w:val="00E76A8A"/>
    <w:rsid w:val="00E77A81"/>
    <w:rsid w:val="00E8778C"/>
    <w:rsid w:val="00E90769"/>
    <w:rsid w:val="00E9239C"/>
    <w:rsid w:val="00E961F6"/>
    <w:rsid w:val="00E978F9"/>
    <w:rsid w:val="00EA465C"/>
    <w:rsid w:val="00EA752F"/>
    <w:rsid w:val="00EB122C"/>
    <w:rsid w:val="00ED259D"/>
    <w:rsid w:val="00F031D4"/>
    <w:rsid w:val="00F05ABE"/>
    <w:rsid w:val="00F10C86"/>
    <w:rsid w:val="00F152B2"/>
    <w:rsid w:val="00F16D3A"/>
    <w:rsid w:val="00F25B06"/>
    <w:rsid w:val="00F337FD"/>
    <w:rsid w:val="00F36FAE"/>
    <w:rsid w:val="00F40B51"/>
    <w:rsid w:val="00F44360"/>
    <w:rsid w:val="00F46583"/>
    <w:rsid w:val="00F63187"/>
    <w:rsid w:val="00F64279"/>
    <w:rsid w:val="00F76795"/>
    <w:rsid w:val="00F87EA7"/>
    <w:rsid w:val="00FB0C79"/>
    <w:rsid w:val="00FB2AAE"/>
    <w:rsid w:val="00FB586E"/>
    <w:rsid w:val="00FC1AB8"/>
    <w:rsid w:val="00FC6FF2"/>
    <w:rsid w:val="00FE35D1"/>
    <w:rsid w:val="00FE3D4F"/>
    <w:rsid w:val="0725A9C2"/>
    <w:rsid w:val="1F7F8CBE"/>
    <w:rsid w:val="20F2730A"/>
    <w:rsid w:val="26FB74A1"/>
    <w:rsid w:val="31D3A984"/>
    <w:rsid w:val="3D677C66"/>
    <w:rsid w:val="3F79C8BA"/>
    <w:rsid w:val="4FBF0EDB"/>
    <w:rsid w:val="4FF663B6"/>
    <w:rsid w:val="52FC8F04"/>
    <w:rsid w:val="5CE7E129"/>
    <w:rsid w:val="5FEBCD87"/>
    <w:rsid w:val="5FF9AB67"/>
    <w:rsid w:val="6FAE34DE"/>
    <w:rsid w:val="73D77F1D"/>
    <w:rsid w:val="79BF9AF0"/>
    <w:rsid w:val="7A203A50"/>
    <w:rsid w:val="7DAE2F0D"/>
    <w:rsid w:val="7E7F1914"/>
    <w:rsid w:val="7F658BA9"/>
    <w:rsid w:val="7FFB8572"/>
    <w:rsid w:val="9EF7B332"/>
    <w:rsid w:val="B4B3EB2C"/>
    <w:rsid w:val="BB75829B"/>
    <w:rsid w:val="BBEB7165"/>
    <w:rsid w:val="BF79FBD9"/>
    <w:rsid w:val="C31B14CD"/>
    <w:rsid w:val="C6FB3D23"/>
    <w:rsid w:val="D3EF46A4"/>
    <w:rsid w:val="D7F7A0F7"/>
    <w:rsid w:val="DABBA363"/>
    <w:rsid w:val="DBF7C3B2"/>
    <w:rsid w:val="DDEF998F"/>
    <w:rsid w:val="DDF61F6B"/>
    <w:rsid w:val="E55F8F8E"/>
    <w:rsid w:val="E8FA15D5"/>
    <w:rsid w:val="EF7FB08C"/>
    <w:rsid w:val="EFBC5F0A"/>
    <w:rsid w:val="F4D9B67B"/>
    <w:rsid w:val="F8FAFFE2"/>
    <w:rsid w:val="FB776FF0"/>
    <w:rsid w:val="FBF74829"/>
    <w:rsid w:val="FFB567B4"/>
    <w:rsid w:val="FFCF1985"/>
    <w:rsid w:val="FFFFC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widowControl/>
      <w:spacing w:before="150" w:beforeLines="150" w:after="50" w:afterLines="50"/>
      <w:outlineLvl w:val="0"/>
    </w:pPr>
    <w:rPr>
      <w:rFonts w:ascii="Arial" w:hAnsi="Arial" w:eastAsia="楷体_GB2312" w:cs="Times New Roman"/>
      <w:b/>
      <w:bCs/>
      <w:color w:val="FF0000"/>
      <w:kern w:val="36"/>
      <w:szCs w:val="48"/>
    </w:rPr>
  </w:style>
  <w:style w:type="paragraph" w:styleId="3">
    <w:name w:val="heading 3"/>
    <w:basedOn w:val="1"/>
    <w:next w:val="1"/>
    <w:link w:val="21"/>
    <w:autoRedefine/>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semiHidden/>
    <w:unhideWhenUsed/>
    <w:qFormat/>
    <w:uiPriority w:val="99"/>
    <w:pPr>
      <w:jc w:val="left"/>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3"/>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页眉 字符"/>
    <w:basedOn w:val="12"/>
    <w:link w:val="7"/>
    <w:uiPriority w:val="99"/>
    <w:rPr>
      <w:sz w:val="18"/>
      <w:szCs w:val="18"/>
    </w:rPr>
  </w:style>
  <w:style w:type="character" w:customStyle="1" w:styleId="15">
    <w:name w:val="页脚 字符"/>
    <w:basedOn w:val="12"/>
    <w:link w:val="6"/>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批注框文本 字符"/>
    <w:basedOn w:val="12"/>
    <w:link w:val="5"/>
    <w:autoRedefine/>
    <w:semiHidden/>
    <w:qFormat/>
    <w:uiPriority w:val="99"/>
    <w:rPr>
      <w:sz w:val="18"/>
      <w:szCs w:val="18"/>
    </w:rPr>
  </w:style>
  <w:style w:type="character" w:customStyle="1" w:styleId="18">
    <w:name w:val="标题 1 字符"/>
    <w:basedOn w:val="12"/>
    <w:link w:val="2"/>
    <w:autoRedefine/>
    <w:qFormat/>
    <w:uiPriority w:val="0"/>
    <w:rPr>
      <w:rFonts w:ascii="Arial" w:hAnsi="Arial" w:eastAsia="楷体_GB2312" w:cs="Times New Roman"/>
      <w:b/>
      <w:bCs/>
      <w:color w:val="FF0000"/>
      <w:kern w:val="36"/>
      <w:szCs w:val="48"/>
    </w:rPr>
  </w:style>
  <w:style w:type="paragraph" w:customStyle="1" w:styleId="19">
    <w:name w:val="问题"/>
    <w:basedOn w:val="1"/>
    <w:next w:val="1"/>
    <w:link w:val="20"/>
    <w:autoRedefine/>
    <w:qFormat/>
    <w:uiPriority w:val="0"/>
    <w:pPr>
      <w:widowControl/>
      <w:spacing w:before="200" w:beforeLines="200" w:after="100" w:afterLines="100"/>
      <w:ind w:firstLine="200" w:firstLineChars="200"/>
    </w:pPr>
    <w:rPr>
      <w:rFonts w:ascii="Arial" w:hAnsi="Arial" w:eastAsia="楷体_GB2312" w:cs="Times New Roman"/>
      <w:b/>
      <w:kern w:val="0"/>
      <w:szCs w:val="24"/>
    </w:rPr>
  </w:style>
  <w:style w:type="character" w:customStyle="1" w:styleId="20">
    <w:name w:val="问题 字符"/>
    <w:link w:val="19"/>
    <w:autoRedefine/>
    <w:qFormat/>
    <w:uiPriority w:val="0"/>
    <w:rPr>
      <w:rFonts w:ascii="Arial" w:hAnsi="Arial" w:eastAsia="楷体_GB2312" w:cs="Times New Roman"/>
      <w:b/>
      <w:kern w:val="0"/>
      <w:szCs w:val="24"/>
      <w:lang w:val="en-US"/>
    </w:rPr>
  </w:style>
  <w:style w:type="character" w:customStyle="1" w:styleId="21">
    <w:name w:val="标题 3 字符"/>
    <w:basedOn w:val="12"/>
    <w:link w:val="3"/>
    <w:autoRedefine/>
    <w:semiHidden/>
    <w:qFormat/>
    <w:uiPriority w:val="9"/>
    <w:rPr>
      <w:b/>
      <w:bCs/>
      <w:sz w:val="32"/>
      <w:szCs w:val="32"/>
    </w:rPr>
  </w:style>
  <w:style w:type="character" w:customStyle="1" w:styleId="22">
    <w:name w:val="批注文字 字符"/>
    <w:basedOn w:val="12"/>
    <w:link w:val="4"/>
    <w:autoRedefine/>
    <w:semiHidden/>
    <w:qFormat/>
    <w:uiPriority w:val="99"/>
  </w:style>
  <w:style w:type="character" w:customStyle="1" w:styleId="23">
    <w:name w:val="批注主题 字符"/>
    <w:basedOn w:val="22"/>
    <w:link w:val="9"/>
    <w:autoRedefine/>
    <w:semiHidden/>
    <w:qFormat/>
    <w:uiPriority w:val="99"/>
    <w:rPr>
      <w:b/>
      <w:bCs/>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E9D25205-CBC9-4664-8A83-C2966AB798EB}">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787</Words>
  <Characters>4492</Characters>
  <Lines>37</Lines>
  <Paragraphs>10</Paragraphs>
  <TotalTime>49</TotalTime>
  <ScaleCrop>false</ScaleCrop>
  <LinksUpToDate>false</LinksUpToDate>
  <CharactersWithSpaces>5269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2025-04-30T03:07:00Z</dcterms:created>
  <dc:creator>Jassie Li 李境晗</dc:creator>
  <cp:lastModifiedBy>qizhang</cp:lastModifiedBy>
  <cp:lastPrinted>2021-07-14T01:56:00Z</cp:lastPrinted>
  <dcterms:modified xsi:type="dcterms:W3CDTF">2025-04-30T08:38:25Z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B6CD3AAEBC92978870EF0D683245A582_42</vt:lpwstr>
  </property>
</Properties>
</file>