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580B7">
      <w:pPr>
        <w:pStyle w:val="2"/>
        <w:spacing w:before="40"/>
        <w:ind w:left="0" w:leftChars="0" w:firstLine="240" w:firstLineChars="100"/>
        <w:jc w:val="left"/>
        <w:rPr>
          <w:rFonts w:hint="default" w:eastAsia="宋体"/>
          <w:lang w:val="en-US" w:eastAsia="zh-CN"/>
        </w:rPr>
      </w:pPr>
      <w:r>
        <w:t>证券代码：</w:t>
      </w:r>
      <w:r>
        <w:rPr>
          <w:rFonts w:hint="eastAsia"/>
          <w:lang w:val="en-US" w:eastAsia="zh-CN"/>
        </w:rPr>
        <w:t>688380</w:t>
      </w:r>
      <w:r>
        <w:t xml:space="preserve"> </w:t>
      </w:r>
      <w:r>
        <w:rPr>
          <w:rFonts w:hint="eastAsia"/>
          <w:lang w:val="en-US" w:eastAsia="zh-CN"/>
        </w:rPr>
        <w:t xml:space="preserve">                                           </w:t>
      </w:r>
      <w:r>
        <w:t>证券简称：</w:t>
      </w:r>
      <w:r>
        <w:rPr>
          <w:rFonts w:hint="eastAsia"/>
          <w:lang w:val="en-US" w:eastAsia="zh-CN"/>
        </w:rPr>
        <w:t>中微半导</w:t>
      </w:r>
    </w:p>
    <w:p w14:paraId="1F057622">
      <w:pPr>
        <w:pStyle w:val="2"/>
        <w:rPr>
          <w:sz w:val="29"/>
        </w:rPr>
      </w:pPr>
    </w:p>
    <w:p w14:paraId="33664230">
      <w:pPr>
        <w:spacing w:before="54"/>
        <w:ind w:left="1943" w:right="1782" w:firstLine="0"/>
        <w:jc w:val="center"/>
        <w:rPr>
          <w:b/>
          <w:sz w:val="32"/>
        </w:rPr>
      </w:pPr>
      <w:r>
        <w:rPr>
          <w:rFonts w:hint="eastAsia"/>
          <w:b/>
          <w:sz w:val="32"/>
          <w:lang w:val="en-US" w:eastAsia="zh-CN"/>
        </w:rPr>
        <w:t>中微半导体（深圳）</w:t>
      </w:r>
      <w:r>
        <w:rPr>
          <w:b/>
          <w:sz w:val="32"/>
        </w:rPr>
        <w:t>股份有限公司</w:t>
      </w:r>
    </w:p>
    <w:p w14:paraId="1973570D">
      <w:pPr>
        <w:spacing w:before="54"/>
        <w:ind w:left="1943" w:right="1782" w:firstLine="0"/>
        <w:jc w:val="center"/>
        <w:rPr>
          <w:rFonts w:hint="default"/>
          <w:b/>
          <w:sz w:val="32"/>
          <w:lang w:val="en-US"/>
        </w:rPr>
      </w:pPr>
      <w:r>
        <w:rPr>
          <w:b/>
          <w:sz w:val="32"/>
        </w:rPr>
        <w:t>投资者关系活动记录表</w:t>
      </w:r>
      <w:r>
        <w:rPr>
          <w:b/>
          <w:w w:val="98"/>
          <w:sz w:val="32"/>
        </w:rPr>
        <w:t xml:space="preserve"> </w:t>
      </w:r>
    </w:p>
    <w:p w14:paraId="04D080E8">
      <w:pPr>
        <w:keepNext w:val="0"/>
        <w:keepLines w:val="0"/>
        <w:pageBreakBefore w:val="0"/>
        <w:widowControl w:val="0"/>
        <w:kinsoku/>
        <w:wordWrap/>
        <w:overflowPunct/>
        <w:topLinePunct w:val="0"/>
        <w:autoSpaceDE w:val="0"/>
        <w:autoSpaceDN w:val="0"/>
        <w:bidi w:val="0"/>
        <w:adjustRightInd/>
        <w:snapToGrid/>
        <w:spacing w:before="132" w:after="21"/>
        <w:ind w:left="0" w:right="0" w:firstLine="0"/>
        <w:jc w:val="center"/>
        <w:textAlignment w:val="auto"/>
        <w:rPr>
          <w:rFonts w:hint="default"/>
          <w:sz w:val="24"/>
          <w:szCs w:val="28"/>
          <w:highlight w:val="yellow"/>
          <w:lang w:val="en-US"/>
        </w:rPr>
      </w:pPr>
      <w:r>
        <w:rPr>
          <w:rFonts w:hint="eastAsia"/>
          <w:sz w:val="24"/>
          <w:szCs w:val="28"/>
          <w:highlight w:val="none"/>
          <w:lang w:val="en-US" w:eastAsia="zh-CN"/>
        </w:rPr>
        <w:t xml:space="preserve">                                                                 </w:t>
      </w:r>
      <w:r>
        <w:rPr>
          <w:sz w:val="24"/>
          <w:szCs w:val="28"/>
          <w:highlight w:val="none"/>
        </w:rPr>
        <w:t>编号</w:t>
      </w:r>
      <w:r>
        <w:rPr>
          <w:rFonts w:hint="eastAsia"/>
          <w:sz w:val="24"/>
          <w:szCs w:val="28"/>
          <w:highlight w:val="none"/>
          <w:lang w:eastAsia="zh-CN"/>
        </w:rPr>
        <w:t>：</w:t>
      </w:r>
      <w:r>
        <w:rPr>
          <w:sz w:val="24"/>
          <w:szCs w:val="28"/>
          <w:highlight w:val="none"/>
        </w:rPr>
        <w:t>202</w:t>
      </w:r>
      <w:r>
        <w:rPr>
          <w:rFonts w:hint="eastAsia"/>
          <w:sz w:val="24"/>
          <w:szCs w:val="28"/>
          <w:highlight w:val="none"/>
          <w:lang w:val="en-US" w:eastAsia="zh-CN"/>
        </w:rPr>
        <w:t>5</w:t>
      </w:r>
      <w:r>
        <w:rPr>
          <w:sz w:val="24"/>
          <w:szCs w:val="28"/>
          <w:highlight w:val="none"/>
        </w:rPr>
        <w:t>-</w:t>
      </w:r>
      <w:r>
        <w:rPr>
          <w:rFonts w:hint="eastAsia"/>
          <w:sz w:val="24"/>
          <w:szCs w:val="28"/>
          <w:highlight w:val="none"/>
          <w:lang w:val="en-US" w:eastAsia="zh-CN"/>
        </w:rPr>
        <w:t>0</w:t>
      </w:r>
      <w:r>
        <w:rPr>
          <w:rFonts w:hint="default"/>
          <w:sz w:val="24"/>
          <w:szCs w:val="28"/>
          <w:highlight w:val="none"/>
          <w:lang w:val="en-US" w:eastAsia="zh-CN"/>
        </w:rPr>
        <w:t>0</w:t>
      </w:r>
      <w:r>
        <w:rPr>
          <w:rFonts w:hint="eastAsia"/>
          <w:sz w:val="24"/>
          <w:szCs w:val="28"/>
          <w:highlight w:val="none"/>
          <w:lang w:val="en-US" w:eastAsia="zh-CN"/>
        </w:rPr>
        <w:t>7</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4"/>
        <w:gridCol w:w="8220"/>
      </w:tblGrid>
      <w:tr w14:paraId="51DE1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2" w:hRule="atLeast"/>
          <w:jc w:val="center"/>
        </w:trPr>
        <w:tc>
          <w:tcPr>
            <w:tcW w:w="1524" w:type="dxa"/>
            <w:tcMar>
              <w:top w:w="0" w:type="dxa"/>
              <w:left w:w="113" w:type="dxa"/>
              <w:bottom w:w="0" w:type="dxa"/>
              <w:right w:w="113" w:type="dxa"/>
            </w:tcMar>
            <w:vAlign w:val="center"/>
          </w:tcPr>
          <w:p w14:paraId="5C30FA51">
            <w:pPr>
              <w:pStyle w:val="8"/>
              <w:spacing w:line="242" w:lineRule="auto"/>
              <w:ind w:left="0" w:leftChars="0" w:right="72" w:firstLine="0" w:firstLineChars="0"/>
              <w:jc w:val="center"/>
              <w:rPr>
                <w:b w:val="0"/>
                <w:bCs w:val="0"/>
                <w:sz w:val="24"/>
                <w:szCs w:val="24"/>
              </w:rPr>
            </w:pPr>
            <w:r>
              <w:rPr>
                <w:b w:val="0"/>
                <w:bCs w:val="0"/>
                <w:sz w:val="24"/>
                <w:szCs w:val="24"/>
              </w:rPr>
              <w:t>投资者来访类别</w:t>
            </w:r>
          </w:p>
        </w:tc>
        <w:tc>
          <w:tcPr>
            <w:tcW w:w="8220" w:type="dxa"/>
            <w:vAlign w:val="center"/>
          </w:tcPr>
          <w:p w14:paraId="786097AF">
            <w:pPr>
              <w:pStyle w:val="8"/>
              <w:numPr>
                <w:ilvl w:val="0"/>
                <w:numId w:val="0"/>
              </w:numPr>
              <w:tabs>
                <w:tab w:val="left" w:pos="390"/>
              </w:tabs>
              <w:spacing w:before="132" w:after="0" w:line="240" w:lineRule="auto"/>
              <w:ind w:right="0" w:rightChars="0" w:firstLine="236" w:firstLineChars="100"/>
              <w:jc w:val="both"/>
              <w:rPr>
                <w:sz w:val="24"/>
                <w:szCs w:val="24"/>
              </w:rPr>
            </w:pPr>
            <w:r>
              <w:rPr>
                <w:spacing w:val="-2"/>
                <w:sz w:val="24"/>
                <w:szCs w:val="24"/>
              </w:rPr>
              <w:sym w:font="Wingdings 2" w:char="0052"/>
            </w:r>
            <w:r>
              <w:rPr>
                <w:spacing w:val="-2"/>
                <w:sz w:val="24"/>
                <w:szCs w:val="24"/>
              </w:rPr>
              <w:t xml:space="preserve"> 特定对象调研 </w:t>
            </w:r>
            <w:r>
              <w:rPr>
                <w:rFonts w:hint="eastAsia"/>
                <w:spacing w:val="-2"/>
                <w:sz w:val="24"/>
                <w:szCs w:val="24"/>
                <w:lang w:val="en-US" w:eastAsia="zh-CN"/>
              </w:rPr>
              <w:t xml:space="preserve">                    </w:t>
            </w:r>
            <w:r>
              <w:rPr>
                <w:spacing w:val="-2"/>
                <w:sz w:val="24"/>
                <w:szCs w:val="24"/>
              </w:rPr>
              <w:sym w:font="Wingdings 2" w:char="00A3"/>
            </w:r>
            <w:r>
              <w:rPr>
                <w:rFonts w:hint="eastAsia"/>
                <w:spacing w:val="-2"/>
                <w:sz w:val="24"/>
                <w:szCs w:val="24"/>
                <w:lang w:val="en-US" w:eastAsia="zh-CN"/>
              </w:rPr>
              <w:t xml:space="preserve"> </w:t>
            </w:r>
            <w:r>
              <w:rPr>
                <w:spacing w:val="-2"/>
                <w:sz w:val="24"/>
                <w:szCs w:val="24"/>
              </w:rPr>
              <w:t>分析师会议</w:t>
            </w:r>
          </w:p>
          <w:p w14:paraId="6CDE1B41">
            <w:pPr>
              <w:pStyle w:val="8"/>
              <w:spacing w:before="9"/>
              <w:ind w:left="0"/>
              <w:jc w:val="both"/>
              <w:rPr>
                <w:sz w:val="24"/>
                <w:szCs w:val="24"/>
              </w:rPr>
            </w:pPr>
          </w:p>
          <w:p w14:paraId="732BB210">
            <w:pPr>
              <w:pStyle w:val="8"/>
              <w:ind w:left="0" w:leftChars="0" w:firstLine="240" w:firstLineChars="100"/>
              <w:jc w:val="both"/>
              <w:rPr>
                <w:sz w:val="24"/>
                <w:szCs w:val="24"/>
              </w:rPr>
            </w:pPr>
            <w:r>
              <w:rPr>
                <w:sz w:val="24"/>
                <w:szCs w:val="24"/>
              </w:rPr>
              <w:sym w:font="Wingdings 2" w:char="00A3"/>
            </w:r>
            <w:r>
              <w:rPr>
                <w:sz w:val="24"/>
                <w:szCs w:val="24"/>
              </w:rPr>
              <w:t xml:space="preserve"> 媒体采访 </w:t>
            </w:r>
            <w:r>
              <w:rPr>
                <w:rFonts w:hint="eastAsia"/>
                <w:sz w:val="24"/>
                <w:szCs w:val="24"/>
                <w:lang w:val="en-US" w:eastAsia="zh-CN"/>
              </w:rPr>
              <w:t xml:space="preserve">                        </w:t>
            </w:r>
            <w:r>
              <w:rPr>
                <w:spacing w:val="-2"/>
                <w:sz w:val="24"/>
                <w:szCs w:val="24"/>
              </w:rPr>
              <w:sym w:font="Wingdings 2" w:char="00A3"/>
            </w:r>
            <w:r>
              <w:rPr>
                <w:rFonts w:hint="eastAsia"/>
                <w:spacing w:val="-2"/>
                <w:sz w:val="24"/>
                <w:szCs w:val="24"/>
                <w:lang w:val="en-US" w:eastAsia="zh-CN"/>
              </w:rPr>
              <w:t xml:space="preserve"> </w:t>
            </w:r>
            <w:r>
              <w:rPr>
                <w:sz w:val="24"/>
                <w:szCs w:val="24"/>
              </w:rPr>
              <w:t>业绩说明会</w:t>
            </w:r>
          </w:p>
          <w:p w14:paraId="1B424389">
            <w:pPr>
              <w:pStyle w:val="8"/>
              <w:spacing w:before="9"/>
              <w:ind w:left="0"/>
              <w:jc w:val="both"/>
              <w:rPr>
                <w:sz w:val="24"/>
                <w:szCs w:val="24"/>
              </w:rPr>
            </w:pPr>
          </w:p>
          <w:p w14:paraId="2EDC7824">
            <w:pPr>
              <w:pStyle w:val="8"/>
              <w:ind w:left="0" w:leftChars="0" w:firstLine="240" w:firstLineChars="100"/>
              <w:jc w:val="both"/>
              <w:rPr>
                <w:sz w:val="24"/>
                <w:szCs w:val="24"/>
              </w:rPr>
            </w:pPr>
            <w:r>
              <w:rPr>
                <w:sz w:val="24"/>
                <w:szCs w:val="24"/>
              </w:rPr>
              <w:sym w:font="Wingdings 2" w:char="00A3"/>
            </w:r>
            <w:r>
              <w:rPr>
                <w:rFonts w:hint="eastAsia"/>
                <w:sz w:val="24"/>
                <w:szCs w:val="24"/>
                <w:lang w:val="en-US" w:eastAsia="zh-CN"/>
              </w:rPr>
              <w:t xml:space="preserve"> </w:t>
            </w:r>
            <w:r>
              <w:rPr>
                <w:sz w:val="24"/>
                <w:szCs w:val="24"/>
              </w:rPr>
              <w:t>新闻发布会</w:t>
            </w:r>
            <w:r>
              <w:rPr>
                <w:rFonts w:hint="eastAsia"/>
                <w:sz w:val="24"/>
                <w:szCs w:val="24"/>
                <w:lang w:val="en-US" w:eastAsia="zh-CN"/>
              </w:rPr>
              <w:t xml:space="preserve">                       </w:t>
            </w:r>
            <w:r>
              <w:rPr>
                <w:sz w:val="24"/>
                <w:szCs w:val="24"/>
              </w:rPr>
              <w:sym w:font="Wingdings 2" w:char="00A3"/>
            </w:r>
            <w:r>
              <w:rPr>
                <w:rFonts w:hint="eastAsia"/>
                <w:sz w:val="24"/>
                <w:szCs w:val="24"/>
                <w:lang w:val="en-US" w:eastAsia="zh-CN"/>
              </w:rPr>
              <w:t xml:space="preserve"> </w:t>
            </w:r>
            <w:r>
              <w:rPr>
                <w:sz w:val="24"/>
                <w:szCs w:val="24"/>
              </w:rPr>
              <w:t>路演活动</w:t>
            </w:r>
          </w:p>
          <w:p w14:paraId="10160FA8">
            <w:pPr>
              <w:pStyle w:val="8"/>
              <w:spacing w:before="9"/>
              <w:ind w:left="0"/>
              <w:jc w:val="both"/>
              <w:rPr>
                <w:sz w:val="24"/>
                <w:szCs w:val="24"/>
              </w:rPr>
            </w:pPr>
          </w:p>
          <w:p w14:paraId="691182BC">
            <w:pPr>
              <w:pStyle w:val="8"/>
              <w:ind w:left="0" w:leftChars="0" w:firstLine="236" w:firstLineChars="100"/>
              <w:jc w:val="both"/>
              <w:rPr>
                <w:rFonts w:hint="default" w:eastAsia="宋体"/>
                <w:sz w:val="24"/>
                <w:lang w:val="en-US" w:eastAsia="zh-CN"/>
              </w:rPr>
            </w:pPr>
            <w:r>
              <w:rPr>
                <w:spacing w:val="-2"/>
                <w:sz w:val="24"/>
                <w:szCs w:val="24"/>
              </w:rPr>
              <w:sym w:font="Wingdings 2" w:char="00A3"/>
            </w:r>
            <w:r>
              <w:rPr>
                <w:rFonts w:hint="eastAsia"/>
                <w:spacing w:val="-2"/>
                <w:sz w:val="24"/>
                <w:szCs w:val="24"/>
                <w:lang w:val="en-US" w:eastAsia="zh-CN"/>
              </w:rPr>
              <w:t xml:space="preserve"> </w:t>
            </w:r>
            <w:r>
              <w:rPr>
                <w:sz w:val="24"/>
                <w:szCs w:val="24"/>
              </w:rPr>
              <w:t>现场参观</w:t>
            </w:r>
            <w:r>
              <w:rPr>
                <w:rFonts w:hint="eastAsia"/>
                <w:sz w:val="24"/>
                <w:szCs w:val="24"/>
                <w:lang w:val="en-US" w:eastAsia="zh-CN"/>
              </w:rPr>
              <w:t xml:space="preserve">                         </w:t>
            </w:r>
            <w:r>
              <w:rPr>
                <w:sz w:val="24"/>
                <w:szCs w:val="24"/>
              </w:rPr>
              <w:sym w:font="Wingdings 2" w:char="00A3"/>
            </w:r>
            <w:r>
              <w:rPr>
                <w:sz w:val="24"/>
                <w:szCs w:val="24"/>
              </w:rPr>
              <w:t xml:space="preserve"> 其他 </w:t>
            </w:r>
            <w:r>
              <w:rPr>
                <w:rFonts w:hint="eastAsia"/>
                <w:sz w:val="24"/>
                <w:szCs w:val="24"/>
                <w:lang w:eastAsia="zh-CN"/>
              </w:rPr>
              <w:t>（</w:t>
            </w:r>
            <w:r>
              <w:rPr>
                <w:rFonts w:hint="eastAsia"/>
                <w:sz w:val="24"/>
                <w:szCs w:val="24"/>
                <w:lang w:val="en-US" w:eastAsia="zh-CN"/>
              </w:rPr>
              <w:t>线上调研）</w:t>
            </w:r>
          </w:p>
        </w:tc>
      </w:tr>
      <w:tr w14:paraId="7220F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jc w:val="center"/>
        </w:trPr>
        <w:tc>
          <w:tcPr>
            <w:tcW w:w="1524" w:type="dxa"/>
            <w:tcMar>
              <w:top w:w="0" w:type="dxa"/>
              <w:left w:w="113" w:type="dxa"/>
              <w:bottom w:w="0" w:type="dxa"/>
              <w:right w:w="113" w:type="dxa"/>
            </w:tcMar>
            <w:vAlign w:val="center"/>
          </w:tcPr>
          <w:p w14:paraId="48FE3DEB">
            <w:pPr>
              <w:pStyle w:val="8"/>
              <w:spacing w:before="156" w:line="242" w:lineRule="auto"/>
              <w:ind w:left="107" w:right="71"/>
              <w:jc w:val="center"/>
              <w:rPr>
                <w:b w:val="0"/>
                <w:bCs w:val="0"/>
                <w:sz w:val="24"/>
                <w:szCs w:val="24"/>
              </w:rPr>
            </w:pPr>
            <w:r>
              <w:rPr>
                <w:b w:val="0"/>
                <w:bCs w:val="0"/>
                <w:sz w:val="24"/>
                <w:szCs w:val="24"/>
              </w:rPr>
              <w:t>参与单位名称</w:t>
            </w:r>
          </w:p>
        </w:tc>
        <w:tc>
          <w:tcPr>
            <w:tcW w:w="8220" w:type="dxa"/>
            <w:vAlign w:val="center"/>
          </w:tcPr>
          <w:p w14:paraId="1D525856">
            <w:pPr>
              <w:pStyle w:val="8"/>
              <w:spacing w:before="156" w:line="242" w:lineRule="auto"/>
              <w:ind w:right="-29"/>
              <w:jc w:val="both"/>
              <w:rPr>
                <w:rFonts w:hint="default"/>
                <w:sz w:val="24"/>
                <w:lang w:val="en-US" w:eastAsia="zh-CN"/>
              </w:rPr>
            </w:pPr>
            <w:r>
              <w:rPr>
                <w:rFonts w:hint="eastAsia"/>
                <w:sz w:val="24"/>
                <w:lang w:val="en-US" w:eastAsia="zh-CN"/>
              </w:rPr>
              <w:t xml:space="preserve">   长城证券、赢舟资本</w:t>
            </w:r>
          </w:p>
        </w:tc>
      </w:tr>
      <w:tr w14:paraId="139FA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524" w:type="dxa"/>
            <w:tcMar>
              <w:top w:w="0" w:type="dxa"/>
              <w:left w:w="113" w:type="dxa"/>
              <w:bottom w:w="0" w:type="dxa"/>
              <w:right w:w="113" w:type="dxa"/>
            </w:tcMar>
            <w:vAlign w:val="center"/>
          </w:tcPr>
          <w:p w14:paraId="21BBEB87">
            <w:pPr>
              <w:pStyle w:val="8"/>
              <w:spacing w:before="170" w:line="289" w:lineRule="exact"/>
              <w:ind w:left="107"/>
              <w:jc w:val="center"/>
              <w:rPr>
                <w:b w:val="0"/>
                <w:bCs w:val="0"/>
                <w:sz w:val="24"/>
                <w:szCs w:val="24"/>
              </w:rPr>
            </w:pPr>
            <w:r>
              <w:rPr>
                <w:b w:val="0"/>
                <w:bCs w:val="0"/>
                <w:sz w:val="24"/>
                <w:szCs w:val="24"/>
              </w:rPr>
              <w:t>时间</w:t>
            </w:r>
          </w:p>
        </w:tc>
        <w:tc>
          <w:tcPr>
            <w:tcW w:w="8220" w:type="dxa"/>
            <w:vAlign w:val="center"/>
          </w:tcPr>
          <w:p w14:paraId="075846D8">
            <w:pPr>
              <w:pStyle w:val="8"/>
              <w:spacing w:before="170" w:line="289" w:lineRule="exact"/>
              <w:jc w:val="both"/>
              <w:rPr>
                <w:rFonts w:hint="default" w:eastAsia="宋体"/>
                <w:sz w:val="24"/>
                <w:lang w:val="en-US" w:eastAsia="zh-CN"/>
              </w:rPr>
            </w:pPr>
            <w:r>
              <w:rPr>
                <w:rFonts w:hint="eastAsia"/>
                <w:sz w:val="24"/>
                <w:lang w:val="en-US" w:eastAsia="zh-CN"/>
              </w:rPr>
              <w:t>2025</w:t>
            </w:r>
            <w:r>
              <w:rPr>
                <w:sz w:val="24"/>
              </w:rPr>
              <w:t>年</w:t>
            </w:r>
            <w:r>
              <w:rPr>
                <w:rFonts w:hint="eastAsia"/>
                <w:sz w:val="24"/>
                <w:lang w:val="en-US" w:eastAsia="zh-CN"/>
              </w:rPr>
              <w:t>5</w:t>
            </w:r>
            <w:r>
              <w:rPr>
                <w:sz w:val="24"/>
              </w:rPr>
              <w:t>月</w:t>
            </w:r>
            <w:r>
              <w:rPr>
                <w:rFonts w:hint="eastAsia"/>
                <w:sz w:val="24"/>
                <w:lang w:val="en-US" w:eastAsia="zh-CN"/>
              </w:rPr>
              <w:t>15日</w:t>
            </w:r>
          </w:p>
        </w:tc>
      </w:tr>
      <w:tr w14:paraId="77F45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524" w:type="dxa"/>
            <w:tcMar>
              <w:top w:w="0" w:type="dxa"/>
              <w:left w:w="113" w:type="dxa"/>
              <w:bottom w:w="0" w:type="dxa"/>
              <w:right w:w="113" w:type="dxa"/>
            </w:tcMar>
            <w:vAlign w:val="center"/>
          </w:tcPr>
          <w:p w14:paraId="39EB5C8F">
            <w:pPr>
              <w:pStyle w:val="8"/>
              <w:spacing w:before="170" w:line="289" w:lineRule="exact"/>
              <w:ind w:left="107"/>
              <w:jc w:val="center"/>
              <w:rPr>
                <w:b w:val="0"/>
                <w:bCs w:val="0"/>
                <w:sz w:val="24"/>
                <w:szCs w:val="24"/>
              </w:rPr>
            </w:pPr>
            <w:r>
              <w:rPr>
                <w:b w:val="0"/>
                <w:bCs w:val="0"/>
                <w:sz w:val="24"/>
                <w:szCs w:val="24"/>
              </w:rPr>
              <w:t>地点</w:t>
            </w:r>
          </w:p>
        </w:tc>
        <w:tc>
          <w:tcPr>
            <w:tcW w:w="8220" w:type="dxa"/>
            <w:vAlign w:val="center"/>
          </w:tcPr>
          <w:p w14:paraId="53186284">
            <w:pPr>
              <w:pStyle w:val="8"/>
              <w:spacing w:before="170" w:line="289" w:lineRule="exact"/>
              <w:jc w:val="both"/>
              <w:rPr>
                <w:rFonts w:hint="default" w:eastAsia="宋体"/>
                <w:sz w:val="24"/>
                <w:lang w:val="en-US" w:eastAsia="zh-CN"/>
              </w:rPr>
            </w:pPr>
            <w:r>
              <w:rPr>
                <w:rFonts w:hint="eastAsia"/>
                <w:sz w:val="24"/>
                <w:lang w:val="en-US" w:eastAsia="zh-CN"/>
              </w:rPr>
              <w:t>深圳</w:t>
            </w:r>
          </w:p>
        </w:tc>
      </w:tr>
      <w:tr w14:paraId="2CDED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1524" w:type="dxa"/>
            <w:tcMar>
              <w:top w:w="0" w:type="dxa"/>
              <w:left w:w="113" w:type="dxa"/>
              <w:bottom w:w="0" w:type="dxa"/>
              <w:right w:w="113" w:type="dxa"/>
            </w:tcMar>
            <w:vAlign w:val="center"/>
          </w:tcPr>
          <w:p w14:paraId="28421AAF">
            <w:pPr>
              <w:pStyle w:val="8"/>
              <w:spacing w:before="60" w:line="242" w:lineRule="auto"/>
              <w:ind w:left="107" w:right="72"/>
              <w:jc w:val="center"/>
              <w:rPr>
                <w:b w:val="0"/>
                <w:bCs w:val="0"/>
                <w:sz w:val="24"/>
                <w:szCs w:val="24"/>
              </w:rPr>
            </w:pPr>
            <w:r>
              <w:rPr>
                <w:b w:val="0"/>
                <w:bCs w:val="0"/>
                <w:sz w:val="24"/>
                <w:szCs w:val="24"/>
              </w:rPr>
              <w:t>上市公司接待人员姓名</w:t>
            </w:r>
          </w:p>
        </w:tc>
        <w:tc>
          <w:tcPr>
            <w:tcW w:w="8220" w:type="dxa"/>
            <w:vAlign w:val="center"/>
          </w:tcPr>
          <w:p w14:paraId="0EB18801">
            <w:pPr>
              <w:pStyle w:val="8"/>
              <w:spacing w:before="170"/>
              <w:jc w:val="both"/>
              <w:rPr>
                <w:rFonts w:hint="default"/>
                <w:sz w:val="24"/>
                <w:lang w:val="en-US" w:eastAsia="zh-CN"/>
              </w:rPr>
            </w:pPr>
            <w:r>
              <w:rPr>
                <w:rFonts w:hint="eastAsia"/>
                <w:sz w:val="24"/>
                <w:lang w:val="en-US" w:eastAsia="zh-CN"/>
              </w:rPr>
              <w:t>董事会秘书、财务总监：吴新元</w:t>
            </w:r>
          </w:p>
        </w:tc>
      </w:tr>
      <w:tr w14:paraId="421F5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1524" w:type="dxa"/>
            <w:tcMar>
              <w:top w:w="0" w:type="dxa"/>
              <w:left w:w="113" w:type="dxa"/>
              <w:bottom w:w="0" w:type="dxa"/>
              <w:right w:w="113" w:type="dxa"/>
            </w:tcMar>
            <w:vAlign w:val="center"/>
          </w:tcPr>
          <w:p w14:paraId="17AA6BEC">
            <w:pPr>
              <w:pStyle w:val="8"/>
              <w:spacing w:before="60" w:line="242" w:lineRule="auto"/>
              <w:ind w:left="107" w:right="72"/>
              <w:jc w:val="center"/>
              <w:rPr>
                <w:b w:val="0"/>
                <w:bCs w:val="0"/>
                <w:sz w:val="24"/>
                <w:szCs w:val="24"/>
              </w:rPr>
            </w:pPr>
            <w:r>
              <w:rPr>
                <w:rFonts w:hint="eastAsia"/>
                <w:b w:val="0"/>
                <w:bCs w:val="0"/>
                <w:sz w:val="24"/>
                <w:szCs w:val="24"/>
              </w:rPr>
              <w:t>投资者关系活动主要内容介绍</w:t>
            </w:r>
          </w:p>
        </w:tc>
        <w:tc>
          <w:tcPr>
            <w:tcW w:w="8220" w:type="dxa"/>
            <w:tcMar>
              <w:top w:w="170" w:type="dxa"/>
              <w:left w:w="170" w:type="dxa"/>
              <w:bottom w:w="170" w:type="dxa"/>
              <w:right w:w="170" w:type="dxa"/>
            </w:tcMar>
            <w:vAlign w:val="center"/>
          </w:tcPr>
          <w:p w14:paraId="6DA658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rPr>
                <w:rFonts w:hint="eastAsia" w:cs="宋体"/>
                <w:b w:val="0"/>
                <w:bCs w:val="0"/>
                <w:sz w:val="24"/>
                <w:szCs w:val="24"/>
                <w:lang w:val="en-US" w:eastAsia="zh-CN" w:bidi="zh-CN"/>
              </w:rPr>
            </w:pPr>
            <w:r>
              <w:rPr>
                <w:rFonts w:hint="eastAsia" w:cs="宋体"/>
                <w:b w:val="0"/>
                <w:bCs w:val="0"/>
                <w:sz w:val="24"/>
                <w:szCs w:val="24"/>
                <w:lang w:val="en-US" w:eastAsia="zh-CN" w:bidi="zh-CN"/>
              </w:rPr>
              <w:t>1.公司一季度毛利率同比大幅提升的原因？</w:t>
            </w:r>
          </w:p>
          <w:p w14:paraId="4E48C2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default" w:cs="宋体"/>
                <w:b w:val="0"/>
                <w:bCs w:val="0"/>
                <w:sz w:val="24"/>
                <w:szCs w:val="24"/>
                <w:lang w:val="en-US" w:eastAsia="zh-CN" w:bidi="zh-CN"/>
              </w:rPr>
            </w:pPr>
            <w:r>
              <w:rPr>
                <w:rFonts w:hint="eastAsia" w:cs="宋体"/>
                <w:b w:val="0"/>
                <w:bCs w:val="0"/>
                <w:sz w:val="24"/>
                <w:szCs w:val="24"/>
                <w:lang w:val="en-US" w:eastAsia="zh-CN" w:bidi="zh-CN"/>
              </w:rPr>
              <w:t>答：毛利率大幅提升大致有两方面原因：一是公司入库晶圆价格下降，摊薄在销产品成本；二是持续研发推出的新产品更具有成本优势。</w:t>
            </w:r>
          </w:p>
          <w:p w14:paraId="662E9A8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cs="宋体"/>
                <w:b w:val="0"/>
                <w:bCs w:val="0"/>
                <w:sz w:val="24"/>
                <w:szCs w:val="24"/>
                <w:lang w:val="en-US" w:eastAsia="zh-CN" w:bidi="zh-CN"/>
              </w:rPr>
            </w:pPr>
            <w:r>
              <w:rPr>
                <w:rFonts w:hint="eastAsia" w:cs="宋体"/>
                <w:b w:val="0"/>
                <w:bCs w:val="0"/>
                <w:sz w:val="24"/>
                <w:szCs w:val="24"/>
                <w:lang w:val="en-US" w:eastAsia="zh-CN" w:bidi="zh-CN"/>
              </w:rPr>
              <w:t>公司第二代车规与第一代车规MCU的区别？</w:t>
            </w:r>
          </w:p>
          <w:p w14:paraId="4DB995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cs="宋体"/>
                <w:b w:val="0"/>
                <w:bCs w:val="0"/>
                <w:sz w:val="24"/>
                <w:szCs w:val="24"/>
                <w:lang w:val="en-US" w:eastAsia="zh-CN" w:bidi="zh-CN"/>
              </w:rPr>
            </w:pPr>
            <w:r>
              <w:rPr>
                <w:rFonts w:hint="eastAsia" w:cs="宋体"/>
                <w:b w:val="0"/>
                <w:bCs w:val="0"/>
                <w:sz w:val="24"/>
                <w:szCs w:val="24"/>
                <w:lang w:val="en-US" w:eastAsia="zh-CN" w:bidi="zh-CN"/>
              </w:rPr>
              <w:t>答：公司这两代车规级MCU均是M0+内核，应用在车身控制领域。与第一代产品相比，第二代产品在主频、接口、资源上有变化，性能有提升，性价比更好，会更具有竞争力。</w:t>
            </w:r>
          </w:p>
          <w:p w14:paraId="4DC832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cs="宋体"/>
                <w:b w:val="0"/>
                <w:bCs w:val="0"/>
                <w:sz w:val="24"/>
                <w:szCs w:val="24"/>
                <w:lang w:val="en-US" w:eastAsia="zh-CN" w:bidi="zh-CN"/>
              </w:rPr>
            </w:pPr>
            <w:r>
              <w:rPr>
                <w:rFonts w:hint="eastAsia" w:cs="宋体"/>
                <w:b w:val="0"/>
                <w:bCs w:val="0"/>
                <w:sz w:val="24"/>
                <w:szCs w:val="24"/>
                <w:lang w:val="en-US" w:eastAsia="zh-CN" w:bidi="zh-CN"/>
              </w:rPr>
              <w:t>3.谈谈车规级产品未来规划？</w:t>
            </w:r>
          </w:p>
          <w:p w14:paraId="57CA2E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cs="宋体"/>
                <w:b w:val="0"/>
                <w:bCs w:val="0"/>
                <w:sz w:val="24"/>
                <w:szCs w:val="24"/>
                <w:lang w:val="en-US" w:eastAsia="zh-CN" w:bidi="zh-CN"/>
              </w:rPr>
            </w:pPr>
            <w:r>
              <w:rPr>
                <w:rFonts w:hint="eastAsia" w:cs="宋体"/>
                <w:b w:val="0"/>
                <w:bCs w:val="0"/>
                <w:sz w:val="24"/>
                <w:szCs w:val="24"/>
                <w:lang w:val="en-US" w:eastAsia="zh-CN" w:bidi="zh-CN"/>
              </w:rPr>
              <w:t>答：公司车规级控制芯片分两条线布局，一是通用产品，一是专用产品。对于通用产品，从小资源的以M0+内核的节点控制产品向大资源以M4、M5内核的域控制方面拓展，持续研发，扩充和丰富产品线，做到产品系列化；对于专用产品，公司会针对电机、车灯、电池管理等方面设计一些高集成度、高性能的SoC产品，增加产品丰富度。</w:t>
            </w:r>
          </w:p>
          <w:p w14:paraId="78E214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rPr>
                <w:rFonts w:hint="eastAsia" w:cs="宋体"/>
                <w:b w:val="0"/>
                <w:bCs w:val="0"/>
                <w:sz w:val="24"/>
                <w:szCs w:val="24"/>
                <w:lang w:val="en-US" w:eastAsia="zh-CN" w:bidi="zh-CN"/>
              </w:rPr>
            </w:pPr>
            <w:r>
              <w:rPr>
                <w:rFonts w:hint="eastAsia" w:cs="宋体"/>
                <w:b w:val="0"/>
                <w:bCs w:val="0"/>
                <w:sz w:val="24"/>
                <w:szCs w:val="24"/>
                <w:lang w:val="en-US" w:eastAsia="zh-CN" w:bidi="zh-CN"/>
              </w:rPr>
              <w:t>4.目前车规产品导入情况如何？</w:t>
            </w:r>
          </w:p>
          <w:p w14:paraId="515ACC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cs="宋体"/>
                <w:b w:val="0"/>
                <w:bCs w:val="0"/>
                <w:sz w:val="24"/>
                <w:szCs w:val="24"/>
                <w:lang w:val="en-US" w:eastAsia="zh-CN" w:bidi="zh-CN"/>
              </w:rPr>
            </w:pPr>
            <w:r>
              <w:rPr>
                <w:rFonts w:hint="eastAsia" w:cs="宋体"/>
                <w:b w:val="0"/>
                <w:bCs w:val="0"/>
                <w:sz w:val="24"/>
                <w:szCs w:val="24"/>
                <w:lang w:val="en-US" w:eastAsia="zh-CN" w:bidi="zh-CN"/>
              </w:rPr>
              <w:t>答：公司车规级芯片已经导入不少车企，从近期订单来看，车规MCU在持续放量。</w:t>
            </w:r>
          </w:p>
          <w:p w14:paraId="7F1BB2A0">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200" w:right="0" w:rightChars="0"/>
              <w:jc w:val="both"/>
              <w:textAlignment w:val="auto"/>
              <w:rPr>
                <w:rFonts w:hint="eastAsia" w:cs="宋体"/>
                <w:b w:val="0"/>
                <w:bCs w:val="0"/>
                <w:sz w:val="24"/>
                <w:szCs w:val="24"/>
                <w:lang w:val="en-US" w:eastAsia="zh-CN" w:bidi="zh-CN"/>
              </w:rPr>
            </w:pPr>
            <w:r>
              <w:rPr>
                <w:rFonts w:hint="eastAsia" w:cs="宋体"/>
                <w:b w:val="0"/>
                <w:bCs w:val="0"/>
                <w:sz w:val="24"/>
                <w:szCs w:val="24"/>
                <w:lang w:val="en-US" w:eastAsia="zh-CN" w:bidi="zh-CN"/>
              </w:rPr>
              <w:t>有哪些车企在使用公司产品？</w:t>
            </w:r>
          </w:p>
          <w:p w14:paraId="16C5D3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default" w:cs="宋体"/>
                <w:b w:val="0"/>
                <w:bCs w:val="0"/>
                <w:sz w:val="24"/>
                <w:szCs w:val="24"/>
                <w:lang w:val="en-US" w:eastAsia="zh-CN" w:bidi="zh-CN"/>
              </w:rPr>
            </w:pPr>
            <w:r>
              <w:rPr>
                <w:rFonts w:hint="eastAsia" w:cs="宋体"/>
                <w:b w:val="0"/>
                <w:bCs w:val="0"/>
                <w:sz w:val="24"/>
                <w:szCs w:val="24"/>
                <w:lang w:val="en-US" w:eastAsia="zh-CN" w:bidi="zh-CN"/>
              </w:rPr>
              <w:t>答：目前有长安、赛力斯、红旗、吉利等知名车企在使用公司芯片。</w:t>
            </w:r>
          </w:p>
          <w:p w14:paraId="70517E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rPr>
                <w:rFonts w:hint="default" w:cs="宋体"/>
                <w:b w:val="0"/>
                <w:bCs w:val="0"/>
                <w:sz w:val="24"/>
                <w:szCs w:val="24"/>
                <w:lang w:val="en-US" w:eastAsia="zh-CN" w:bidi="zh-CN"/>
              </w:rPr>
            </w:pPr>
            <w:r>
              <w:rPr>
                <w:rFonts w:hint="eastAsia" w:cs="宋体"/>
                <w:b w:val="0"/>
                <w:bCs w:val="0"/>
                <w:sz w:val="24"/>
                <w:szCs w:val="24"/>
                <w:lang w:val="en-US" w:eastAsia="zh-CN" w:bidi="zh-CN"/>
              </w:rPr>
              <w:t>6.公司工控领域增长如何？增长点主要在哪些方面？</w:t>
            </w:r>
          </w:p>
          <w:p w14:paraId="58CC9D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default" w:cs="宋体"/>
                <w:b w:val="0"/>
                <w:bCs w:val="0"/>
                <w:sz w:val="24"/>
                <w:szCs w:val="24"/>
                <w:lang w:val="en-US" w:eastAsia="zh-CN" w:bidi="zh-CN"/>
              </w:rPr>
            </w:pPr>
            <w:r>
              <w:rPr>
                <w:rFonts w:hint="eastAsia" w:cs="宋体"/>
                <w:b w:val="0"/>
                <w:bCs w:val="0"/>
                <w:sz w:val="24"/>
                <w:szCs w:val="24"/>
                <w:lang w:val="en-US" w:eastAsia="zh-CN" w:bidi="zh-CN"/>
              </w:rPr>
              <w:t>答：工业控制领域应用的增长主要来自无刷电机驱动控制产品的持续放量。</w:t>
            </w:r>
          </w:p>
          <w:p w14:paraId="4832E4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rPr>
                <w:rFonts w:hint="eastAsia" w:cs="宋体"/>
                <w:b w:val="0"/>
                <w:bCs w:val="0"/>
                <w:sz w:val="24"/>
                <w:szCs w:val="24"/>
                <w:lang w:val="en-US" w:eastAsia="zh-CN" w:bidi="zh-CN"/>
              </w:rPr>
            </w:pPr>
            <w:r>
              <w:rPr>
                <w:rFonts w:hint="eastAsia" w:cs="宋体"/>
                <w:b w:val="0"/>
                <w:bCs w:val="0"/>
                <w:sz w:val="24"/>
                <w:szCs w:val="24"/>
                <w:lang w:val="en-US" w:eastAsia="zh-CN" w:bidi="zh-CN"/>
              </w:rPr>
              <w:t>7.公司在机器人领域有给宇树供货吗？</w:t>
            </w:r>
          </w:p>
          <w:p w14:paraId="1A2D95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cs="宋体"/>
                <w:b w:val="0"/>
                <w:bCs w:val="0"/>
                <w:sz w:val="24"/>
                <w:szCs w:val="24"/>
                <w:lang w:val="en-US" w:eastAsia="zh-CN" w:bidi="zh-CN"/>
              </w:rPr>
            </w:pPr>
            <w:r>
              <w:rPr>
                <w:rFonts w:hint="eastAsia" w:cs="宋体"/>
                <w:b w:val="0"/>
                <w:bCs w:val="0"/>
                <w:sz w:val="24"/>
                <w:szCs w:val="24"/>
                <w:lang w:val="en-US" w:eastAsia="zh-CN" w:bidi="zh-CN"/>
              </w:rPr>
              <w:t>答：宇树是公司终端客户。</w:t>
            </w:r>
          </w:p>
          <w:p w14:paraId="1667D2B6">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200" w:right="0" w:rightChars="0"/>
              <w:jc w:val="both"/>
              <w:textAlignment w:val="auto"/>
              <w:rPr>
                <w:rFonts w:hint="eastAsia" w:cs="宋体"/>
                <w:b w:val="0"/>
                <w:bCs w:val="0"/>
                <w:sz w:val="24"/>
                <w:szCs w:val="24"/>
                <w:lang w:val="en-US" w:eastAsia="zh-CN" w:bidi="zh-CN"/>
              </w:rPr>
            </w:pPr>
            <w:r>
              <w:rPr>
                <w:rFonts w:hint="eastAsia" w:cs="宋体"/>
                <w:b w:val="0"/>
                <w:bCs w:val="0"/>
                <w:sz w:val="24"/>
                <w:szCs w:val="24"/>
                <w:lang w:val="en-US" w:eastAsia="zh-CN" w:bidi="zh-CN"/>
              </w:rPr>
              <w:t>今年代工价格情况？公司是否与代工厂签订长单？</w:t>
            </w:r>
          </w:p>
          <w:p w14:paraId="79BE88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cs="宋体"/>
                <w:b w:val="0"/>
                <w:bCs w:val="0"/>
                <w:sz w:val="24"/>
                <w:szCs w:val="24"/>
                <w:lang w:val="en-US" w:eastAsia="zh-CN" w:bidi="zh-CN"/>
              </w:rPr>
            </w:pPr>
            <w:r>
              <w:rPr>
                <w:rFonts w:hint="eastAsia" w:cs="宋体"/>
                <w:b w:val="0"/>
                <w:bCs w:val="0"/>
                <w:sz w:val="24"/>
                <w:szCs w:val="24"/>
                <w:lang w:val="en-US" w:eastAsia="zh-CN" w:bidi="zh-CN"/>
              </w:rPr>
              <w:t>答：目前公司没有收到代工厂的价格调整通知，没有与代工厂签订长单。公司与主要供应商的合作关系比较密切和稳定，产能有保证，价格也会相对合理。</w:t>
            </w:r>
          </w:p>
          <w:p w14:paraId="66FE9752">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40" w:leftChars="200" w:right="0" w:rightChars="0" w:firstLine="0" w:firstLineChars="0"/>
              <w:jc w:val="both"/>
              <w:textAlignment w:val="auto"/>
              <w:rPr>
                <w:rFonts w:hint="eastAsia" w:cs="宋体"/>
                <w:b w:val="0"/>
                <w:bCs w:val="0"/>
                <w:sz w:val="24"/>
                <w:szCs w:val="24"/>
                <w:lang w:val="en-US" w:eastAsia="zh-CN" w:bidi="zh-CN"/>
              </w:rPr>
            </w:pPr>
            <w:r>
              <w:rPr>
                <w:rFonts w:hint="eastAsia" w:cs="宋体"/>
                <w:b w:val="0"/>
                <w:bCs w:val="0"/>
                <w:sz w:val="24"/>
                <w:szCs w:val="24"/>
                <w:lang w:val="en-US" w:eastAsia="zh-CN" w:bidi="zh-CN"/>
              </w:rPr>
              <w:t>对今年营收有何指引？</w:t>
            </w:r>
          </w:p>
          <w:p w14:paraId="7500F4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default" w:cs="宋体"/>
                <w:b w:val="0"/>
                <w:bCs w:val="0"/>
                <w:sz w:val="24"/>
                <w:szCs w:val="24"/>
                <w:lang w:val="en-US" w:eastAsia="zh-CN" w:bidi="zh-CN"/>
              </w:rPr>
            </w:pPr>
            <w:r>
              <w:rPr>
                <w:rFonts w:hint="eastAsia" w:cs="宋体"/>
                <w:b w:val="0"/>
                <w:bCs w:val="0"/>
                <w:sz w:val="24"/>
                <w:szCs w:val="24"/>
                <w:lang w:val="en-US" w:eastAsia="zh-CN" w:bidi="zh-CN"/>
              </w:rPr>
              <w:t>答：公司今年希望保持、甚至超过历史平均增长速度。如果市场环境没有大变化，保守估计，今年营收也会超过2021年的历史最高水平。</w:t>
            </w:r>
            <w:bookmarkStart w:id="0" w:name="_GoBack"/>
            <w:bookmarkEnd w:id="0"/>
          </w:p>
        </w:tc>
      </w:tr>
    </w:tbl>
    <w:p w14:paraId="4E79A505">
      <w:pPr>
        <w:spacing w:before="23"/>
        <w:ind w:right="0"/>
        <w:jc w:val="left"/>
        <w:rPr>
          <w:sz w:val="21"/>
        </w:rPr>
      </w:pPr>
    </w:p>
    <w:sectPr>
      <w:pgSz w:w="11910" w:h="16840"/>
      <w:pgMar w:top="1417" w:right="1134" w:bottom="1417" w:left="1134" w:header="720" w:footer="72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05B36"/>
    <w:multiLevelType w:val="singleLevel"/>
    <w:tmpl w:val="AE005B36"/>
    <w:lvl w:ilvl="0" w:tentative="0">
      <w:start w:val="8"/>
      <w:numFmt w:val="decimal"/>
      <w:lvlText w:val="%1."/>
      <w:lvlJc w:val="left"/>
      <w:pPr>
        <w:tabs>
          <w:tab w:val="left" w:pos="312"/>
        </w:tabs>
      </w:pPr>
    </w:lvl>
  </w:abstractNum>
  <w:abstractNum w:abstractNumId="1">
    <w:nsid w:val="D6EEA721"/>
    <w:multiLevelType w:val="singleLevel"/>
    <w:tmpl w:val="D6EEA721"/>
    <w:lvl w:ilvl="0" w:tentative="0">
      <w:start w:val="5"/>
      <w:numFmt w:val="decimal"/>
      <w:lvlText w:val="%1."/>
      <w:lvlJc w:val="left"/>
      <w:pPr>
        <w:tabs>
          <w:tab w:val="left" w:pos="312"/>
        </w:tabs>
      </w:pPr>
    </w:lvl>
  </w:abstractNum>
  <w:abstractNum w:abstractNumId="2">
    <w:nsid w:val="4C193B56"/>
    <w:multiLevelType w:val="singleLevel"/>
    <w:tmpl w:val="4C193B56"/>
    <w:lvl w:ilvl="0" w:tentative="0">
      <w:start w:val="2"/>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1"/>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lMDY5ZWU5ZTU1NWY2ODBmOTlkNmNjYWI5MGJjNTAifQ=="/>
  </w:docVars>
  <w:rsids>
    <w:rsidRoot w:val="00000000"/>
    <w:rsid w:val="00FD233D"/>
    <w:rsid w:val="034E33FD"/>
    <w:rsid w:val="049B5140"/>
    <w:rsid w:val="04B97099"/>
    <w:rsid w:val="062260D2"/>
    <w:rsid w:val="06B7310D"/>
    <w:rsid w:val="0BCE5827"/>
    <w:rsid w:val="0DDA5BAA"/>
    <w:rsid w:val="0E561013"/>
    <w:rsid w:val="0E842633"/>
    <w:rsid w:val="103109BE"/>
    <w:rsid w:val="1047628F"/>
    <w:rsid w:val="10CC52F7"/>
    <w:rsid w:val="140D0007"/>
    <w:rsid w:val="144018FC"/>
    <w:rsid w:val="1BA42A8E"/>
    <w:rsid w:val="1E491273"/>
    <w:rsid w:val="1E6B5B60"/>
    <w:rsid w:val="1F0D324E"/>
    <w:rsid w:val="204505AD"/>
    <w:rsid w:val="20E85DAE"/>
    <w:rsid w:val="23EE6D8C"/>
    <w:rsid w:val="24E24D18"/>
    <w:rsid w:val="24EC5A02"/>
    <w:rsid w:val="26CB631A"/>
    <w:rsid w:val="275135B6"/>
    <w:rsid w:val="28064645"/>
    <w:rsid w:val="296C29CE"/>
    <w:rsid w:val="2D600F4C"/>
    <w:rsid w:val="2E567099"/>
    <w:rsid w:val="2ED94800"/>
    <w:rsid w:val="302C44F1"/>
    <w:rsid w:val="32954240"/>
    <w:rsid w:val="337066A2"/>
    <w:rsid w:val="33CF2630"/>
    <w:rsid w:val="36CF10AF"/>
    <w:rsid w:val="37B625EF"/>
    <w:rsid w:val="380A05F1"/>
    <w:rsid w:val="39F5707E"/>
    <w:rsid w:val="3A0A3E69"/>
    <w:rsid w:val="3B073DC4"/>
    <w:rsid w:val="3CC11A84"/>
    <w:rsid w:val="402D334F"/>
    <w:rsid w:val="417A669A"/>
    <w:rsid w:val="42417305"/>
    <w:rsid w:val="437368FD"/>
    <w:rsid w:val="44E37ACA"/>
    <w:rsid w:val="46DB063D"/>
    <w:rsid w:val="4F3A3B86"/>
    <w:rsid w:val="51CD61A5"/>
    <w:rsid w:val="58B36C53"/>
    <w:rsid w:val="58B91A1A"/>
    <w:rsid w:val="5E056C86"/>
    <w:rsid w:val="60593A44"/>
    <w:rsid w:val="61AB2679"/>
    <w:rsid w:val="64360FA4"/>
    <w:rsid w:val="645218B2"/>
    <w:rsid w:val="64E10284"/>
    <w:rsid w:val="65864EAB"/>
    <w:rsid w:val="65AC0BA1"/>
    <w:rsid w:val="684E7F52"/>
    <w:rsid w:val="6860573C"/>
    <w:rsid w:val="69007D35"/>
    <w:rsid w:val="69814922"/>
    <w:rsid w:val="6A8F2D01"/>
    <w:rsid w:val="6AA221E0"/>
    <w:rsid w:val="6AFE35FB"/>
    <w:rsid w:val="6BF33738"/>
    <w:rsid w:val="6C060AF4"/>
    <w:rsid w:val="6E5114E1"/>
    <w:rsid w:val="6F441EB0"/>
    <w:rsid w:val="6F8659FF"/>
    <w:rsid w:val="70852816"/>
    <w:rsid w:val="73187DD2"/>
    <w:rsid w:val="78471C35"/>
    <w:rsid w:val="79213DD0"/>
    <w:rsid w:val="7A117945"/>
    <w:rsid w:val="7BC17493"/>
    <w:rsid w:val="7D2045FF"/>
    <w:rsid w:val="7E652935"/>
    <w:rsid w:val="7F0A22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5">
    <w:name w:val="Default Paragraph Font"/>
    <w:semiHidden/>
    <w:unhideWhenUsed/>
    <w:qFormat/>
    <w:uiPriority w:val="1"/>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spacing w:before="6"/>
    </w:pPr>
    <w:rPr>
      <w:rFonts w:ascii="宋体" w:hAnsi="宋体" w:eastAsia="宋体" w:cs="宋体"/>
      <w:sz w:val="24"/>
      <w:szCs w:val="24"/>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table" w:customStyle="1" w:styleId="6">
    <w:name w:val="Table Normal"/>
    <w:autoRedefine/>
    <w:semiHidden/>
    <w:unhideWhenUsed/>
    <w:qFormat/>
    <w:uiPriority w:val="2"/>
    <w:tblPr>
      <w:tblCellMar>
        <w:top w:w="0" w:type="dxa"/>
        <w:left w:w="0" w:type="dxa"/>
        <w:bottom w:w="0" w:type="dxa"/>
        <w:right w:w="0" w:type="dxa"/>
      </w:tblCellMar>
    </w:tblPr>
  </w:style>
  <w:style w:type="paragraph" w:styleId="7">
    <w:name w:val="List Paragraph"/>
    <w:basedOn w:val="1"/>
    <w:autoRedefine/>
    <w:qFormat/>
    <w:uiPriority w:val="1"/>
    <w:rPr>
      <w:lang w:val="zh-CN" w:eastAsia="zh-CN" w:bidi="zh-CN"/>
    </w:rPr>
  </w:style>
  <w:style w:type="paragraph" w:customStyle="1" w:styleId="8">
    <w:name w:val="Table Paragraph"/>
    <w:basedOn w:val="1"/>
    <w:autoRedefine/>
    <w:qFormat/>
    <w:uiPriority w:val="1"/>
    <w:pPr>
      <w:ind w:left="108"/>
    </w:pPr>
    <w:rPr>
      <w:rFonts w:ascii="宋体" w:hAnsi="宋体" w:eastAsia="宋体" w:cs="宋体"/>
      <w:lang w:val="zh-CN" w:eastAsia="zh-CN" w:bidi="zh-CN"/>
    </w:rPr>
  </w:style>
  <w:style w:type="paragraph" w:customStyle="1" w:styleId="9">
    <w:name w:val="12"/>
    <w:autoRedefine/>
    <w:qFormat/>
    <w:uiPriority w:val="0"/>
    <w:pPr>
      <w:widowControl w:val="0"/>
      <w:jc w:val="both"/>
    </w:pPr>
    <w:rPr>
      <w:rFonts w:ascii="Calibri" w:hAnsi="Calibri" w:eastAsia="宋体" w:cs="Times New Roman"/>
      <w:kern w:val="2"/>
      <w:lang w:val="en-US" w:eastAsia="zh-CN" w:bidi="ar-SA"/>
    </w:rPr>
  </w:style>
  <w:style w:type="paragraph" w:customStyle="1" w:styleId="10">
    <w:name w:val="正文5"/>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830</Words>
  <Characters>868</Characters>
  <TotalTime>55</TotalTime>
  <ScaleCrop>false</ScaleCrop>
  <LinksUpToDate>false</LinksUpToDate>
  <CharactersWithSpaces>1084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2022-08-11T01:07:00Z</dcterms:created>
  <dc:creator>XIONG</dc:creator>
  <cp:lastModifiedBy>Zhaoyj</cp:lastModifiedBy>
  <cp:lastPrinted>2022-09-29T09:35:00Z</cp:lastPrinted>
  <dcterms:modified xsi:type="dcterms:W3CDTF">2025-05-16T06:07:03Z</dcterms:modified>
  <dc:title>证券代码：300327                      证券简称：中颖电子</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2022-07-12T00:00:00Z</vt:filetime>
  </property>
  <property fmtid="{D5CDD505-2E9C-101B-9397-08002B2CF9AE}" pid="3" name="Creator">
    <vt:lpwstr>Microsoft® Word 2010</vt:lpwstr>
  </property>
  <property fmtid="{D5CDD505-2E9C-101B-9397-08002B2CF9AE}" pid="4" name="LastSaved">
    <vt:filetime>2022-08-11T00:00:00Z</vt:filetime>
  </property>
  <property fmtid="{D5CDD505-2E9C-101B-9397-08002B2CF9AE}" pid="5" name="KSOProductBuildVer">
    <vt:lpwstr>2052-12.1.0.20784</vt:lpwstr>
  </property>
  <property fmtid="{D5CDD505-2E9C-101B-9397-08002B2CF9AE}" pid="6" name="ICV">
    <vt:lpwstr>6A1E485C496248409F5FE879374101AC_13</vt:lpwstr>
  </property>
  <property fmtid="{D5CDD505-2E9C-101B-9397-08002B2CF9AE}" pid="7" name="KSOTemplateDocerSaveRecord">
    <vt:lpwstr>eyJoZGlkIjoiZTQ4ODQwNThiYTg4YTBlNDhkZDRmNGNiNWM5NWE1YzAiLCJ1c2VySWQiOiIyNDk3MTA2NDYifQ==</vt:lpwstr>
  </property>
</Properties>
</file>