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DE33D">
      <w:pPr>
        <w:widowControl/>
        <w:jc w:val="center"/>
        <w:rPr>
          <w:rFonts w:hint="eastAsia" w:ascii="宋体" w:hAnsi="宋体"/>
          <w:bCs/>
          <w:iCs/>
          <w:color w:val="000000"/>
          <w:sz w:val="24"/>
        </w:rPr>
      </w:pPr>
      <w:bookmarkStart w:id="0" w:name="_Toc515462335"/>
      <w:r>
        <w:rPr>
          <w:rFonts w:hint="eastAsia" w:ascii="宋体" w:hAnsi="宋体"/>
          <w:bCs/>
          <w:iCs/>
          <w:color w:val="000000"/>
          <w:sz w:val="24"/>
        </w:rPr>
        <w:t xml:space="preserve">证券代码：600392  </w:t>
      </w:r>
      <w:r>
        <w:rPr>
          <w:rFonts w:ascii="宋体" w:hAnsi="宋体"/>
          <w:bCs/>
          <w:iCs/>
          <w:color w:val="000000"/>
          <w:sz w:val="24"/>
        </w:rPr>
        <w:t xml:space="preserve">         </w:t>
      </w:r>
      <w:r>
        <w:rPr>
          <w:rFonts w:hint="eastAsia" w:ascii="宋体" w:hAnsi="宋体"/>
          <w:bCs/>
          <w:iCs/>
          <w:color w:val="000000"/>
          <w:sz w:val="24"/>
        </w:rPr>
        <w:t xml:space="preserve">           证券简称：盛和资源</w:t>
      </w:r>
    </w:p>
    <w:p w14:paraId="28F34A71">
      <w:pPr>
        <w:widowControl/>
        <w:jc w:val="center"/>
        <w:rPr>
          <w:rFonts w:hint="eastAsia" w:ascii="宋体" w:hAnsi="宋体"/>
          <w:bCs/>
          <w:iCs/>
          <w:color w:val="000000"/>
          <w:sz w:val="24"/>
        </w:rPr>
      </w:pPr>
    </w:p>
    <w:p w14:paraId="187B9C22">
      <w:pPr>
        <w:widowControl/>
        <w:spacing w:before="312" w:beforeLines="100"/>
        <w:jc w:val="center"/>
        <w:rPr>
          <w:rFonts w:hint="eastAsia" w:ascii="宋体" w:hAnsi="宋体"/>
          <w:bCs/>
          <w:iCs/>
          <w:color w:val="000000"/>
          <w:sz w:val="36"/>
          <w:szCs w:val="36"/>
        </w:rPr>
      </w:pPr>
      <w:r>
        <w:rPr>
          <w:rFonts w:hint="eastAsia" w:ascii="宋体" w:hAnsi="宋体"/>
          <w:bCs/>
          <w:iCs/>
          <w:color w:val="000000"/>
          <w:sz w:val="36"/>
          <w:szCs w:val="36"/>
        </w:rPr>
        <w:t>盛和资源控股股份有限公司</w:t>
      </w:r>
    </w:p>
    <w:p w14:paraId="592177FA">
      <w:pPr>
        <w:widowControl/>
        <w:spacing w:after="312" w:afterLines="100"/>
        <w:jc w:val="center"/>
        <w:rPr>
          <w:rFonts w:hint="eastAsia" w:ascii="宋体" w:hAnsi="宋体"/>
          <w:color w:val="000000"/>
          <w:sz w:val="36"/>
          <w:szCs w:val="36"/>
        </w:rPr>
      </w:pPr>
      <w:r>
        <w:rPr>
          <w:rFonts w:hint="eastAsia" w:ascii="宋体" w:hAnsi="宋体"/>
          <w:bCs/>
          <w:iCs/>
          <w:color w:val="000000"/>
          <w:sz w:val="36"/>
          <w:szCs w:val="36"/>
        </w:rPr>
        <w:t>投资者关系活动记录表</w:t>
      </w:r>
    </w:p>
    <w:p w14:paraId="7404916D">
      <w:pPr>
        <w:spacing w:line="360" w:lineRule="auto"/>
        <w:rPr>
          <w:rFonts w:hint="eastAsia" w:ascii="宋体" w:hAnsi="宋体" w:eastAsia="宋体"/>
          <w:bCs/>
          <w:iCs/>
          <w:color w:val="000000"/>
          <w:szCs w:val="21"/>
          <w:lang w:val="en-US" w:eastAsia="zh-CN"/>
        </w:rPr>
      </w:pPr>
      <w:r>
        <w:rPr>
          <w:rFonts w:ascii="宋体" w:hAnsi="宋体"/>
          <w:bCs/>
          <w:iCs/>
          <w:color w:val="000000"/>
          <w:szCs w:val="21"/>
        </w:rPr>
        <w:t xml:space="preserve">                                                     </w:t>
      </w:r>
      <w:r>
        <w:rPr>
          <w:rFonts w:hint="eastAsia" w:ascii="宋体" w:hAnsi="宋体"/>
          <w:bCs/>
          <w:iCs/>
          <w:color w:val="000000"/>
          <w:szCs w:val="21"/>
        </w:rPr>
        <w:t xml:space="preserve">            </w:t>
      </w:r>
      <w:r>
        <w:rPr>
          <w:rFonts w:ascii="宋体" w:hAnsi="宋体"/>
          <w:bCs/>
          <w:iCs/>
          <w:color w:val="000000"/>
          <w:szCs w:val="21"/>
        </w:rPr>
        <w:t>编号：</w:t>
      </w:r>
      <w:r>
        <w:rPr>
          <w:rFonts w:hint="eastAsia" w:ascii="宋体" w:hAnsi="宋体"/>
          <w:bCs/>
          <w:iCs/>
          <w:color w:val="000000"/>
          <w:szCs w:val="21"/>
        </w:rPr>
        <w:t>2</w:t>
      </w:r>
      <w:r>
        <w:rPr>
          <w:rFonts w:ascii="宋体" w:hAnsi="宋体"/>
          <w:bCs/>
          <w:iCs/>
          <w:color w:val="000000"/>
          <w:szCs w:val="21"/>
        </w:rPr>
        <w:t>02</w:t>
      </w:r>
      <w:r>
        <w:rPr>
          <w:rFonts w:hint="eastAsia" w:ascii="宋体" w:hAnsi="宋体"/>
          <w:bCs/>
          <w:iCs/>
          <w:color w:val="000000"/>
          <w:szCs w:val="21"/>
        </w:rPr>
        <w:t>5</w:t>
      </w:r>
      <w:r>
        <w:rPr>
          <w:rFonts w:ascii="宋体" w:hAnsi="宋体"/>
          <w:bCs/>
          <w:iCs/>
          <w:color w:val="000000"/>
          <w:szCs w:val="21"/>
        </w:rPr>
        <w:t>-0</w:t>
      </w:r>
      <w:r>
        <w:rPr>
          <w:rFonts w:hint="eastAsia" w:ascii="宋体" w:hAnsi="宋体"/>
          <w:bCs/>
          <w:iCs/>
          <w:color w:val="000000"/>
          <w:szCs w:val="21"/>
          <w:lang w:val="en-US" w:eastAsia="zh-CN"/>
        </w:rPr>
        <w:t>5</w:t>
      </w:r>
    </w:p>
    <w:tbl>
      <w:tblPr>
        <w:tblStyle w:val="10"/>
        <w:tblW w:w="9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7088"/>
      </w:tblGrid>
      <w:tr w14:paraId="2DA1F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 w14:paraId="6E4BFA1B">
            <w:pPr>
              <w:spacing w:line="360" w:lineRule="auto"/>
              <w:rPr>
                <w:rFonts w:hint="eastAsia" w:ascii="宋体" w:hAnsi="宋体"/>
                <w:b/>
                <w:bCs/>
                <w:i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iCs/>
                <w:color w:val="000000"/>
                <w:szCs w:val="21"/>
              </w:rPr>
              <w:t>投资者关系活动类别</w:t>
            </w:r>
            <w:r>
              <w:rPr>
                <w:rFonts w:hint="eastAsia" w:ascii="宋体" w:hAnsi="宋体"/>
                <w:b/>
                <w:bCs/>
                <w:iCs/>
                <w:color w:val="000000"/>
                <w:szCs w:val="21"/>
              </w:rPr>
              <w:t>“选中项请打√”</w:t>
            </w:r>
          </w:p>
        </w:tc>
        <w:tc>
          <w:tcPr>
            <w:tcW w:w="7088" w:type="dxa"/>
          </w:tcPr>
          <w:p w14:paraId="73C6D338">
            <w:pPr>
              <w:spacing w:line="360" w:lineRule="auto"/>
              <w:jc w:val="left"/>
              <w:rPr>
                <w:rFonts w:hint="eastAsia" w:ascii="宋体" w:hAnsi="宋体"/>
                <w:bCs/>
                <w:i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Cs w:val="21"/>
                <w:lang w:eastAsia="zh-CN"/>
              </w:rPr>
              <w:t>☑</w:t>
            </w:r>
            <w:r>
              <w:rPr>
                <w:rFonts w:ascii="宋体" w:hAnsi="宋体"/>
                <w:color w:val="000000"/>
                <w:szCs w:val="21"/>
              </w:rPr>
              <w:t xml:space="preserve">特定对象调研   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/>
                <w:color w:val="000000"/>
                <w:szCs w:val="21"/>
              </w:rPr>
              <w:t>分析师会议</w:t>
            </w:r>
            <w:r>
              <w:rPr>
                <w:rFonts w:hint="eastAsia" w:ascii="宋体" w:hAnsi="宋体"/>
                <w:bCs/>
                <w:iCs/>
                <w:color w:val="000000"/>
                <w:szCs w:val="21"/>
              </w:rPr>
              <w:t xml:space="preserve">    </w:t>
            </w:r>
            <w:bookmarkStart w:id="1" w:name="OLE_LINK1"/>
            <w:r>
              <w:rPr>
                <w:rFonts w:ascii="宋体" w:hAnsi="宋体"/>
                <w:bCs/>
                <w:iCs/>
                <w:color w:val="000000"/>
                <w:szCs w:val="21"/>
              </w:rPr>
              <w:t>□</w:t>
            </w:r>
            <w:bookmarkEnd w:id="1"/>
            <w:r>
              <w:rPr>
                <w:rFonts w:ascii="宋体" w:hAnsi="宋体"/>
                <w:color w:val="000000"/>
                <w:szCs w:val="21"/>
              </w:rPr>
              <w:t xml:space="preserve">媒体采访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□</w:t>
            </w:r>
            <w:r>
              <w:rPr>
                <w:rFonts w:ascii="宋体" w:hAnsi="宋体"/>
                <w:color w:val="000000"/>
                <w:szCs w:val="21"/>
              </w:rPr>
              <w:t>业绩说明会</w:t>
            </w:r>
            <w:r>
              <w:rPr>
                <w:rFonts w:hint="eastAsia" w:ascii="宋体" w:hAnsi="宋体"/>
                <w:bCs/>
                <w:iCs/>
                <w:color w:val="000000"/>
                <w:szCs w:val="21"/>
              </w:rPr>
              <w:t xml:space="preserve">          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 xml:space="preserve">新闻发布会     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路演活动</w:t>
            </w:r>
            <w:r>
              <w:rPr>
                <w:rFonts w:hint="eastAsia" w:ascii="宋体" w:hAnsi="宋体"/>
                <w:bCs/>
                <w:iCs/>
                <w:color w:val="000000"/>
                <w:szCs w:val="21"/>
              </w:rPr>
              <w:t xml:space="preserve">      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现场参观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ab/>
            </w:r>
            <w:r>
              <w:rPr>
                <w:rFonts w:hint="eastAsia" w:ascii="宋体" w:hAnsi="宋体"/>
                <w:bCs/>
                <w:iCs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/>
                <w:color w:val="000000"/>
                <w:szCs w:val="21"/>
              </w:rPr>
              <w:t>其他</w:t>
            </w:r>
            <w:r>
              <w:rPr>
                <w:rFonts w:hint="eastAsia" w:ascii="宋体" w:hAnsi="宋体"/>
                <w:color w:val="000000"/>
                <w:szCs w:val="21"/>
              </w:rPr>
              <w:t>（电话</w:t>
            </w:r>
            <w:r>
              <w:rPr>
                <w:rFonts w:ascii="宋体" w:hAnsi="宋体"/>
                <w:color w:val="000000"/>
                <w:szCs w:val="21"/>
              </w:rPr>
              <w:t>会议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</w:tc>
      </w:tr>
      <w:tr w14:paraId="69FC5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547" w:type="dxa"/>
            <w:vAlign w:val="center"/>
          </w:tcPr>
          <w:p w14:paraId="3A8563EC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i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iCs/>
                <w:color w:val="000000"/>
                <w:szCs w:val="21"/>
              </w:rPr>
              <w:t>参与单位名称</w:t>
            </w:r>
          </w:p>
        </w:tc>
        <w:tc>
          <w:tcPr>
            <w:tcW w:w="7088" w:type="dxa"/>
            <w:vAlign w:val="center"/>
          </w:tcPr>
          <w:p w14:paraId="2A571639">
            <w:pPr>
              <w:spacing w:before="156" w:beforeLines="5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江证券、招商证券、招商基金、景顺长城、泾溪投资、人保资产、南方基金、博道基金、中银资管、华宝基金、东方红资产、德邦基金、长信基金、融通基金、大中君悦、太平养老、招商信诺、博时基金、万家基金、太保资产、银河基金、国寿养老、中信保诚、新华基金</w:t>
            </w:r>
          </w:p>
        </w:tc>
      </w:tr>
      <w:tr w14:paraId="3EED0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 w14:paraId="10F336D4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i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iCs/>
                <w:color w:val="000000"/>
                <w:szCs w:val="21"/>
              </w:rPr>
              <w:t>时间</w:t>
            </w:r>
          </w:p>
        </w:tc>
        <w:tc>
          <w:tcPr>
            <w:tcW w:w="7088" w:type="dxa"/>
            <w:vAlign w:val="center"/>
          </w:tcPr>
          <w:p w14:paraId="5D8B2A92">
            <w:pPr>
              <w:spacing w:line="276" w:lineRule="auto"/>
              <w:rPr>
                <w:rFonts w:hint="eastAsia"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/>
                <w:bCs/>
                <w:iCs/>
                <w:color w:val="000000"/>
                <w:szCs w:val="21"/>
              </w:rPr>
              <w:t>202</w:t>
            </w:r>
            <w:r>
              <w:rPr>
                <w:rFonts w:hint="eastAsia" w:ascii="宋体" w:hAnsi="宋体"/>
                <w:bCs/>
                <w:iCs/>
                <w:color w:val="000000"/>
                <w:szCs w:val="21"/>
              </w:rPr>
              <w:t>5年5月</w:t>
            </w:r>
            <w:r>
              <w:rPr>
                <w:rFonts w:hint="eastAsia" w:ascii="宋体" w:hAnsi="宋体"/>
                <w:bCs/>
                <w:iCs/>
                <w:color w:val="00000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bCs/>
                <w:iCs/>
                <w:color w:val="000000"/>
                <w:szCs w:val="21"/>
              </w:rPr>
              <w:t>日</w:t>
            </w:r>
          </w:p>
        </w:tc>
      </w:tr>
      <w:tr w14:paraId="440FD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 w14:paraId="275D1681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i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Cs w:val="21"/>
              </w:rPr>
              <w:t>地点</w:t>
            </w:r>
          </w:p>
        </w:tc>
        <w:tc>
          <w:tcPr>
            <w:tcW w:w="7088" w:type="dxa"/>
            <w:vAlign w:val="center"/>
          </w:tcPr>
          <w:p w14:paraId="39351267">
            <w:pPr>
              <w:spacing w:line="276" w:lineRule="auto"/>
              <w:rPr>
                <w:rFonts w:hint="default" w:ascii="宋体" w:hAnsi="宋体" w:eastAsia="宋体"/>
                <w:bCs/>
                <w:i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Cs w:val="21"/>
                <w:lang w:val="en-US" w:eastAsia="zh-CN"/>
              </w:rPr>
              <w:t>晨光稀土会议室</w:t>
            </w:r>
          </w:p>
        </w:tc>
      </w:tr>
      <w:tr w14:paraId="73B2E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 w14:paraId="2E565A95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i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iCs/>
                <w:color w:val="000000"/>
                <w:szCs w:val="21"/>
              </w:rPr>
              <w:t>上市公司接待人员姓名</w:t>
            </w:r>
          </w:p>
        </w:tc>
        <w:tc>
          <w:tcPr>
            <w:tcW w:w="7088" w:type="dxa"/>
            <w:vAlign w:val="center"/>
          </w:tcPr>
          <w:p w14:paraId="41DDC3F2"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投资者关系总监：孙宇翔</w:t>
            </w:r>
          </w:p>
          <w:p w14:paraId="0C7FACFC"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晨光稀土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行政中心总监：邹晓云</w:t>
            </w:r>
          </w:p>
          <w:p w14:paraId="61FBB827">
            <w:pPr>
              <w:spacing w:line="276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晨光稀土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财务中心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总监：谢国华</w:t>
            </w:r>
          </w:p>
        </w:tc>
      </w:tr>
      <w:tr w14:paraId="2D415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 w14:paraId="328CCB7C">
            <w:pPr>
              <w:spacing w:before="156" w:beforeLines="50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调研</w:t>
            </w:r>
            <w:r>
              <w:rPr>
                <w:rFonts w:ascii="宋体" w:hAnsi="宋体"/>
              </w:rPr>
              <w:t>主要内容介绍</w:t>
            </w:r>
          </w:p>
          <w:p w14:paraId="5E672FAF">
            <w:pPr>
              <w:spacing w:before="156" w:beforeLines="50"/>
              <w:ind w:firstLine="420" w:firstLineChars="200"/>
              <w:rPr>
                <w:rFonts w:hint="eastAsia" w:ascii="宋体" w:hAnsi="宋体"/>
              </w:rPr>
            </w:pPr>
          </w:p>
        </w:tc>
        <w:tc>
          <w:tcPr>
            <w:tcW w:w="7088" w:type="dxa"/>
          </w:tcPr>
          <w:p w14:paraId="059ED576">
            <w:pPr>
              <w:spacing w:before="156" w:beforeLines="50"/>
              <w:ind w:firstLine="420" w:firstLineChars="200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公司拟进一步收购Peak公司股权的主要考虑</w:t>
            </w:r>
            <w:r>
              <w:rPr>
                <w:rFonts w:hint="eastAsia"/>
              </w:rPr>
              <w:t xml:space="preserve">？ </w:t>
            </w:r>
          </w:p>
          <w:p w14:paraId="1E1EB635">
            <w:pPr>
              <w:spacing w:before="156" w:beforeLines="50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答：</w:t>
            </w:r>
            <w:r>
              <w:rPr>
                <w:rFonts w:hint="eastAsia"/>
                <w:lang w:val="en-US" w:eastAsia="zh-CN"/>
              </w:rPr>
              <w:t>公司坚持稀土业务为核心，兼顾锆钛，坚持国内国际两种资源、两个市场，以负责任的关键原材料国际化供应商为公司的发展愿景。为进一步夯实公司发展的资源基础，优化公司的全球化业务布局，并推动Ngualla稀土矿项目尽快实施开发，经友好协商，公司全资子公司晨光稀土与Peak公司商定并拟签署主要内容为收购Peak公司对外发行的全部普通股的《方案实施契约》。</w:t>
            </w:r>
          </w:p>
          <w:p w14:paraId="20B462D8">
            <w:pPr>
              <w:spacing w:before="156" w:beforeLines="50"/>
              <w:ind w:firstLine="420" w:firstLineChars="20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Peak收购项目的最新进展情况</w:t>
            </w:r>
            <w:r>
              <w:rPr>
                <w:rFonts w:hint="eastAsia"/>
              </w:rPr>
              <w:t>？</w:t>
            </w:r>
          </w:p>
          <w:p w14:paraId="31178790">
            <w:pPr>
              <w:spacing w:before="156" w:beforeLines="5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答：</w:t>
            </w:r>
            <w:r>
              <w:rPr>
                <w:rFonts w:hint="eastAsia"/>
                <w:lang w:val="en-US" w:eastAsia="zh-CN"/>
              </w:rPr>
              <w:t>本项目方案正式披露后，公司内部相关团队正加紧推进项目监管审批事项申报工作，公司将与有关各方保持紧密的联络，快速响应并及时做好沟通反馈，稳步推动本项目落地。</w:t>
            </w:r>
          </w:p>
          <w:p w14:paraId="136D257C">
            <w:pPr>
              <w:spacing w:after="0" w:line="240" w:lineRule="auto"/>
              <w:ind w:firstLine="420" w:firstLineChars="200"/>
              <w:contextualSpacing/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、如何看待行业未来的发展前景？</w:t>
            </w:r>
          </w:p>
          <w:p w14:paraId="272442F7"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答：公司目前主要产品包括稀土、锆、钛。</w:t>
            </w:r>
          </w:p>
          <w:p w14:paraId="25CEEE68"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稀土是重要的战略矿产资源，稀土元素具有丰富的磁、光、电等特性，可用于永磁、催化、储氢、抛光、精密陶瓷、荧光、激光、光导纤维等材料，在新能源、新材料、节能环保、航空航天、军工、电子信息等领域的应用非常广泛。随着全球能源转型以及智能电动和节能环保等下游产业的发展，稀土行业的市场前景广阔。</w:t>
            </w:r>
          </w:p>
          <w:p w14:paraId="33D87DE1"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锆具有优良的物理化学性质，主要应用于硅酸锆、锆化学制品、电熔锆、精密铸造业、耐火材料等消费部门。高端制造行业对于锆产品需求逐步增长，包括金属锆、复合锆、核级海绵锆等市场的需求量逐年上升。 </w:t>
            </w:r>
          </w:p>
          <w:p w14:paraId="7C67970A"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钛是难熔金属中密度最低的金属元素，具有比强度高和耐腐蚀性强的两大优点，在航空航天、军工、海洋工程、医药、化工颜料、冶金、电力等领域有广泛的应用。</w:t>
            </w:r>
          </w:p>
          <w:p w14:paraId="76065FEF">
            <w:pPr>
              <w:ind w:firstLine="420" w:firstLineChars="200"/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、公司目前</w:t>
            </w:r>
            <w:r>
              <w:rPr>
                <w:rFonts w:hint="eastAsia"/>
                <w:lang w:val="en-US" w:eastAsia="zh-CN"/>
              </w:rPr>
              <w:t>产能利用率情况</w:t>
            </w:r>
            <w:r>
              <w:rPr>
                <w:rFonts w:hint="eastAsia"/>
              </w:rPr>
              <w:t>？</w:t>
            </w:r>
          </w:p>
          <w:p w14:paraId="4FEC09D0"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答：公司稀土冶炼分离和金属加工的产能利用率维持</w:t>
            </w:r>
            <w:r>
              <w:rPr>
                <w:rFonts w:hint="eastAsia"/>
                <w:lang w:val="en-US" w:eastAsia="zh-CN"/>
              </w:rPr>
              <w:t>在较</w:t>
            </w:r>
            <w:r>
              <w:rPr>
                <w:rFonts w:hint="eastAsia"/>
              </w:rPr>
              <w:t>高水平。</w:t>
            </w:r>
          </w:p>
          <w:p w14:paraId="1F240349">
            <w:pPr>
              <w:numPr>
                <w:ilvl w:val="0"/>
                <w:numId w:val="1"/>
              </w:num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公司目前总体经营绩效情况？</w:t>
            </w:r>
          </w:p>
          <w:p w14:paraId="2E6351E8">
            <w:pPr>
              <w:numPr>
                <w:ilvl w:val="-1"/>
                <w:numId w:val="0"/>
              </w:numPr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答：公</w:t>
            </w:r>
            <w:bookmarkStart w:id="2" w:name="_GoBack"/>
            <w:bookmarkEnd w:id="2"/>
            <w:r>
              <w:rPr>
                <w:rFonts w:hint="eastAsia"/>
                <w:lang w:val="en-US" w:eastAsia="zh-CN"/>
              </w:rPr>
              <w:t>司持续加强市场跟踪研判，并科学制定实施经营策略。今年以来，公司整体盈利能力良好，毛利水平较去年同期显著提升。以稀土金属加工环节为例，公司生产成本及料比均处于行业领先水平，产量、合格率、人效等指标均较上年同期实现大幅提升。</w:t>
            </w:r>
          </w:p>
        </w:tc>
      </w:tr>
      <w:tr w14:paraId="63FA0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 w14:paraId="3E908EEA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i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b/>
                <w:bCs/>
                <w:iCs/>
                <w:color w:val="000000"/>
                <w:szCs w:val="21"/>
              </w:rPr>
              <w:t>附件清单（如有）</w:t>
            </w:r>
          </w:p>
        </w:tc>
        <w:tc>
          <w:tcPr>
            <w:tcW w:w="7088" w:type="dxa"/>
          </w:tcPr>
          <w:p w14:paraId="4AC789B0">
            <w:pPr>
              <w:spacing w:line="360" w:lineRule="auto"/>
              <w:ind w:firstLine="105" w:firstLineChars="50"/>
              <w:jc w:val="center"/>
              <w:rPr>
                <w:rFonts w:hint="eastAsia" w:ascii="宋体" w:hAnsi="宋体"/>
                <w:bCs/>
                <w:i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Cs w:val="21"/>
              </w:rPr>
              <w:t>无</w:t>
            </w:r>
          </w:p>
        </w:tc>
      </w:tr>
      <w:tr w14:paraId="5FCF1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 w14:paraId="09F4BB5B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i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iCs/>
                <w:color w:val="000000"/>
                <w:szCs w:val="21"/>
              </w:rPr>
              <w:t>日期</w:t>
            </w:r>
          </w:p>
        </w:tc>
        <w:tc>
          <w:tcPr>
            <w:tcW w:w="7088" w:type="dxa"/>
          </w:tcPr>
          <w:p w14:paraId="0CC43FC5">
            <w:pPr>
              <w:spacing w:line="360" w:lineRule="auto"/>
              <w:jc w:val="center"/>
              <w:rPr>
                <w:rFonts w:hint="eastAsia"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/>
                <w:bCs/>
                <w:iCs/>
                <w:color w:val="000000"/>
                <w:szCs w:val="21"/>
              </w:rPr>
              <w:t>202</w:t>
            </w:r>
            <w:r>
              <w:rPr>
                <w:rFonts w:hint="eastAsia" w:ascii="宋体" w:hAnsi="宋体"/>
                <w:bCs/>
                <w:iCs/>
                <w:color w:val="000000"/>
                <w:szCs w:val="21"/>
              </w:rPr>
              <w:t>5年5月</w:t>
            </w:r>
            <w:r>
              <w:rPr>
                <w:rFonts w:hint="eastAsia" w:ascii="宋体" w:hAnsi="宋体"/>
                <w:bCs/>
                <w:iCs/>
                <w:color w:val="00000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bCs/>
                <w:iCs/>
                <w:color w:val="000000"/>
                <w:szCs w:val="21"/>
              </w:rPr>
              <w:t>日</w:t>
            </w:r>
          </w:p>
        </w:tc>
      </w:tr>
      <w:bookmarkEnd w:id="0"/>
    </w:tbl>
    <w:p w14:paraId="264E70DC">
      <w:pPr>
        <w:widowControl/>
        <w:jc w:val="left"/>
        <w:rPr>
          <w:rFonts w:hint="eastAsia" w:ascii="仿宋" w:hAnsi="仿宋" w:eastAsia="仿宋"/>
          <w:sz w:val="28"/>
          <w:szCs w:val="28"/>
        </w:rPr>
      </w:pPr>
    </w:p>
    <w:sectPr>
      <w:footerReference r:id="rId5" w:type="default"/>
      <w:footerReference r:id="rId6" w:type="even"/>
      <w:pgSz w:w="11906" w:h="16838"/>
      <w:pgMar w:top="1701" w:right="1797" w:bottom="1134" w:left="1797" w:header="851" w:footer="992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E2BE8">
    <w:pPr>
      <w:pStyle w:val="7"/>
      <w:framePr w:wrap="around" w:vAnchor="text" w:hAnchor="margin" w:xAlign="center" w:y="1"/>
      <w:rPr>
        <w:rStyle w:val="14"/>
        <w:rFonts w:hint="eastAsia" w:ascii="宋体" w:hAnsi="宋体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14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2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>—</w:t>
    </w:r>
  </w:p>
  <w:p w14:paraId="16671FD4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28579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7FA730D8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5B885F"/>
    <w:multiLevelType w:val="singleLevel"/>
    <w:tmpl w:val="EB5B885F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5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3YWU0ODljM2NmZjU5OGNmMjFkOGY5YmJkOTk2ODUifQ=="/>
  </w:docVars>
  <w:rsids>
    <w:rsidRoot w:val="00953981"/>
    <w:rsid w:val="0001203A"/>
    <w:rsid w:val="00013509"/>
    <w:rsid w:val="00036947"/>
    <w:rsid w:val="000532C1"/>
    <w:rsid w:val="000550EB"/>
    <w:rsid w:val="0007285A"/>
    <w:rsid w:val="000731BB"/>
    <w:rsid w:val="00081574"/>
    <w:rsid w:val="000A4871"/>
    <w:rsid w:val="000A6FEC"/>
    <w:rsid w:val="000B37B1"/>
    <w:rsid w:val="000B620F"/>
    <w:rsid w:val="000B7E1C"/>
    <w:rsid w:val="000D7761"/>
    <w:rsid w:val="00126512"/>
    <w:rsid w:val="00176F31"/>
    <w:rsid w:val="00177EC3"/>
    <w:rsid w:val="00180568"/>
    <w:rsid w:val="001A04B5"/>
    <w:rsid w:val="001A09A4"/>
    <w:rsid w:val="001C1D99"/>
    <w:rsid w:val="001F4540"/>
    <w:rsid w:val="002001C1"/>
    <w:rsid w:val="00214702"/>
    <w:rsid w:val="0023626F"/>
    <w:rsid w:val="00273F00"/>
    <w:rsid w:val="00295305"/>
    <w:rsid w:val="002B7B99"/>
    <w:rsid w:val="002E1978"/>
    <w:rsid w:val="002F790C"/>
    <w:rsid w:val="0031359B"/>
    <w:rsid w:val="003543E6"/>
    <w:rsid w:val="003635FB"/>
    <w:rsid w:val="003751F0"/>
    <w:rsid w:val="003E0D6D"/>
    <w:rsid w:val="003F075D"/>
    <w:rsid w:val="00431FFB"/>
    <w:rsid w:val="004460E0"/>
    <w:rsid w:val="004C55DA"/>
    <w:rsid w:val="004D4ECC"/>
    <w:rsid w:val="004E149C"/>
    <w:rsid w:val="004E7079"/>
    <w:rsid w:val="004F5FC7"/>
    <w:rsid w:val="00503F30"/>
    <w:rsid w:val="00593A9B"/>
    <w:rsid w:val="005B097F"/>
    <w:rsid w:val="005B151D"/>
    <w:rsid w:val="005C1E93"/>
    <w:rsid w:val="005F33F1"/>
    <w:rsid w:val="0060780A"/>
    <w:rsid w:val="00621A53"/>
    <w:rsid w:val="006401DD"/>
    <w:rsid w:val="00650410"/>
    <w:rsid w:val="00656C48"/>
    <w:rsid w:val="00676A4E"/>
    <w:rsid w:val="00681D44"/>
    <w:rsid w:val="006924FD"/>
    <w:rsid w:val="006D761D"/>
    <w:rsid w:val="007549ED"/>
    <w:rsid w:val="0077568A"/>
    <w:rsid w:val="007A7D5B"/>
    <w:rsid w:val="007C2390"/>
    <w:rsid w:val="007C5823"/>
    <w:rsid w:val="007D4949"/>
    <w:rsid w:val="007E1E56"/>
    <w:rsid w:val="007E4551"/>
    <w:rsid w:val="007E7F4E"/>
    <w:rsid w:val="007F5049"/>
    <w:rsid w:val="007F51F0"/>
    <w:rsid w:val="00814133"/>
    <w:rsid w:val="008359E8"/>
    <w:rsid w:val="00836509"/>
    <w:rsid w:val="00871D04"/>
    <w:rsid w:val="0089239A"/>
    <w:rsid w:val="008C3B4A"/>
    <w:rsid w:val="008C44AA"/>
    <w:rsid w:val="008D5F92"/>
    <w:rsid w:val="008F346F"/>
    <w:rsid w:val="00905BC4"/>
    <w:rsid w:val="009456A9"/>
    <w:rsid w:val="00953981"/>
    <w:rsid w:val="009628D4"/>
    <w:rsid w:val="00992AD5"/>
    <w:rsid w:val="009B0861"/>
    <w:rsid w:val="009F4110"/>
    <w:rsid w:val="009F45A2"/>
    <w:rsid w:val="00A05D19"/>
    <w:rsid w:val="00A103B1"/>
    <w:rsid w:val="00A130E2"/>
    <w:rsid w:val="00A30EA4"/>
    <w:rsid w:val="00A46045"/>
    <w:rsid w:val="00A4725A"/>
    <w:rsid w:val="00A540D5"/>
    <w:rsid w:val="00A903B2"/>
    <w:rsid w:val="00AA3A2F"/>
    <w:rsid w:val="00AB65AE"/>
    <w:rsid w:val="00AC431B"/>
    <w:rsid w:val="00AD3BBC"/>
    <w:rsid w:val="00AE0CFB"/>
    <w:rsid w:val="00AE58F2"/>
    <w:rsid w:val="00AF6245"/>
    <w:rsid w:val="00B0411F"/>
    <w:rsid w:val="00B10F99"/>
    <w:rsid w:val="00B22C28"/>
    <w:rsid w:val="00B23358"/>
    <w:rsid w:val="00B34641"/>
    <w:rsid w:val="00B61496"/>
    <w:rsid w:val="00B61558"/>
    <w:rsid w:val="00B65884"/>
    <w:rsid w:val="00B943F5"/>
    <w:rsid w:val="00BB0618"/>
    <w:rsid w:val="00BC283B"/>
    <w:rsid w:val="00BE138D"/>
    <w:rsid w:val="00BF20BB"/>
    <w:rsid w:val="00C00ED0"/>
    <w:rsid w:val="00C037C8"/>
    <w:rsid w:val="00C125C5"/>
    <w:rsid w:val="00C3495A"/>
    <w:rsid w:val="00C40C24"/>
    <w:rsid w:val="00C655A8"/>
    <w:rsid w:val="00C73011"/>
    <w:rsid w:val="00C74CFE"/>
    <w:rsid w:val="00C8030F"/>
    <w:rsid w:val="00CC0983"/>
    <w:rsid w:val="00CE0A43"/>
    <w:rsid w:val="00CE6605"/>
    <w:rsid w:val="00D03E6A"/>
    <w:rsid w:val="00D0557B"/>
    <w:rsid w:val="00D15A3A"/>
    <w:rsid w:val="00D16C08"/>
    <w:rsid w:val="00D23B76"/>
    <w:rsid w:val="00D346BD"/>
    <w:rsid w:val="00D35C68"/>
    <w:rsid w:val="00D41450"/>
    <w:rsid w:val="00D53AA6"/>
    <w:rsid w:val="00D5647D"/>
    <w:rsid w:val="00D70AE6"/>
    <w:rsid w:val="00D74D49"/>
    <w:rsid w:val="00DA7E5B"/>
    <w:rsid w:val="00DB45D0"/>
    <w:rsid w:val="00DE22B5"/>
    <w:rsid w:val="00E31F4A"/>
    <w:rsid w:val="00E62C0E"/>
    <w:rsid w:val="00E877F5"/>
    <w:rsid w:val="00E91845"/>
    <w:rsid w:val="00E92BDF"/>
    <w:rsid w:val="00EA062D"/>
    <w:rsid w:val="00EC0E1C"/>
    <w:rsid w:val="00EC289B"/>
    <w:rsid w:val="00ED31BF"/>
    <w:rsid w:val="00F273B8"/>
    <w:rsid w:val="00F4436E"/>
    <w:rsid w:val="00F536E6"/>
    <w:rsid w:val="00F619A6"/>
    <w:rsid w:val="00F72C4E"/>
    <w:rsid w:val="00F958D0"/>
    <w:rsid w:val="00FA38A8"/>
    <w:rsid w:val="00FA7A09"/>
    <w:rsid w:val="00FB5270"/>
    <w:rsid w:val="00FD2C33"/>
    <w:rsid w:val="035E62A9"/>
    <w:rsid w:val="0B375D40"/>
    <w:rsid w:val="0C1C4875"/>
    <w:rsid w:val="0ECB5A9B"/>
    <w:rsid w:val="1E38504E"/>
    <w:rsid w:val="222A111F"/>
    <w:rsid w:val="286E1F91"/>
    <w:rsid w:val="2B951716"/>
    <w:rsid w:val="2C0B44D1"/>
    <w:rsid w:val="33515EF4"/>
    <w:rsid w:val="36C22E36"/>
    <w:rsid w:val="3A8638A8"/>
    <w:rsid w:val="3E27233B"/>
    <w:rsid w:val="3ED65E91"/>
    <w:rsid w:val="41C10393"/>
    <w:rsid w:val="4599357F"/>
    <w:rsid w:val="4E912D62"/>
    <w:rsid w:val="57DB0D2B"/>
    <w:rsid w:val="58535244"/>
    <w:rsid w:val="5CC34FC4"/>
    <w:rsid w:val="5D864CC7"/>
    <w:rsid w:val="60F224FB"/>
    <w:rsid w:val="658E7179"/>
    <w:rsid w:val="6AC9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9"/>
    <w:qFormat/>
    <w:uiPriority w:val="0"/>
    <w:rPr>
      <w:sz w:val="28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rPr>
      <w:rFonts w:ascii="Calibri" w:hAnsi="Calibri"/>
      <w:sz w:val="24"/>
    </w:rPr>
  </w:style>
  <w:style w:type="table" w:styleId="11">
    <w:name w:val="Table Grid"/>
    <w:basedOn w:val="10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qFormat/>
    <w:uiPriority w:val="0"/>
  </w:style>
  <w:style w:type="character" w:styleId="15">
    <w:name w:val="Emphasis"/>
    <w:qFormat/>
    <w:uiPriority w:val="0"/>
    <w:rPr>
      <w:i/>
    </w:rPr>
  </w:style>
  <w:style w:type="character" w:styleId="16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7">
    <w:name w:val="标题 1 字符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8">
    <w:name w:val="标题 2 字符"/>
    <w:link w:val="3"/>
    <w:qFormat/>
    <w:uiPriority w:val="9"/>
    <w:rPr>
      <w:rFonts w:ascii="Calibri Light" w:hAnsi="Calibri Light"/>
      <w:b/>
      <w:bCs/>
      <w:kern w:val="2"/>
      <w:sz w:val="32"/>
      <w:szCs w:val="32"/>
    </w:rPr>
  </w:style>
  <w:style w:type="character" w:customStyle="1" w:styleId="19">
    <w:name w:val="正文文本 字符"/>
    <w:link w:val="4"/>
    <w:qFormat/>
    <w:uiPriority w:val="0"/>
    <w:rPr>
      <w:kern w:val="2"/>
      <w:sz w:val="28"/>
      <w:szCs w:val="24"/>
    </w:rPr>
  </w:style>
  <w:style w:type="character" w:customStyle="1" w:styleId="20">
    <w:name w:val="批注框文本 字符"/>
    <w:link w:val="6"/>
    <w:qFormat/>
    <w:uiPriority w:val="0"/>
    <w:rPr>
      <w:kern w:val="2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3">
    <w:name w:val="msolistparagraph"/>
    <w:basedOn w:val="1"/>
    <w:qFormat/>
    <w:uiPriority w:val="0"/>
    <w:pPr>
      <w:ind w:firstLine="420" w:firstLineChars="200"/>
    </w:pPr>
    <w:rPr>
      <w:rFonts w:ascii="Calibri" w:hAnsi="Calibri"/>
      <w:szCs w:val="21"/>
    </w:rPr>
  </w:style>
  <w:style w:type="paragraph" w:customStyle="1" w:styleId="24">
    <w:name w:val="Revision"/>
    <w:hidden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SC</Company>
  <Pages>2</Pages>
  <Words>1091</Words>
  <Characters>1130</Characters>
  <Lines>59</Lines>
  <Paragraphs>37</Paragraphs>
  <TotalTime>159</TotalTime>
  <ScaleCrop>false</ScaleCrop>
  <LinksUpToDate>false</LinksUpToDate>
  <CharactersWithSpaces>1256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2025-05-08T02:45:00Z</dcterms:created>
  <dc:creator>Li</dc:creator>
  <cp:lastModifiedBy>HuaWei</cp:lastModifiedBy>
  <cp:lastPrinted>2010-08-04T06:50:00Z</cp:lastPrinted>
  <dcterms:modified xsi:type="dcterms:W3CDTF">2025-05-23T05:11:43Z</dcterms:modified>
  <dc:title>四川省上市公司协会文件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763A6F723547471E912D19AB94DAA195_13</vt:lpwstr>
  </property>
  <property fmtid="{D5CDD505-2E9C-101B-9397-08002B2CF9AE}" pid="4" name="KSOTemplateDocerSaveRecord">
    <vt:lpwstr>eyJoZGlkIjoiMzEwNTM5NzYwMDRjMzkwZTVkZjY2ODkwMGIxNGU0OTUifQ==</vt:lpwstr>
  </property>
</Properties>
</file>