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4D" w:rsidRPr="008F3177" w:rsidRDefault="00D3704D" w:rsidP="00871A26">
      <w:pPr>
        <w:spacing w:beforeLines="50" w:before="156" w:afterLines="50" w:after="156" w:line="400" w:lineRule="exact"/>
        <w:rPr>
          <w:rFonts w:ascii="TimesNewRoman" w:hAnsi="宋体"/>
          <w:b/>
          <w:sz w:val="24"/>
        </w:rPr>
      </w:pPr>
      <w:r w:rsidRPr="008F3177">
        <w:rPr>
          <w:rFonts w:ascii="TimesNewRoman" w:hAnsi="宋体" w:hint="eastAsia"/>
          <w:b/>
          <w:sz w:val="24"/>
        </w:rPr>
        <w:t>证券代码：</w:t>
      </w:r>
      <w:r w:rsidR="009D2D7D" w:rsidRPr="008F3177">
        <w:rPr>
          <w:rFonts w:ascii="TimesNewRoman" w:hAnsi="TimesNewRoman"/>
          <w:b/>
          <w:sz w:val="24"/>
        </w:rPr>
        <w:t>688499</w:t>
      </w:r>
      <w:r w:rsidRPr="008F3177">
        <w:rPr>
          <w:rFonts w:ascii="TimesNewRoman" w:hAnsi="TimesNewRoman" w:hint="eastAsia"/>
          <w:b/>
          <w:sz w:val="24"/>
        </w:rPr>
        <w:t xml:space="preserve">                                </w:t>
      </w:r>
      <w:r w:rsidR="008F3177" w:rsidRPr="008F3177">
        <w:rPr>
          <w:rFonts w:ascii="TimesNewRoman" w:hAnsi="TimesNewRoman"/>
          <w:b/>
          <w:sz w:val="24"/>
        </w:rPr>
        <w:t xml:space="preserve">     </w:t>
      </w:r>
      <w:r w:rsidRPr="008F3177">
        <w:rPr>
          <w:rFonts w:ascii="TimesNewRoman" w:hAnsi="宋体" w:hint="eastAsia"/>
          <w:b/>
          <w:sz w:val="24"/>
        </w:rPr>
        <w:t>证券简称：</w:t>
      </w:r>
      <w:r w:rsidR="009D2D7D" w:rsidRPr="008F3177">
        <w:rPr>
          <w:rFonts w:ascii="TimesNewRoman" w:hAnsi="宋体" w:hint="eastAsia"/>
          <w:b/>
          <w:sz w:val="24"/>
        </w:rPr>
        <w:t>利元亨</w:t>
      </w:r>
    </w:p>
    <w:p w:rsidR="00C04DF9" w:rsidRDefault="009D2D7D" w:rsidP="00871A26">
      <w:pPr>
        <w:spacing w:beforeLines="100" w:before="312" w:afterLines="100" w:after="312" w:line="400" w:lineRule="exact"/>
        <w:jc w:val="center"/>
        <w:rPr>
          <w:rFonts w:ascii="TimesNewRoman" w:hAnsi="宋体"/>
          <w:b/>
          <w:sz w:val="32"/>
          <w:szCs w:val="32"/>
        </w:rPr>
      </w:pPr>
      <w:r>
        <w:rPr>
          <w:rFonts w:ascii="TimesNewRoman" w:hAnsi="宋体" w:hint="eastAsia"/>
          <w:b/>
          <w:sz w:val="32"/>
          <w:szCs w:val="32"/>
        </w:rPr>
        <w:t>广东利元亨智能装备</w:t>
      </w:r>
      <w:r w:rsidR="00E83A63">
        <w:rPr>
          <w:rFonts w:ascii="TimesNewRoman" w:hAnsi="宋体" w:hint="eastAsia"/>
          <w:b/>
          <w:sz w:val="32"/>
          <w:szCs w:val="32"/>
        </w:rPr>
        <w:t>股份有限公司</w:t>
      </w:r>
    </w:p>
    <w:p w:rsidR="00D3704D" w:rsidRPr="00943E94" w:rsidRDefault="00563647" w:rsidP="00871A26">
      <w:pPr>
        <w:spacing w:beforeLines="100" w:before="312" w:afterLines="100" w:after="312" w:line="400" w:lineRule="exact"/>
        <w:jc w:val="center"/>
        <w:rPr>
          <w:rFonts w:ascii="TimesNewRoman" w:hAnsi="TimesNewRoman" w:hint="eastAsia"/>
          <w:b/>
          <w:sz w:val="32"/>
          <w:szCs w:val="32"/>
        </w:rPr>
      </w:pPr>
      <w:r>
        <w:rPr>
          <w:rFonts w:ascii="TimesNewRoman" w:hAnsi="TimesNewRoman" w:hint="eastAsia"/>
          <w:b/>
          <w:sz w:val="32"/>
          <w:szCs w:val="32"/>
        </w:rPr>
        <w:t>投资者交流记录表</w:t>
      </w:r>
    </w:p>
    <w:p w:rsidR="00D3704D" w:rsidRPr="00943E94" w:rsidRDefault="00D3704D" w:rsidP="00D3704D">
      <w:pPr>
        <w:spacing w:line="400" w:lineRule="exact"/>
        <w:rPr>
          <w:rFonts w:ascii="TimesNewRoman" w:hAnsi="TimesNewRoman" w:hint="eastAsia"/>
          <w:sz w:val="24"/>
        </w:rPr>
      </w:pPr>
      <w:r w:rsidRPr="00943E94">
        <w:rPr>
          <w:rFonts w:ascii="TimesNewRoman" w:hAnsi="TimesNewRoman" w:hint="eastAsia"/>
          <w:sz w:val="24"/>
        </w:rPr>
        <w:t xml:space="preserve">                    </w:t>
      </w:r>
      <w:r w:rsidR="009F518A">
        <w:rPr>
          <w:rFonts w:ascii="TimesNewRoman" w:hAnsi="TimesNewRoman" w:hint="eastAsia"/>
          <w:sz w:val="24"/>
        </w:rPr>
        <w:t xml:space="preserve">                               </w:t>
      </w:r>
      <w:r w:rsidRPr="00943E94">
        <w:rPr>
          <w:rFonts w:ascii="TimesNewRoman" w:hAnsi="TimesNewRoman" w:hint="eastAsia"/>
          <w:sz w:val="24"/>
        </w:rPr>
        <w:t xml:space="preserve"> </w:t>
      </w:r>
      <w:r w:rsidRPr="00943E94">
        <w:rPr>
          <w:rFonts w:ascii="TimesNewRoman" w:hAnsi="宋体" w:hint="eastAsia"/>
          <w:sz w:val="24"/>
        </w:rPr>
        <w:t>编号：</w:t>
      </w:r>
      <w:r w:rsidR="004D2728" w:rsidRPr="00812A63">
        <w:rPr>
          <w:sz w:val="24"/>
        </w:rPr>
        <w:t>202</w:t>
      </w:r>
      <w:r w:rsidR="0031756E" w:rsidRPr="00812A63">
        <w:rPr>
          <w:sz w:val="24"/>
        </w:rPr>
        <w:t>5</w:t>
      </w:r>
      <w:r w:rsidR="009F518A" w:rsidRPr="00812A63">
        <w:rPr>
          <w:sz w:val="24"/>
        </w:rPr>
        <w:t>-</w:t>
      </w:r>
      <w:r w:rsidR="0055128B" w:rsidRPr="00812A63">
        <w:rPr>
          <w:sz w:val="24"/>
        </w:rPr>
        <w:t>0</w:t>
      </w:r>
      <w:r w:rsidR="007B4627" w:rsidRPr="00812A63">
        <w:rPr>
          <w:sz w:val="24"/>
        </w:rPr>
        <w:t>6</w:t>
      </w:r>
      <w:r w:rsidR="004D2728" w:rsidRPr="00812A63">
        <w:rPr>
          <w:sz w:val="24"/>
        </w:rPr>
        <w:t>00</w:t>
      </w:r>
      <w:r w:rsidR="003A0A09" w:rsidRPr="00812A63">
        <w:rPr>
          <w:sz w:val="24"/>
        </w:rPr>
        <w:t>1</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117"/>
      </w:tblGrid>
      <w:tr w:rsidR="00D3704D" w:rsidRPr="00943E94" w:rsidTr="005E46BC">
        <w:trPr>
          <w:trHeight w:val="2126"/>
          <w:jc w:val="center"/>
        </w:trPr>
        <w:tc>
          <w:tcPr>
            <w:tcW w:w="1908" w:type="dxa"/>
            <w:vAlign w:val="center"/>
          </w:tcPr>
          <w:p w:rsidR="00D3704D" w:rsidRPr="00943E94" w:rsidRDefault="00D3704D" w:rsidP="005E46BC">
            <w:pPr>
              <w:spacing w:line="480" w:lineRule="atLeast"/>
              <w:jc w:val="center"/>
              <w:rPr>
                <w:rFonts w:ascii="TimesNewRoman" w:hAnsi="TimesNewRoman" w:hint="eastAsia"/>
                <w:b/>
                <w:sz w:val="24"/>
              </w:rPr>
            </w:pPr>
            <w:r w:rsidRPr="00943E94">
              <w:rPr>
                <w:rFonts w:ascii="TimesNewRoman" w:hAnsi="宋体" w:hint="eastAsia"/>
                <w:b/>
                <w:sz w:val="24"/>
              </w:rPr>
              <w:t>投资者关系活动类别</w:t>
            </w:r>
          </w:p>
        </w:tc>
        <w:tc>
          <w:tcPr>
            <w:tcW w:w="7117" w:type="dxa"/>
            <w:tcBorders>
              <w:bottom w:val="single" w:sz="4" w:space="0" w:color="auto"/>
            </w:tcBorders>
          </w:tcPr>
          <w:p w:rsidR="00D3704D" w:rsidRPr="00943E94" w:rsidRDefault="009D2D7D" w:rsidP="002749ED">
            <w:pPr>
              <w:spacing w:line="480" w:lineRule="atLeast"/>
              <w:rPr>
                <w:rFonts w:ascii="TimesNewRoman" w:hAnsi="TimesNewRoman" w:hint="eastAsia"/>
                <w:sz w:val="24"/>
              </w:rPr>
            </w:pPr>
            <w:r w:rsidRPr="00943E94">
              <w:rPr>
                <w:rFonts w:ascii="TimesNewRoman" w:hAnsi="TimesNewRoman" w:hint="eastAsia"/>
                <w:sz w:val="24"/>
              </w:rPr>
              <w:t>□</w:t>
            </w:r>
            <w:r w:rsidR="00D3704D" w:rsidRPr="00943E94">
              <w:rPr>
                <w:rFonts w:ascii="TimesNewRoman" w:hAnsi="宋体" w:hint="eastAsia"/>
                <w:sz w:val="24"/>
              </w:rPr>
              <w:t>特定对象调研</w:t>
            </w:r>
            <w:r w:rsidR="00337761">
              <w:rPr>
                <w:rFonts w:ascii="TimesNewRoman" w:hAnsi="TimesNewRoman" w:hint="eastAsia"/>
                <w:sz w:val="24"/>
              </w:rPr>
              <w:t xml:space="preserve">      </w:t>
            </w:r>
            <w:r w:rsidR="006F3FA6">
              <w:rPr>
                <w:rFonts w:ascii="TimesNewRoman" w:hAnsi="TimesNewRoman" w:hint="eastAsia"/>
                <w:sz w:val="24"/>
              </w:rPr>
              <w:t xml:space="preserve">  </w:t>
            </w:r>
            <w:r w:rsidR="00337761" w:rsidRPr="00943E94">
              <w:rPr>
                <w:rFonts w:ascii="TimesNewRoman" w:hAnsi="TimesNewRoman" w:hint="eastAsia"/>
                <w:sz w:val="24"/>
              </w:rPr>
              <w:t>□</w:t>
            </w:r>
            <w:r w:rsidR="00D3704D" w:rsidRPr="00943E94">
              <w:rPr>
                <w:rFonts w:ascii="TimesNewRoman" w:hAnsi="宋体" w:hint="eastAsia"/>
                <w:sz w:val="24"/>
              </w:rPr>
              <w:t>分析师会议</w:t>
            </w:r>
          </w:p>
          <w:p w:rsidR="00D3704D" w:rsidRPr="00943E94" w:rsidRDefault="00D3704D" w:rsidP="002749ED">
            <w:pPr>
              <w:spacing w:line="480" w:lineRule="atLeast"/>
              <w:rPr>
                <w:rFonts w:ascii="TimesNewRoman" w:hAnsi="TimesNewRoman" w:hint="eastAsia"/>
                <w:sz w:val="24"/>
              </w:rPr>
            </w:pPr>
            <w:r w:rsidRPr="00943E94">
              <w:rPr>
                <w:rFonts w:ascii="TimesNewRoman" w:hAnsi="TimesNewRoman" w:hint="eastAsia"/>
                <w:sz w:val="24"/>
              </w:rPr>
              <w:t>□</w:t>
            </w:r>
            <w:r w:rsidRPr="00943E94">
              <w:rPr>
                <w:rFonts w:ascii="TimesNewRoman" w:hAnsi="宋体" w:hint="eastAsia"/>
                <w:sz w:val="24"/>
              </w:rPr>
              <w:t>媒体采访</w:t>
            </w:r>
            <w:r w:rsidRPr="00943E94">
              <w:rPr>
                <w:rFonts w:ascii="TimesNewRoman" w:hAnsi="TimesNewRoman" w:hint="eastAsia"/>
                <w:sz w:val="24"/>
              </w:rPr>
              <w:t xml:space="preserve">            </w:t>
            </w:r>
            <w:r w:rsidRPr="00943E94">
              <w:rPr>
                <w:rFonts w:ascii="TimesNewRoman" w:hAnsi="TimesNewRoman" w:hint="eastAsia"/>
                <w:sz w:val="24"/>
              </w:rPr>
              <w:t>□</w:t>
            </w:r>
            <w:r w:rsidR="00B64417">
              <w:rPr>
                <w:rFonts w:ascii="TimesNewRoman" w:hAnsi="宋体" w:hint="eastAsia"/>
                <w:sz w:val="24"/>
              </w:rPr>
              <w:t>业绩</w:t>
            </w:r>
            <w:r w:rsidRPr="00943E94">
              <w:rPr>
                <w:rFonts w:ascii="TimesNewRoman" w:hAnsi="宋体" w:hint="eastAsia"/>
                <w:sz w:val="24"/>
              </w:rPr>
              <w:t>说明会</w:t>
            </w:r>
          </w:p>
          <w:p w:rsidR="00D3704D" w:rsidRPr="00943E94" w:rsidRDefault="00D3704D" w:rsidP="002749ED">
            <w:pPr>
              <w:spacing w:line="480" w:lineRule="atLeast"/>
              <w:rPr>
                <w:rFonts w:ascii="TimesNewRoman" w:hAnsi="TimesNewRoman" w:hint="eastAsia"/>
                <w:sz w:val="24"/>
              </w:rPr>
            </w:pPr>
            <w:r w:rsidRPr="00943E94">
              <w:rPr>
                <w:rFonts w:ascii="TimesNewRoman" w:hAnsi="TimesNewRoman" w:hint="eastAsia"/>
                <w:sz w:val="24"/>
              </w:rPr>
              <w:t>□</w:t>
            </w:r>
            <w:r w:rsidRPr="00943E94">
              <w:rPr>
                <w:rFonts w:ascii="TimesNewRoman" w:hAnsi="宋体" w:hint="eastAsia"/>
                <w:sz w:val="24"/>
              </w:rPr>
              <w:t>新闻发布会</w:t>
            </w:r>
            <w:r w:rsidRPr="00943E94">
              <w:rPr>
                <w:rFonts w:ascii="TimesNewRoman" w:hAnsi="TimesNewRoman" w:hint="eastAsia"/>
                <w:sz w:val="24"/>
              </w:rPr>
              <w:t xml:space="preserve">          </w:t>
            </w:r>
            <w:r w:rsidRPr="00943E94">
              <w:rPr>
                <w:rFonts w:ascii="TimesNewRoman" w:hAnsi="TimesNewRoman" w:hint="eastAsia"/>
                <w:sz w:val="24"/>
              </w:rPr>
              <w:t>□</w:t>
            </w:r>
            <w:r w:rsidRPr="00943E94">
              <w:rPr>
                <w:rFonts w:ascii="TimesNewRoman" w:hAnsi="宋体" w:hint="eastAsia"/>
                <w:sz w:val="24"/>
              </w:rPr>
              <w:t>路演活动</w:t>
            </w:r>
          </w:p>
          <w:p w:rsidR="00D3704D" w:rsidRPr="00943E94" w:rsidRDefault="007B4627" w:rsidP="008C175B">
            <w:pPr>
              <w:tabs>
                <w:tab w:val="left" w:pos="3045"/>
                <w:tab w:val="center" w:pos="3199"/>
              </w:tabs>
              <w:spacing w:line="480" w:lineRule="atLeast"/>
              <w:rPr>
                <w:rFonts w:ascii="TimesNewRoman" w:hAnsi="TimesNewRoman" w:hint="eastAsia"/>
                <w:sz w:val="24"/>
              </w:rPr>
            </w:pPr>
            <w:r>
              <w:rPr>
                <w:rFonts w:ascii="宋体" w:hAnsi="宋体" w:hint="eastAsia"/>
                <w:sz w:val="24"/>
              </w:rPr>
              <w:t>■</w:t>
            </w:r>
            <w:r w:rsidR="00563647">
              <w:rPr>
                <w:rFonts w:ascii="TimesNewRoman" w:hAnsi="宋体" w:hint="eastAsia"/>
                <w:sz w:val="24"/>
              </w:rPr>
              <w:t>现场参观</w:t>
            </w:r>
            <w:r w:rsidR="00292646">
              <w:rPr>
                <w:rFonts w:ascii="TimesNewRoman" w:hAnsi="TimesNewRoman" w:hint="eastAsia"/>
                <w:sz w:val="24"/>
              </w:rPr>
              <w:t xml:space="preserve"> </w:t>
            </w:r>
            <w:r w:rsidR="00292646">
              <w:rPr>
                <w:rFonts w:ascii="TimesNewRoman" w:hAnsi="TimesNewRoman"/>
                <w:sz w:val="24"/>
              </w:rPr>
              <w:t xml:space="preserve">           </w:t>
            </w:r>
            <w:r w:rsidR="00292646">
              <w:rPr>
                <w:rFonts w:ascii="宋体" w:hAnsi="宋体" w:hint="eastAsia"/>
                <w:sz w:val="24"/>
              </w:rPr>
              <w:t>■</w:t>
            </w:r>
            <w:r w:rsidR="008C175B" w:rsidRPr="008C175B">
              <w:rPr>
                <w:rFonts w:ascii="TimesNewRoman" w:hAnsi="TimesNewRoman" w:hint="eastAsia"/>
                <w:sz w:val="24"/>
              </w:rPr>
              <w:t>其他（电话会议）</w:t>
            </w:r>
            <w:r w:rsidR="00D3704D" w:rsidRPr="00943E94">
              <w:rPr>
                <w:rFonts w:ascii="TimesNewRoman" w:hAnsi="TimesNewRoman" w:hint="eastAsia"/>
                <w:sz w:val="24"/>
              </w:rPr>
              <w:t xml:space="preserve"> </w:t>
            </w:r>
          </w:p>
        </w:tc>
        <w:bookmarkStart w:id="0" w:name="_GoBack"/>
        <w:bookmarkEnd w:id="0"/>
      </w:tr>
      <w:tr w:rsidR="00134783" w:rsidRPr="004973D8" w:rsidTr="00AD58AA">
        <w:trPr>
          <w:trHeight w:val="557"/>
          <w:jc w:val="center"/>
        </w:trPr>
        <w:tc>
          <w:tcPr>
            <w:tcW w:w="1908" w:type="dxa"/>
            <w:vAlign w:val="center"/>
          </w:tcPr>
          <w:p w:rsidR="00134783" w:rsidRPr="00943E94" w:rsidRDefault="00134783" w:rsidP="005E46BC">
            <w:pPr>
              <w:spacing w:line="480" w:lineRule="atLeast"/>
              <w:jc w:val="center"/>
              <w:rPr>
                <w:rFonts w:ascii="TimesNewRoman" w:hAnsi="TimesNewRoman" w:hint="eastAsia"/>
                <w:b/>
                <w:sz w:val="24"/>
              </w:rPr>
            </w:pPr>
            <w:r w:rsidRPr="00943E94">
              <w:rPr>
                <w:rFonts w:ascii="TimesNewRoman" w:hAnsi="宋体" w:hint="eastAsia"/>
                <w:b/>
                <w:sz w:val="24"/>
              </w:rPr>
              <w:t>参与单位名称</w:t>
            </w:r>
          </w:p>
        </w:tc>
        <w:tc>
          <w:tcPr>
            <w:tcW w:w="7117" w:type="dxa"/>
          </w:tcPr>
          <w:p w:rsidR="002310E6" w:rsidRDefault="0020530A" w:rsidP="00385380">
            <w:pPr>
              <w:spacing w:line="480" w:lineRule="atLeast"/>
              <w:rPr>
                <w:rFonts w:ascii="TimesNewRoman" w:eastAsiaTheme="minorEastAsia" w:hAnsi="TimesNewRoman" w:cs="Arial" w:hint="eastAsia"/>
                <w:b/>
                <w:kern w:val="0"/>
                <w:sz w:val="24"/>
                <w:szCs w:val="24"/>
              </w:rPr>
            </w:pPr>
            <w:r w:rsidRPr="00FE13FA">
              <w:rPr>
                <w:rFonts w:ascii="TimesNewRoman" w:eastAsiaTheme="minorEastAsia" w:hAnsi="TimesNewRoman" w:cs="Arial" w:hint="eastAsia"/>
                <w:b/>
                <w:kern w:val="0"/>
                <w:sz w:val="24"/>
                <w:szCs w:val="24"/>
              </w:rPr>
              <w:t>2</w:t>
            </w:r>
            <w:r w:rsidRPr="00FE13FA">
              <w:rPr>
                <w:rFonts w:ascii="TimesNewRoman" w:eastAsiaTheme="minorEastAsia" w:hAnsi="TimesNewRoman" w:cs="Arial"/>
                <w:b/>
                <w:kern w:val="0"/>
                <w:sz w:val="24"/>
                <w:szCs w:val="24"/>
              </w:rPr>
              <w:t>025</w:t>
            </w:r>
            <w:r w:rsidRPr="00FE13FA">
              <w:rPr>
                <w:rFonts w:ascii="TimesNewRoman" w:eastAsiaTheme="minorEastAsia" w:hAnsi="TimesNewRoman" w:cs="Arial" w:hint="eastAsia"/>
                <w:b/>
                <w:kern w:val="0"/>
                <w:sz w:val="24"/>
                <w:szCs w:val="24"/>
              </w:rPr>
              <w:t>年</w:t>
            </w:r>
            <w:r w:rsidRPr="00FE13FA">
              <w:rPr>
                <w:rFonts w:ascii="TimesNewRoman" w:eastAsiaTheme="minorEastAsia" w:hAnsi="TimesNewRoman" w:cs="Arial" w:hint="eastAsia"/>
                <w:b/>
                <w:kern w:val="0"/>
                <w:sz w:val="24"/>
                <w:szCs w:val="24"/>
              </w:rPr>
              <w:t>6</w:t>
            </w:r>
            <w:r w:rsidRPr="00FE13FA">
              <w:rPr>
                <w:rFonts w:ascii="TimesNewRoman" w:eastAsiaTheme="minorEastAsia" w:hAnsi="TimesNewRoman" w:cs="Arial" w:hint="eastAsia"/>
                <w:b/>
                <w:kern w:val="0"/>
                <w:sz w:val="24"/>
                <w:szCs w:val="24"/>
              </w:rPr>
              <w:t>月</w:t>
            </w:r>
            <w:r w:rsidRPr="00FE13FA">
              <w:rPr>
                <w:rFonts w:ascii="TimesNewRoman" w:eastAsiaTheme="minorEastAsia" w:hAnsi="TimesNewRoman" w:cs="Arial" w:hint="eastAsia"/>
                <w:b/>
                <w:kern w:val="0"/>
                <w:sz w:val="24"/>
                <w:szCs w:val="24"/>
              </w:rPr>
              <w:t>5</w:t>
            </w:r>
            <w:r w:rsidRPr="00FE13FA">
              <w:rPr>
                <w:rFonts w:ascii="TimesNewRoman" w:eastAsiaTheme="minorEastAsia" w:hAnsi="TimesNewRoman" w:cs="Arial" w:hint="eastAsia"/>
                <w:b/>
                <w:kern w:val="0"/>
                <w:sz w:val="24"/>
                <w:szCs w:val="24"/>
              </w:rPr>
              <w:t>日</w:t>
            </w:r>
          </w:p>
          <w:p w:rsidR="0020530A" w:rsidRPr="00FE13FA" w:rsidRDefault="0020530A" w:rsidP="00385380">
            <w:pPr>
              <w:spacing w:line="480" w:lineRule="atLeast"/>
              <w:rPr>
                <w:rFonts w:ascii="TimesNewRoman" w:eastAsiaTheme="minorEastAsia" w:hAnsi="TimesNewRoman" w:cs="Arial" w:hint="eastAsia"/>
                <w:b/>
                <w:kern w:val="0"/>
                <w:sz w:val="24"/>
                <w:szCs w:val="24"/>
              </w:rPr>
            </w:pPr>
            <w:r w:rsidRPr="00FE13FA">
              <w:rPr>
                <w:rFonts w:eastAsiaTheme="minorEastAsia"/>
                <w:kern w:val="0"/>
                <w:sz w:val="24"/>
                <w:szCs w:val="24"/>
              </w:rPr>
              <w:t>ALLANZ GLOBAL INVESTORS</w:t>
            </w:r>
            <w:r w:rsidRPr="00FE13FA">
              <w:rPr>
                <w:rFonts w:eastAsiaTheme="minorEastAsia"/>
                <w:kern w:val="0"/>
                <w:sz w:val="24"/>
                <w:szCs w:val="24"/>
              </w:rPr>
              <w:t>、</w:t>
            </w:r>
            <w:r w:rsidRPr="00FE13FA">
              <w:rPr>
                <w:rFonts w:eastAsiaTheme="minorEastAsia"/>
                <w:kern w:val="0"/>
                <w:sz w:val="24"/>
                <w:szCs w:val="24"/>
              </w:rPr>
              <w:t>BOCI PRUDENTIAL ASSET MGT</w:t>
            </w:r>
            <w:r w:rsidRPr="00FE13FA">
              <w:rPr>
                <w:rFonts w:eastAsiaTheme="minorEastAsia"/>
                <w:kern w:val="0"/>
                <w:sz w:val="24"/>
                <w:szCs w:val="24"/>
              </w:rPr>
              <w:t>、</w:t>
            </w:r>
            <w:r w:rsidRPr="00FE13FA">
              <w:rPr>
                <w:rFonts w:eastAsiaTheme="minorEastAsia"/>
                <w:kern w:val="0"/>
                <w:sz w:val="24"/>
                <w:szCs w:val="24"/>
              </w:rPr>
              <w:t>DYMON ASIA CAPITAL LTD</w:t>
            </w:r>
            <w:r w:rsidRPr="00FE13FA">
              <w:rPr>
                <w:rFonts w:eastAsiaTheme="minorEastAsia"/>
                <w:kern w:val="0"/>
                <w:sz w:val="24"/>
                <w:szCs w:val="24"/>
              </w:rPr>
              <w:t>、</w:t>
            </w:r>
            <w:r w:rsidRPr="00FE13FA">
              <w:rPr>
                <w:rFonts w:eastAsiaTheme="minorEastAsia"/>
                <w:kern w:val="0"/>
                <w:sz w:val="24"/>
                <w:szCs w:val="24"/>
              </w:rPr>
              <w:t>HEL VED CAPITAL MANAGEMENT LIMITED</w:t>
            </w:r>
            <w:r w:rsidRPr="00FE13FA">
              <w:rPr>
                <w:rFonts w:eastAsiaTheme="minorEastAsia"/>
                <w:kern w:val="0"/>
                <w:sz w:val="24"/>
                <w:szCs w:val="24"/>
              </w:rPr>
              <w:t>、</w:t>
            </w:r>
            <w:r w:rsidRPr="00FE13FA">
              <w:rPr>
                <w:rFonts w:eastAsiaTheme="minorEastAsia"/>
                <w:kern w:val="0"/>
                <w:sz w:val="24"/>
                <w:szCs w:val="24"/>
              </w:rPr>
              <w:t>HILLHOUSE CAPITAL MGMT LTD</w:t>
            </w:r>
            <w:r w:rsidRPr="00FE13FA">
              <w:rPr>
                <w:rFonts w:eastAsiaTheme="minorEastAsia"/>
                <w:kern w:val="0"/>
                <w:sz w:val="24"/>
                <w:szCs w:val="24"/>
              </w:rPr>
              <w:t>、</w:t>
            </w:r>
            <w:r w:rsidRPr="00FE13FA">
              <w:rPr>
                <w:rFonts w:eastAsiaTheme="minorEastAsia"/>
                <w:kern w:val="0"/>
                <w:sz w:val="24"/>
                <w:szCs w:val="24"/>
              </w:rPr>
              <w:t>MANULIFE ASSET MANAGEMENT</w:t>
            </w:r>
            <w:r w:rsidRPr="00FE13FA">
              <w:rPr>
                <w:rFonts w:eastAsiaTheme="minorEastAsia"/>
                <w:kern w:val="0"/>
                <w:sz w:val="24"/>
                <w:szCs w:val="24"/>
              </w:rPr>
              <w:t>、</w:t>
            </w:r>
            <w:r w:rsidRPr="00FE13FA">
              <w:rPr>
                <w:rFonts w:eastAsiaTheme="minorEastAsia"/>
                <w:kern w:val="0"/>
                <w:sz w:val="24"/>
                <w:szCs w:val="24"/>
              </w:rPr>
              <w:t>PLEIAD INVESTMENT ADVISORS LIMITED</w:t>
            </w:r>
            <w:r w:rsidRPr="00FE13FA">
              <w:rPr>
                <w:rFonts w:eastAsiaTheme="minorEastAsia"/>
                <w:kern w:val="0"/>
                <w:sz w:val="24"/>
                <w:szCs w:val="24"/>
              </w:rPr>
              <w:t>、</w:t>
            </w:r>
            <w:r w:rsidRPr="00FE13FA">
              <w:rPr>
                <w:rFonts w:eastAsiaTheme="minorEastAsia"/>
                <w:kern w:val="0"/>
                <w:sz w:val="24"/>
                <w:szCs w:val="24"/>
              </w:rPr>
              <w:t>J.P. MORGAN</w:t>
            </w:r>
            <w:r w:rsidRPr="00FE13FA">
              <w:rPr>
                <w:rFonts w:ascii="TimesNewRoman" w:eastAsiaTheme="minorEastAsia" w:hAnsi="TimesNewRoman" w:cs="Arial" w:hint="eastAsia"/>
                <w:b/>
                <w:kern w:val="0"/>
                <w:sz w:val="24"/>
                <w:szCs w:val="24"/>
              </w:rPr>
              <w:t>（合计</w:t>
            </w:r>
            <w:r w:rsidRPr="00FE13FA">
              <w:rPr>
                <w:rFonts w:ascii="TimesNewRoman" w:eastAsiaTheme="minorEastAsia" w:hAnsi="TimesNewRoman" w:cs="Arial" w:hint="eastAsia"/>
                <w:b/>
                <w:kern w:val="0"/>
                <w:sz w:val="24"/>
                <w:szCs w:val="24"/>
              </w:rPr>
              <w:t>8</w:t>
            </w:r>
            <w:r w:rsidRPr="00FE13FA">
              <w:rPr>
                <w:rFonts w:ascii="TimesNewRoman" w:eastAsiaTheme="minorEastAsia" w:hAnsi="TimesNewRoman" w:cs="Arial" w:hint="eastAsia"/>
                <w:b/>
                <w:kern w:val="0"/>
                <w:sz w:val="24"/>
                <w:szCs w:val="24"/>
              </w:rPr>
              <w:t>家机构，</w:t>
            </w:r>
            <w:r w:rsidRPr="00FE13FA">
              <w:rPr>
                <w:rFonts w:ascii="TimesNewRoman" w:eastAsiaTheme="minorEastAsia" w:hAnsi="TimesNewRoman" w:cs="Arial" w:hint="eastAsia"/>
                <w:b/>
                <w:kern w:val="0"/>
                <w:sz w:val="24"/>
                <w:szCs w:val="24"/>
              </w:rPr>
              <w:t>11</w:t>
            </w:r>
            <w:r w:rsidRPr="00FE13FA">
              <w:rPr>
                <w:rFonts w:ascii="TimesNewRoman" w:eastAsiaTheme="minorEastAsia" w:hAnsi="TimesNewRoman" w:cs="Arial" w:hint="eastAsia"/>
                <w:b/>
                <w:kern w:val="0"/>
                <w:sz w:val="24"/>
                <w:szCs w:val="24"/>
              </w:rPr>
              <w:t>位投资者</w:t>
            </w:r>
            <w:r w:rsidR="00731B59" w:rsidRPr="00FE13FA">
              <w:rPr>
                <w:rFonts w:ascii="TimesNewRoman" w:eastAsiaTheme="minorEastAsia" w:hAnsi="TimesNewRoman" w:cs="Arial" w:hint="eastAsia"/>
                <w:b/>
                <w:kern w:val="0"/>
                <w:sz w:val="24"/>
                <w:szCs w:val="24"/>
              </w:rPr>
              <w:t>参与交流</w:t>
            </w:r>
            <w:r w:rsidRPr="00FE13FA">
              <w:rPr>
                <w:rFonts w:ascii="TimesNewRoman" w:eastAsiaTheme="minorEastAsia" w:hAnsi="TimesNewRoman" w:cs="Arial" w:hint="eastAsia"/>
                <w:b/>
                <w:kern w:val="0"/>
                <w:sz w:val="24"/>
                <w:szCs w:val="24"/>
              </w:rPr>
              <w:t>）</w:t>
            </w:r>
          </w:p>
          <w:p w:rsidR="008F7B36" w:rsidRPr="00FE13FA" w:rsidRDefault="008F7B36" w:rsidP="00385380">
            <w:pPr>
              <w:spacing w:beforeLines="50" w:before="156" w:line="480" w:lineRule="atLeast"/>
              <w:rPr>
                <w:rFonts w:ascii="TimesNewRoman" w:eastAsiaTheme="minorEastAsia" w:hAnsi="TimesNewRoman" w:cs="Arial" w:hint="eastAsia"/>
                <w:b/>
                <w:kern w:val="0"/>
                <w:sz w:val="24"/>
                <w:szCs w:val="24"/>
              </w:rPr>
            </w:pPr>
            <w:r w:rsidRPr="00FE13FA">
              <w:rPr>
                <w:rFonts w:ascii="TimesNewRoman" w:eastAsiaTheme="minorEastAsia" w:hAnsi="TimesNewRoman" w:cs="Arial" w:hint="eastAsia"/>
                <w:b/>
                <w:kern w:val="0"/>
                <w:sz w:val="24"/>
                <w:szCs w:val="24"/>
              </w:rPr>
              <w:t>2</w:t>
            </w:r>
            <w:r w:rsidRPr="00FE13FA">
              <w:rPr>
                <w:rFonts w:ascii="TimesNewRoman" w:eastAsiaTheme="minorEastAsia" w:hAnsi="TimesNewRoman" w:cs="Arial"/>
                <w:b/>
                <w:kern w:val="0"/>
                <w:sz w:val="24"/>
                <w:szCs w:val="24"/>
              </w:rPr>
              <w:t>025</w:t>
            </w:r>
            <w:r w:rsidRPr="00FE13FA">
              <w:rPr>
                <w:rFonts w:ascii="TimesNewRoman" w:eastAsiaTheme="minorEastAsia" w:hAnsi="TimesNewRoman" w:cs="Arial" w:hint="eastAsia"/>
                <w:b/>
                <w:kern w:val="0"/>
                <w:sz w:val="24"/>
                <w:szCs w:val="24"/>
              </w:rPr>
              <w:t>年</w:t>
            </w:r>
            <w:r w:rsidRPr="00FE13FA">
              <w:rPr>
                <w:rFonts w:ascii="TimesNewRoman" w:eastAsiaTheme="minorEastAsia" w:hAnsi="TimesNewRoman" w:cs="Arial" w:hint="eastAsia"/>
                <w:b/>
                <w:kern w:val="0"/>
                <w:sz w:val="24"/>
                <w:szCs w:val="24"/>
              </w:rPr>
              <w:t>6</w:t>
            </w:r>
            <w:r w:rsidRPr="00FE13FA">
              <w:rPr>
                <w:rFonts w:ascii="TimesNewRoman" w:eastAsiaTheme="minorEastAsia" w:hAnsi="TimesNewRoman" w:cs="Arial" w:hint="eastAsia"/>
                <w:b/>
                <w:kern w:val="0"/>
                <w:sz w:val="24"/>
                <w:szCs w:val="24"/>
              </w:rPr>
              <w:t>月</w:t>
            </w:r>
            <w:r w:rsidRPr="00FE13FA">
              <w:rPr>
                <w:rFonts w:ascii="TimesNewRoman" w:eastAsiaTheme="minorEastAsia" w:hAnsi="TimesNewRoman" w:cs="Arial"/>
                <w:b/>
                <w:kern w:val="0"/>
                <w:sz w:val="24"/>
                <w:szCs w:val="24"/>
              </w:rPr>
              <w:t>11</w:t>
            </w:r>
            <w:r w:rsidRPr="00FE13FA">
              <w:rPr>
                <w:rFonts w:ascii="TimesNewRoman" w:eastAsiaTheme="minorEastAsia" w:hAnsi="TimesNewRoman" w:cs="Arial" w:hint="eastAsia"/>
                <w:b/>
                <w:kern w:val="0"/>
                <w:sz w:val="24"/>
                <w:szCs w:val="24"/>
              </w:rPr>
              <w:t>日</w:t>
            </w:r>
          </w:p>
          <w:p w:rsidR="008F7B36" w:rsidRPr="00FE13FA" w:rsidRDefault="007A72BE" w:rsidP="00385380">
            <w:pPr>
              <w:spacing w:line="480" w:lineRule="atLeast"/>
              <w:rPr>
                <w:rFonts w:ascii="TimesNewRoman" w:eastAsiaTheme="minorEastAsia" w:hAnsi="TimesNewRoman" w:cs="Arial" w:hint="eastAsia"/>
                <w:b/>
                <w:kern w:val="0"/>
                <w:sz w:val="24"/>
                <w:szCs w:val="24"/>
              </w:rPr>
            </w:pPr>
            <w:r w:rsidRPr="00FE13FA">
              <w:rPr>
                <w:rFonts w:ascii="TimesNewRoman" w:eastAsiaTheme="minorEastAsia" w:hAnsi="TimesNewRoman" w:cs="Arial" w:hint="eastAsia"/>
                <w:kern w:val="0"/>
                <w:sz w:val="24"/>
                <w:szCs w:val="24"/>
              </w:rPr>
              <w:t>湖南万泰华瑞投资、北大方正人寿保险、光大保德信基金、高盛国际资产、乘是资产、广州金控资产、博时基金、健顺投资、国寿安保、海南省亿能投资、闻天私募证券投资基金、展博投资、工银瑞信基金、长安国际信托、上海明河投资、中邮证券、昊泽致远</w:t>
            </w:r>
            <w:r w:rsidRPr="00FE13FA">
              <w:rPr>
                <w:rFonts w:ascii="TimesNewRoman" w:eastAsiaTheme="minorEastAsia" w:hAnsi="TimesNewRoman" w:cs="Arial" w:hint="eastAsia"/>
                <w:kern w:val="0"/>
                <w:sz w:val="24"/>
                <w:szCs w:val="24"/>
              </w:rPr>
              <w:t>(</w:t>
            </w:r>
            <w:r w:rsidRPr="00FE13FA">
              <w:rPr>
                <w:rFonts w:ascii="TimesNewRoman" w:eastAsiaTheme="minorEastAsia" w:hAnsi="TimesNewRoman" w:cs="Arial" w:hint="eastAsia"/>
                <w:kern w:val="0"/>
                <w:sz w:val="24"/>
                <w:szCs w:val="24"/>
              </w:rPr>
              <w:t>北京</w:t>
            </w:r>
            <w:r w:rsidRPr="00FE13FA">
              <w:rPr>
                <w:rFonts w:ascii="TimesNewRoman" w:eastAsiaTheme="minorEastAsia" w:hAnsi="TimesNewRoman" w:cs="Arial" w:hint="eastAsia"/>
                <w:kern w:val="0"/>
                <w:sz w:val="24"/>
                <w:szCs w:val="24"/>
              </w:rPr>
              <w:t>)</w:t>
            </w:r>
            <w:r w:rsidRPr="00FE13FA">
              <w:rPr>
                <w:rFonts w:ascii="TimesNewRoman" w:eastAsiaTheme="minorEastAsia" w:hAnsi="TimesNewRoman" w:cs="Arial" w:hint="eastAsia"/>
                <w:kern w:val="0"/>
                <w:sz w:val="24"/>
                <w:szCs w:val="24"/>
              </w:rPr>
              <w:t>投资、中银国际证券资管、北京柏治投资、浙江国信投资、中信信托、云南能投资本、深圳市远望角投资、誉辉资本、红思客资产、华夏理财、天惠投资、东方阿尔法基金、深圳创富兆业金融、诺安基金、南银理财、上海乘富投资、杭州晟维资产、深圳亘泰投资、深圳市景从资产、金源、深圳市晓扬科技、群益证券投资信託、山东明湖投资、北京清和泉资本、台灣富蘭克林華美投信、中欧基</w:t>
            </w:r>
            <w:r w:rsidRPr="00FE13FA">
              <w:rPr>
                <w:rFonts w:ascii="TimesNewRoman" w:eastAsiaTheme="minorEastAsia" w:hAnsi="TimesNewRoman" w:cs="Arial" w:hint="eastAsia"/>
                <w:kern w:val="0"/>
                <w:sz w:val="24"/>
                <w:szCs w:val="24"/>
              </w:rPr>
              <w:lastRenderedPageBreak/>
              <w:t>金、明世伙伴私募基金、河清资本、国泰基金、永赢基金、东北证券、北京东方睿石投资、银叶投资、湘财基金、中信证券、中原证券、平安基金、泰康资产、珠海坚果私募基金、太平资产、中信建投证券、新华基金、青鼎资产、太平养老保险、浙江伟星资产</w:t>
            </w:r>
            <w:r w:rsidRPr="00FE13FA">
              <w:rPr>
                <w:rFonts w:ascii="TimesNewRoman" w:eastAsiaTheme="minorEastAsia" w:hAnsi="TimesNewRoman" w:cs="Arial" w:hint="eastAsia"/>
                <w:b/>
                <w:kern w:val="0"/>
                <w:sz w:val="24"/>
                <w:szCs w:val="24"/>
              </w:rPr>
              <w:t>（合计</w:t>
            </w:r>
            <w:r w:rsidR="001277E3" w:rsidRPr="00FE13FA">
              <w:rPr>
                <w:rFonts w:ascii="TimesNewRoman" w:eastAsiaTheme="minorEastAsia" w:hAnsi="TimesNewRoman" w:cs="Arial"/>
                <w:b/>
                <w:kern w:val="0"/>
                <w:sz w:val="24"/>
                <w:szCs w:val="24"/>
              </w:rPr>
              <w:t>61</w:t>
            </w:r>
            <w:r w:rsidRPr="00FE13FA">
              <w:rPr>
                <w:rFonts w:ascii="TimesNewRoman" w:eastAsiaTheme="minorEastAsia" w:hAnsi="TimesNewRoman" w:cs="Arial" w:hint="eastAsia"/>
                <w:b/>
                <w:kern w:val="0"/>
                <w:sz w:val="24"/>
                <w:szCs w:val="24"/>
              </w:rPr>
              <w:t>家机构，</w:t>
            </w:r>
            <w:r w:rsidR="001277E3" w:rsidRPr="00FE13FA">
              <w:rPr>
                <w:rFonts w:ascii="TimesNewRoman" w:eastAsiaTheme="minorEastAsia" w:hAnsi="TimesNewRoman" w:cs="Arial"/>
                <w:b/>
                <w:kern w:val="0"/>
                <w:sz w:val="24"/>
                <w:szCs w:val="24"/>
              </w:rPr>
              <w:t>89</w:t>
            </w:r>
            <w:r w:rsidRPr="00FE13FA">
              <w:rPr>
                <w:rFonts w:ascii="TimesNewRoman" w:eastAsiaTheme="minorEastAsia" w:hAnsi="TimesNewRoman" w:cs="Arial" w:hint="eastAsia"/>
                <w:b/>
                <w:kern w:val="0"/>
                <w:sz w:val="24"/>
                <w:szCs w:val="24"/>
              </w:rPr>
              <w:t>位投资者</w:t>
            </w:r>
            <w:r w:rsidR="00731B59" w:rsidRPr="00FE13FA">
              <w:rPr>
                <w:rFonts w:ascii="TimesNewRoman" w:eastAsiaTheme="minorEastAsia" w:hAnsi="TimesNewRoman" w:cs="Arial" w:hint="eastAsia"/>
                <w:b/>
                <w:kern w:val="0"/>
                <w:sz w:val="24"/>
                <w:szCs w:val="24"/>
              </w:rPr>
              <w:t>参与交流</w:t>
            </w:r>
            <w:r w:rsidRPr="00FE13FA">
              <w:rPr>
                <w:rFonts w:ascii="TimesNewRoman" w:eastAsiaTheme="minorEastAsia" w:hAnsi="TimesNewRoman" w:cs="Arial" w:hint="eastAsia"/>
                <w:b/>
                <w:kern w:val="0"/>
                <w:sz w:val="24"/>
                <w:szCs w:val="24"/>
              </w:rPr>
              <w:t>）</w:t>
            </w:r>
          </w:p>
          <w:p w:rsidR="0020530A" w:rsidRPr="00FE13FA" w:rsidRDefault="0020530A" w:rsidP="00385380">
            <w:pPr>
              <w:spacing w:beforeLines="50" w:before="156" w:line="480" w:lineRule="atLeast"/>
              <w:rPr>
                <w:rFonts w:ascii="TimesNewRoman" w:eastAsiaTheme="minorEastAsia" w:hAnsi="TimesNewRoman" w:cs="Arial" w:hint="eastAsia"/>
                <w:b/>
                <w:kern w:val="0"/>
                <w:sz w:val="24"/>
                <w:szCs w:val="24"/>
              </w:rPr>
            </w:pPr>
            <w:r w:rsidRPr="00FE13FA">
              <w:rPr>
                <w:rFonts w:ascii="TimesNewRoman" w:eastAsiaTheme="minorEastAsia" w:hAnsi="TimesNewRoman" w:cs="Arial" w:hint="eastAsia"/>
                <w:b/>
                <w:kern w:val="0"/>
                <w:sz w:val="24"/>
                <w:szCs w:val="24"/>
              </w:rPr>
              <w:t>2</w:t>
            </w:r>
            <w:r w:rsidRPr="00FE13FA">
              <w:rPr>
                <w:rFonts w:ascii="TimesNewRoman" w:eastAsiaTheme="minorEastAsia" w:hAnsi="TimesNewRoman" w:cs="Arial"/>
                <w:b/>
                <w:kern w:val="0"/>
                <w:sz w:val="24"/>
                <w:szCs w:val="24"/>
              </w:rPr>
              <w:t>025</w:t>
            </w:r>
            <w:r w:rsidRPr="00FE13FA">
              <w:rPr>
                <w:rFonts w:ascii="TimesNewRoman" w:eastAsiaTheme="minorEastAsia" w:hAnsi="TimesNewRoman" w:cs="Arial" w:hint="eastAsia"/>
                <w:b/>
                <w:kern w:val="0"/>
                <w:sz w:val="24"/>
                <w:szCs w:val="24"/>
              </w:rPr>
              <w:t>年</w:t>
            </w:r>
            <w:r w:rsidRPr="00FE13FA">
              <w:rPr>
                <w:rFonts w:ascii="TimesNewRoman" w:eastAsiaTheme="minorEastAsia" w:hAnsi="TimesNewRoman" w:cs="Arial" w:hint="eastAsia"/>
                <w:b/>
                <w:kern w:val="0"/>
                <w:sz w:val="24"/>
                <w:szCs w:val="24"/>
              </w:rPr>
              <w:t>6</w:t>
            </w:r>
            <w:r w:rsidRPr="00FE13FA">
              <w:rPr>
                <w:rFonts w:ascii="TimesNewRoman" w:eastAsiaTheme="minorEastAsia" w:hAnsi="TimesNewRoman" w:cs="Arial" w:hint="eastAsia"/>
                <w:b/>
                <w:kern w:val="0"/>
                <w:sz w:val="24"/>
                <w:szCs w:val="24"/>
              </w:rPr>
              <w:t>月</w:t>
            </w:r>
            <w:r w:rsidRPr="00FE13FA">
              <w:rPr>
                <w:rFonts w:ascii="TimesNewRoman" w:eastAsiaTheme="minorEastAsia" w:hAnsi="TimesNewRoman" w:cs="Arial" w:hint="eastAsia"/>
                <w:b/>
                <w:kern w:val="0"/>
                <w:sz w:val="24"/>
                <w:szCs w:val="24"/>
              </w:rPr>
              <w:t>1</w:t>
            </w:r>
            <w:r w:rsidRPr="00FE13FA">
              <w:rPr>
                <w:rFonts w:ascii="TimesNewRoman" w:eastAsiaTheme="minorEastAsia" w:hAnsi="TimesNewRoman" w:cs="Arial"/>
                <w:b/>
                <w:kern w:val="0"/>
                <w:sz w:val="24"/>
                <w:szCs w:val="24"/>
              </w:rPr>
              <w:t>3</w:t>
            </w:r>
            <w:r w:rsidRPr="00FE13FA">
              <w:rPr>
                <w:rFonts w:ascii="TimesNewRoman" w:eastAsiaTheme="minorEastAsia" w:hAnsi="TimesNewRoman" w:cs="Arial" w:hint="eastAsia"/>
                <w:b/>
                <w:kern w:val="0"/>
                <w:sz w:val="24"/>
                <w:szCs w:val="24"/>
              </w:rPr>
              <w:t>日</w:t>
            </w:r>
          </w:p>
          <w:p w:rsidR="00736485" w:rsidRPr="00FE13FA" w:rsidRDefault="0020530A" w:rsidP="00385380">
            <w:pPr>
              <w:spacing w:line="480" w:lineRule="atLeast"/>
              <w:rPr>
                <w:rFonts w:ascii="TimesNewRoman" w:eastAsiaTheme="minorEastAsia" w:hAnsi="TimesNewRoman" w:cs="Arial" w:hint="eastAsia"/>
                <w:kern w:val="0"/>
                <w:sz w:val="24"/>
                <w:szCs w:val="24"/>
              </w:rPr>
            </w:pPr>
            <w:r w:rsidRPr="00FE13FA">
              <w:rPr>
                <w:rFonts w:ascii="TimesNewRoman" w:eastAsiaTheme="minorEastAsia" w:hAnsi="TimesNewRoman" w:cs="Arial" w:hint="eastAsia"/>
                <w:kern w:val="0"/>
                <w:sz w:val="24"/>
                <w:szCs w:val="24"/>
              </w:rPr>
              <w:t>关键点私募基金、深圳赞道私募基金、深圳红钧资本、东吴证券、红筹投资、东方证券、深圳市远望角投资、百川财富投资、五矿证券、前海百川、甬兴证券</w:t>
            </w:r>
            <w:r w:rsidRPr="00FE13FA">
              <w:rPr>
                <w:rFonts w:ascii="TimesNewRoman" w:eastAsiaTheme="minorEastAsia" w:hAnsi="TimesNewRoman" w:cs="Arial" w:hint="eastAsia"/>
                <w:b/>
                <w:kern w:val="0"/>
                <w:sz w:val="24"/>
                <w:szCs w:val="24"/>
              </w:rPr>
              <w:t>（合计</w:t>
            </w:r>
            <w:r w:rsidRPr="00FE13FA">
              <w:rPr>
                <w:rFonts w:ascii="TimesNewRoman" w:eastAsiaTheme="minorEastAsia" w:hAnsi="TimesNewRoman" w:cs="Arial" w:hint="eastAsia"/>
                <w:b/>
                <w:kern w:val="0"/>
                <w:sz w:val="24"/>
                <w:szCs w:val="24"/>
              </w:rPr>
              <w:t>11</w:t>
            </w:r>
            <w:r w:rsidRPr="00FE13FA">
              <w:rPr>
                <w:rFonts w:ascii="TimesNewRoman" w:eastAsiaTheme="minorEastAsia" w:hAnsi="TimesNewRoman" w:cs="Arial" w:hint="eastAsia"/>
                <w:b/>
                <w:kern w:val="0"/>
                <w:sz w:val="24"/>
                <w:szCs w:val="24"/>
              </w:rPr>
              <w:t>家机构，</w:t>
            </w:r>
            <w:r w:rsidRPr="00FE13FA">
              <w:rPr>
                <w:rFonts w:ascii="TimesNewRoman" w:eastAsiaTheme="minorEastAsia" w:hAnsi="TimesNewRoman" w:cs="Arial" w:hint="eastAsia"/>
                <w:b/>
                <w:kern w:val="0"/>
                <w:sz w:val="24"/>
                <w:szCs w:val="24"/>
              </w:rPr>
              <w:t>13</w:t>
            </w:r>
            <w:r w:rsidRPr="00FE13FA">
              <w:rPr>
                <w:rFonts w:ascii="TimesNewRoman" w:eastAsiaTheme="minorEastAsia" w:hAnsi="TimesNewRoman" w:cs="Arial" w:hint="eastAsia"/>
                <w:b/>
                <w:kern w:val="0"/>
                <w:sz w:val="24"/>
                <w:szCs w:val="24"/>
              </w:rPr>
              <w:t>位投资者</w:t>
            </w:r>
            <w:r w:rsidR="00731B59" w:rsidRPr="00FE13FA">
              <w:rPr>
                <w:rFonts w:ascii="TimesNewRoman" w:eastAsiaTheme="minorEastAsia" w:hAnsi="TimesNewRoman" w:cs="Arial" w:hint="eastAsia"/>
                <w:b/>
                <w:kern w:val="0"/>
                <w:sz w:val="24"/>
                <w:szCs w:val="24"/>
              </w:rPr>
              <w:t>参与交流</w:t>
            </w:r>
            <w:r w:rsidRPr="00FE13FA">
              <w:rPr>
                <w:rFonts w:ascii="TimesNewRoman" w:eastAsiaTheme="minorEastAsia" w:hAnsi="TimesNewRoman" w:cs="Arial" w:hint="eastAsia"/>
                <w:b/>
                <w:kern w:val="0"/>
                <w:sz w:val="24"/>
                <w:szCs w:val="24"/>
              </w:rPr>
              <w:t>）</w:t>
            </w:r>
          </w:p>
          <w:p w:rsidR="00736485" w:rsidRPr="00FE13FA" w:rsidRDefault="00116D3A" w:rsidP="00385380">
            <w:pPr>
              <w:spacing w:beforeLines="50" w:before="156" w:line="480" w:lineRule="atLeast"/>
              <w:rPr>
                <w:rFonts w:ascii="TimesNewRoman" w:eastAsiaTheme="minorEastAsia" w:hAnsi="TimesNewRoman" w:cs="Arial" w:hint="eastAsia"/>
                <w:b/>
                <w:kern w:val="0"/>
                <w:sz w:val="24"/>
                <w:szCs w:val="24"/>
              </w:rPr>
            </w:pPr>
            <w:r w:rsidRPr="00FE13FA">
              <w:rPr>
                <w:rFonts w:ascii="TimesNewRoman" w:eastAsiaTheme="minorEastAsia" w:hAnsi="TimesNewRoman" w:cs="Arial" w:hint="eastAsia"/>
                <w:b/>
                <w:kern w:val="0"/>
                <w:sz w:val="24"/>
                <w:szCs w:val="24"/>
              </w:rPr>
              <w:t>2</w:t>
            </w:r>
            <w:r w:rsidRPr="00FE13FA">
              <w:rPr>
                <w:rFonts w:ascii="TimesNewRoman" w:eastAsiaTheme="minorEastAsia" w:hAnsi="TimesNewRoman" w:cs="Arial"/>
                <w:b/>
                <w:kern w:val="0"/>
                <w:sz w:val="24"/>
                <w:szCs w:val="24"/>
              </w:rPr>
              <w:t>025</w:t>
            </w:r>
            <w:r w:rsidRPr="00FE13FA">
              <w:rPr>
                <w:rFonts w:ascii="TimesNewRoman" w:eastAsiaTheme="minorEastAsia" w:hAnsi="TimesNewRoman" w:cs="Arial" w:hint="eastAsia"/>
                <w:b/>
                <w:kern w:val="0"/>
                <w:sz w:val="24"/>
                <w:szCs w:val="24"/>
              </w:rPr>
              <w:t>年</w:t>
            </w:r>
            <w:r w:rsidRPr="00FE13FA">
              <w:rPr>
                <w:rFonts w:ascii="TimesNewRoman" w:eastAsiaTheme="minorEastAsia" w:hAnsi="TimesNewRoman" w:cs="Arial" w:hint="eastAsia"/>
                <w:b/>
                <w:kern w:val="0"/>
                <w:sz w:val="24"/>
                <w:szCs w:val="24"/>
              </w:rPr>
              <w:t>6</w:t>
            </w:r>
            <w:r w:rsidRPr="00FE13FA">
              <w:rPr>
                <w:rFonts w:ascii="TimesNewRoman" w:eastAsiaTheme="minorEastAsia" w:hAnsi="TimesNewRoman" w:cs="Arial" w:hint="eastAsia"/>
                <w:b/>
                <w:kern w:val="0"/>
                <w:sz w:val="24"/>
                <w:szCs w:val="24"/>
              </w:rPr>
              <w:t>月</w:t>
            </w:r>
            <w:r w:rsidRPr="00FE13FA">
              <w:rPr>
                <w:rFonts w:ascii="TimesNewRoman" w:eastAsiaTheme="minorEastAsia" w:hAnsi="TimesNewRoman" w:cs="Arial"/>
                <w:b/>
                <w:kern w:val="0"/>
                <w:sz w:val="24"/>
                <w:szCs w:val="24"/>
              </w:rPr>
              <w:t>16</w:t>
            </w:r>
            <w:r w:rsidRPr="00FE13FA">
              <w:rPr>
                <w:rFonts w:ascii="TimesNewRoman" w:eastAsiaTheme="minorEastAsia" w:hAnsi="TimesNewRoman" w:cs="Arial" w:hint="eastAsia"/>
                <w:b/>
                <w:kern w:val="0"/>
                <w:sz w:val="24"/>
                <w:szCs w:val="24"/>
              </w:rPr>
              <w:t>日</w:t>
            </w:r>
          </w:p>
          <w:p w:rsidR="00116D3A" w:rsidRPr="00FE13FA" w:rsidRDefault="00411AE3" w:rsidP="00385380">
            <w:pPr>
              <w:widowControl/>
              <w:spacing w:line="480" w:lineRule="atLeast"/>
              <w:rPr>
                <w:rFonts w:ascii="TimesNewRoman" w:eastAsiaTheme="minorEastAsia" w:hAnsi="TimesNewRoman" w:cs="Arial" w:hint="eastAsia"/>
                <w:b/>
                <w:kern w:val="0"/>
                <w:sz w:val="24"/>
                <w:szCs w:val="24"/>
              </w:rPr>
            </w:pPr>
            <w:r w:rsidRPr="00FE13FA">
              <w:rPr>
                <w:rFonts w:ascii="TimesNewRoman" w:eastAsiaTheme="minorEastAsia" w:hAnsi="TimesNewRoman" w:cs="Arial" w:hint="eastAsia"/>
                <w:kern w:val="0"/>
                <w:sz w:val="24"/>
                <w:szCs w:val="24"/>
              </w:rPr>
              <w:t>光大保德信基金、华泰柏瑞基金、兴业证券、中金公司、国泰海通、国金证券、国泰海通证券、圆信永丰基金、金鹰基金、前海辰星资产、川江投资、玄元投资、昱阳投资、国融鼎创、天风机械、登攀科技</w:t>
            </w:r>
            <w:r w:rsidR="005B33AF" w:rsidRPr="00FE13FA">
              <w:rPr>
                <w:rFonts w:ascii="TimesNewRoman" w:eastAsiaTheme="minorEastAsia" w:hAnsi="TimesNewRoman" w:cs="Arial" w:hint="eastAsia"/>
                <w:kern w:val="0"/>
                <w:sz w:val="24"/>
                <w:szCs w:val="24"/>
              </w:rPr>
              <w:t>、广东弘安资产、广东叁和正恒私募基金、平安证券及其邀约</w:t>
            </w:r>
            <w:r w:rsidR="00581321" w:rsidRPr="00FE13FA">
              <w:rPr>
                <w:rFonts w:ascii="TimesNewRoman" w:eastAsiaTheme="minorEastAsia" w:hAnsi="TimesNewRoman" w:cs="Arial" w:hint="eastAsia"/>
                <w:kern w:val="0"/>
                <w:sz w:val="24"/>
                <w:szCs w:val="24"/>
              </w:rPr>
              <w:t>参与</w:t>
            </w:r>
            <w:r w:rsidR="00581321" w:rsidRPr="00FE13FA">
              <w:rPr>
                <w:rFonts w:ascii="宋体" w:hAnsi="宋体" w:cs="宋体"/>
                <w:kern w:val="0"/>
                <w:sz w:val="24"/>
                <w:szCs w:val="24"/>
              </w:rPr>
              <w:t>“我是股东——走进沪市上市公司”专题活动</w:t>
            </w:r>
            <w:r w:rsidR="00581321" w:rsidRPr="00FE13FA">
              <w:rPr>
                <w:rFonts w:ascii="宋体" w:hAnsi="宋体" w:cs="宋体" w:hint="eastAsia"/>
                <w:kern w:val="0"/>
                <w:sz w:val="24"/>
                <w:szCs w:val="24"/>
              </w:rPr>
              <w:t>的</w:t>
            </w:r>
            <w:r w:rsidR="00581321" w:rsidRPr="00FE13FA">
              <w:rPr>
                <w:kern w:val="0"/>
                <w:sz w:val="24"/>
                <w:szCs w:val="24"/>
              </w:rPr>
              <w:t>29</w:t>
            </w:r>
            <w:r w:rsidR="00581321" w:rsidRPr="00FE13FA">
              <w:rPr>
                <w:rFonts w:ascii="宋体" w:hAnsi="宋体" w:cs="宋体" w:hint="eastAsia"/>
                <w:kern w:val="0"/>
                <w:sz w:val="24"/>
                <w:szCs w:val="24"/>
              </w:rPr>
              <w:t>位个人投资者</w:t>
            </w:r>
            <w:r w:rsidR="00806D6E" w:rsidRPr="00FE13FA">
              <w:rPr>
                <w:rFonts w:ascii="TimesNewRoman" w:eastAsiaTheme="minorEastAsia" w:hAnsi="TimesNewRoman" w:cs="Arial" w:hint="eastAsia"/>
                <w:b/>
                <w:kern w:val="0"/>
                <w:sz w:val="24"/>
                <w:szCs w:val="24"/>
              </w:rPr>
              <w:t>（合计</w:t>
            </w:r>
            <w:r w:rsidR="00806D6E" w:rsidRPr="00FE13FA">
              <w:rPr>
                <w:rFonts w:ascii="TimesNewRoman" w:eastAsiaTheme="minorEastAsia" w:hAnsi="TimesNewRoman" w:cs="Arial" w:hint="eastAsia"/>
                <w:b/>
                <w:kern w:val="0"/>
                <w:sz w:val="24"/>
                <w:szCs w:val="24"/>
              </w:rPr>
              <w:t>2</w:t>
            </w:r>
            <w:r w:rsidR="00806D6E" w:rsidRPr="00FE13FA">
              <w:rPr>
                <w:rFonts w:ascii="TimesNewRoman" w:eastAsiaTheme="minorEastAsia" w:hAnsi="TimesNewRoman" w:cs="Arial"/>
                <w:b/>
                <w:kern w:val="0"/>
                <w:sz w:val="24"/>
                <w:szCs w:val="24"/>
              </w:rPr>
              <w:t>0</w:t>
            </w:r>
            <w:r w:rsidR="00806D6E" w:rsidRPr="00FE13FA">
              <w:rPr>
                <w:rFonts w:ascii="TimesNewRoman" w:eastAsiaTheme="minorEastAsia" w:hAnsi="TimesNewRoman" w:cs="Arial" w:hint="eastAsia"/>
                <w:b/>
                <w:kern w:val="0"/>
                <w:sz w:val="24"/>
                <w:szCs w:val="24"/>
              </w:rPr>
              <w:t>家机构，</w:t>
            </w:r>
            <w:r w:rsidR="00806D6E" w:rsidRPr="00FE13FA">
              <w:rPr>
                <w:rFonts w:ascii="TimesNewRoman" w:eastAsiaTheme="minorEastAsia" w:hAnsi="TimesNewRoman" w:cs="Arial" w:hint="eastAsia"/>
                <w:b/>
                <w:kern w:val="0"/>
                <w:sz w:val="24"/>
                <w:szCs w:val="24"/>
              </w:rPr>
              <w:t>6</w:t>
            </w:r>
            <w:r w:rsidR="00806D6E" w:rsidRPr="00FE13FA">
              <w:rPr>
                <w:rFonts w:ascii="TimesNewRoman" w:eastAsiaTheme="minorEastAsia" w:hAnsi="TimesNewRoman" w:cs="Arial"/>
                <w:b/>
                <w:kern w:val="0"/>
                <w:sz w:val="24"/>
                <w:szCs w:val="24"/>
              </w:rPr>
              <w:t>9</w:t>
            </w:r>
            <w:r w:rsidR="00806D6E" w:rsidRPr="00FE13FA">
              <w:rPr>
                <w:rFonts w:ascii="TimesNewRoman" w:eastAsiaTheme="minorEastAsia" w:hAnsi="TimesNewRoman" w:cs="Arial" w:hint="eastAsia"/>
                <w:b/>
                <w:kern w:val="0"/>
                <w:sz w:val="24"/>
                <w:szCs w:val="24"/>
              </w:rPr>
              <w:t>位投资者</w:t>
            </w:r>
            <w:r w:rsidR="00731B59" w:rsidRPr="00FE13FA">
              <w:rPr>
                <w:rFonts w:ascii="TimesNewRoman" w:eastAsiaTheme="minorEastAsia" w:hAnsi="TimesNewRoman" w:cs="Arial" w:hint="eastAsia"/>
                <w:b/>
                <w:kern w:val="0"/>
                <w:sz w:val="24"/>
                <w:szCs w:val="24"/>
              </w:rPr>
              <w:t>参与交流</w:t>
            </w:r>
            <w:r w:rsidR="00806D6E" w:rsidRPr="00FE13FA">
              <w:rPr>
                <w:rFonts w:ascii="TimesNewRoman" w:eastAsiaTheme="minorEastAsia" w:hAnsi="TimesNewRoman" w:cs="Arial" w:hint="eastAsia"/>
                <w:b/>
                <w:kern w:val="0"/>
                <w:sz w:val="24"/>
                <w:szCs w:val="24"/>
              </w:rPr>
              <w:t>）</w:t>
            </w:r>
          </w:p>
          <w:p w:rsidR="000A58E2" w:rsidRPr="00FE13FA" w:rsidRDefault="000A58E2" w:rsidP="00385380">
            <w:pPr>
              <w:spacing w:beforeLines="50" w:before="156" w:line="480" w:lineRule="atLeast"/>
              <w:rPr>
                <w:rFonts w:ascii="TimesNewRoman" w:eastAsiaTheme="minorEastAsia" w:hAnsi="TimesNewRoman" w:cs="Arial" w:hint="eastAsia"/>
                <w:b/>
                <w:kern w:val="0"/>
                <w:sz w:val="24"/>
                <w:szCs w:val="24"/>
              </w:rPr>
            </w:pPr>
            <w:r w:rsidRPr="00FE13FA">
              <w:rPr>
                <w:rFonts w:ascii="TimesNewRoman" w:eastAsiaTheme="minorEastAsia" w:hAnsi="TimesNewRoman" w:cs="Arial" w:hint="eastAsia"/>
                <w:b/>
                <w:kern w:val="0"/>
                <w:sz w:val="24"/>
                <w:szCs w:val="24"/>
              </w:rPr>
              <w:t>2</w:t>
            </w:r>
            <w:r w:rsidRPr="00FE13FA">
              <w:rPr>
                <w:rFonts w:ascii="TimesNewRoman" w:eastAsiaTheme="minorEastAsia" w:hAnsi="TimesNewRoman" w:cs="Arial"/>
                <w:b/>
                <w:kern w:val="0"/>
                <w:sz w:val="24"/>
                <w:szCs w:val="24"/>
              </w:rPr>
              <w:t>025</w:t>
            </w:r>
            <w:r w:rsidRPr="00FE13FA">
              <w:rPr>
                <w:rFonts w:ascii="TimesNewRoman" w:eastAsiaTheme="minorEastAsia" w:hAnsi="TimesNewRoman" w:cs="Arial" w:hint="eastAsia"/>
                <w:b/>
                <w:kern w:val="0"/>
                <w:sz w:val="24"/>
                <w:szCs w:val="24"/>
              </w:rPr>
              <w:t>年</w:t>
            </w:r>
            <w:r w:rsidRPr="00FE13FA">
              <w:rPr>
                <w:rFonts w:ascii="TimesNewRoman" w:eastAsiaTheme="minorEastAsia" w:hAnsi="TimesNewRoman" w:cs="Arial" w:hint="eastAsia"/>
                <w:b/>
                <w:kern w:val="0"/>
                <w:sz w:val="24"/>
                <w:szCs w:val="24"/>
              </w:rPr>
              <w:t>6</w:t>
            </w:r>
            <w:r w:rsidRPr="00FE13FA">
              <w:rPr>
                <w:rFonts w:ascii="TimesNewRoman" w:eastAsiaTheme="minorEastAsia" w:hAnsi="TimesNewRoman" w:cs="Arial" w:hint="eastAsia"/>
                <w:b/>
                <w:kern w:val="0"/>
                <w:sz w:val="24"/>
                <w:szCs w:val="24"/>
              </w:rPr>
              <w:t>月</w:t>
            </w:r>
            <w:r w:rsidRPr="00FE13FA">
              <w:rPr>
                <w:rFonts w:ascii="TimesNewRoman" w:eastAsiaTheme="minorEastAsia" w:hAnsi="TimesNewRoman" w:cs="Arial"/>
                <w:b/>
                <w:kern w:val="0"/>
                <w:sz w:val="24"/>
                <w:szCs w:val="24"/>
              </w:rPr>
              <w:t>1</w:t>
            </w:r>
            <w:r w:rsidR="00C347AF" w:rsidRPr="00FE13FA">
              <w:rPr>
                <w:rFonts w:ascii="TimesNewRoman" w:eastAsiaTheme="minorEastAsia" w:hAnsi="TimesNewRoman" w:cs="Arial"/>
                <w:b/>
                <w:kern w:val="0"/>
                <w:sz w:val="24"/>
                <w:szCs w:val="24"/>
              </w:rPr>
              <w:t>9</w:t>
            </w:r>
            <w:r w:rsidRPr="00FE13FA">
              <w:rPr>
                <w:rFonts w:ascii="TimesNewRoman" w:eastAsiaTheme="minorEastAsia" w:hAnsi="TimesNewRoman" w:cs="Arial" w:hint="eastAsia"/>
                <w:b/>
                <w:kern w:val="0"/>
                <w:sz w:val="24"/>
                <w:szCs w:val="24"/>
              </w:rPr>
              <w:t>日</w:t>
            </w:r>
          </w:p>
          <w:p w:rsidR="000A58E2" w:rsidRPr="00FE13FA" w:rsidRDefault="00F05779" w:rsidP="00385380">
            <w:pPr>
              <w:widowControl/>
              <w:rPr>
                <w:rFonts w:ascii="宋体" w:hAnsi="宋体" w:cs="宋体"/>
                <w:kern w:val="0"/>
                <w:sz w:val="24"/>
                <w:szCs w:val="24"/>
              </w:rPr>
            </w:pPr>
            <w:r w:rsidRPr="00FE13FA">
              <w:rPr>
                <w:rFonts w:ascii="宋体" w:hAnsi="宋体" w:cs="宋体" w:hint="eastAsia"/>
                <w:kern w:val="0"/>
                <w:sz w:val="24"/>
                <w:szCs w:val="24"/>
              </w:rPr>
              <w:t>东吴证券、</w:t>
            </w:r>
            <w:bookmarkStart w:id="1" w:name="OLE_LINK10"/>
            <w:bookmarkStart w:id="2" w:name="OLE_LINK11"/>
            <w:r w:rsidRPr="00FE13FA">
              <w:rPr>
                <w:rFonts w:ascii="宋体" w:hAnsi="宋体" w:cs="宋体" w:hint="eastAsia"/>
                <w:kern w:val="0"/>
                <w:sz w:val="24"/>
                <w:szCs w:val="24"/>
              </w:rPr>
              <w:t>交银施罗德</w:t>
            </w:r>
            <w:bookmarkEnd w:id="1"/>
            <w:bookmarkEnd w:id="2"/>
            <w:r w:rsidR="00B734E1" w:rsidRPr="00FE13FA">
              <w:rPr>
                <w:rFonts w:ascii="TimesNewRoman" w:eastAsiaTheme="minorEastAsia" w:hAnsi="TimesNewRoman" w:cs="Arial" w:hint="eastAsia"/>
                <w:b/>
                <w:kern w:val="0"/>
                <w:sz w:val="24"/>
                <w:szCs w:val="24"/>
              </w:rPr>
              <w:t>（合计</w:t>
            </w:r>
            <w:r w:rsidR="00B734E1" w:rsidRPr="00FE13FA">
              <w:rPr>
                <w:rFonts w:ascii="TimesNewRoman" w:eastAsiaTheme="minorEastAsia" w:hAnsi="TimesNewRoman" w:cs="Arial"/>
                <w:b/>
                <w:kern w:val="0"/>
                <w:sz w:val="24"/>
                <w:szCs w:val="24"/>
              </w:rPr>
              <w:t>2</w:t>
            </w:r>
            <w:r w:rsidR="00B734E1" w:rsidRPr="00FE13FA">
              <w:rPr>
                <w:rFonts w:ascii="TimesNewRoman" w:eastAsiaTheme="minorEastAsia" w:hAnsi="TimesNewRoman" w:cs="Arial" w:hint="eastAsia"/>
                <w:b/>
                <w:kern w:val="0"/>
                <w:sz w:val="24"/>
                <w:szCs w:val="24"/>
              </w:rPr>
              <w:t>家机构，</w:t>
            </w:r>
            <w:r w:rsidR="00B734E1" w:rsidRPr="00FE13FA">
              <w:rPr>
                <w:rFonts w:ascii="TimesNewRoman" w:eastAsiaTheme="minorEastAsia" w:hAnsi="TimesNewRoman" w:cs="Arial"/>
                <w:b/>
                <w:kern w:val="0"/>
                <w:sz w:val="24"/>
                <w:szCs w:val="24"/>
              </w:rPr>
              <w:t>6</w:t>
            </w:r>
            <w:r w:rsidR="00B734E1" w:rsidRPr="00FE13FA">
              <w:rPr>
                <w:rFonts w:ascii="TimesNewRoman" w:eastAsiaTheme="minorEastAsia" w:hAnsi="TimesNewRoman" w:cs="Arial" w:hint="eastAsia"/>
                <w:b/>
                <w:kern w:val="0"/>
                <w:sz w:val="24"/>
                <w:szCs w:val="24"/>
              </w:rPr>
              <w:t>位投资者参与交流）</w:t>
            </w:r>
          </w:p>
          <w:p w:rsidR="00B734E1" w:rsidRPr="00FE13FA" w:rsidRDefault="00B734E1" w:rsidP="00385380">
            <w:pPr>
              <w:spacing w:beforeLines="50" w:before="156" w:line="480" w:lineRule="atLeast"/>
              <w:rPr>
                <w:rFonts w:ascii="TimesNewRoman" w:eastAsiaTheme="minorEastAsia" w:hAnsi="TimesNewRoman" w:cs="Arial" w:hint="eastAsia"/>
                <w:b/>
                <w:kern w:val="0"/>
                <w:sz w:val="24"/>
                <w:szCs w:val="24"/>
              </w:rPr>
            </w:pPr>
            <w:r w:rsidRPr="00FE13FA">
              <w:rPr>
                <w:rFonts w:ascii="TimesNewRoman" w:eastAsiaTheme="minorEastAsia" w:hAnsi="TimesNewRoman" w:cs="Arial" w:hint="eastAsia"/>
                <w:b/>
                <w:kern w:val="0"/>
                <w:sz w:val="24"/>
                <w:szCs w:val="24"/>
              </w:rPr>
              <w:t>2</w:t>
            </w:r>
            <w:r w:rsidRPr="00FE13FA">
              <w:rPr>
                <w:rFonts w:ascii="TimesNewRoman" w:eastAsiaTheme="minorEastAsia" w:hAnsi="TimesNewRoman" w:cs="Arial"/>
                <w:b/>
                <w:kern w:val="0"/>
                <w:sz w:val="24"/>
                <w:szCs w:val="24"/>
              </w:rPr>
              <w:t>025</w:t>
            </w:r>
            <w:r w:rsidRPr="00FE13FA">
              <w:rPr>
                <w:rFonts w:ascii="TimesNewRoman" w:eastAsiaTheme="minorEastAsia" w:hAnsi="TimesNewRoman" w:cs="Arial" w:hint="eastAsia"/>
                <w:b/>
                <w:kern w:val="0"/>
                <w:sz w:val="24"/>
                <w:szCs w:val="24"/>
              </w:rPr>
              <w:t>年</w:t>
            </w:r>
            <w:r w:rsidRPr="00FE13FA">
              <w:rPr>
                <w:rFonts w:ascii="TimesNewRoman" w:eastAsiaTheme="minorEastAsia" w:hAnsi="TimesNewRoman" w:cs="Arial" w:hint="eastAsia"/>
                <w:b/>
                <w:kern w:val="0"/>
                <w:sz w:val="24"/>
                <w:szCs w:val="24"/>
              </w:rPr>
              <w:t>6</w:t>
            </w:r>
            <w:r w:rsidRPr="00FE13FA">
              <w:rPr>
                <w:rFonts w:ascii="TimesNewRoman" w:eastAsiaTheme="minorEastAsia" w:hAnsi="TimesNewRoman" w:cs="Arial" w:hint="eastAsia"/>
                <w:b/>
                <w:kern w:val="0"/>
                <w:sz w:val="24"/>
                <w:szCs w:val="24"/>
              </w:rPr>
              <w:t>月</w:t>
            </w:r>
            <w:r w:rsidRPr="00FE13FA">
              <w:rPr>
                <w:rFonts w:ascii="TimesNewRoman" w:eastAsiaTheme="minorEastAsia" w:hAnsi="TimesNewRoman" w:cs="Arial"/>
                <w:b/>
                <w:kern w:val="0"/>
                <w:sz w:val="24"/>
                <w:szCs w:val="24"/>
              </w:rPr>
              <w:t>20</w:t>
            </w:r>
            <w:r w:rsidRPr="00FE13FA">
              <w:rPr>
                <w:rFonts w:ascii="TimesNewRoman" w:eastAsiaTheme="minorEastAsia" w:hAnsi="TimesNewRoman" w:cs="Arial" w:hint="eastAsia"/>
                <w:b/>
                <w:kern w:val="0"/>
                <w:sz w:val="24"/>
                <w:szCs w:val="24"/>
              </w:rPr>
              <w:t>日</w:t>
            </w:r>
          </w:p>
          <w:p w:rsidR="00F05779" w:rsidRPr="00FE13FA" w:rsidRDefault="00F42686" w:rsidP="00385380">
            <w:pPr>
              <w:widowControl/>
              <w:spacing w:line="480" w:lineRule="atLeast"/>
              <w:rPr>
                <w:rFonts w:ascii="宋体" w:hAnsi="宋体" w:cs="宋体"/>
                <w:kern w:val="0"/>
                <w:sz w:val="24"/>
                <w:szCs w:val="24"/>
              </w:rPr>
            </w:pPr>
            <w:r w:rsidRPr="00FE13FA">
              <w:rPr>
                <w:rFonts w:ascii="宋体" w:hAnsi="宋体" w:cs="宋体" w:hint="eastAsia"/>
                <w:kern w:val="0"/>
                <w:sz w:val="24"/>
                <w:szCs w:val="24"/>
              </w:rPr>
              <w:t>瑞银证券</w:t>
            </w:r>
            <w:r w:rsidR="00221372" w:rsidRPr="00FE13FA">
              <w:rPr>
                <w:rFonts w:ascii="宋体" w:hAnsi="宋体" w:cs="宋体" w:hint="eastAsia"/>
                <w:kern w:val="0"/>
                <w:sz w:val="24"/>
                <w:szCs w:val="24"/>
              </w:rPr>
              <w:t>、</w:t>
            </w:r>
            <w:r w:rsidR="00221372" w:rsidRPr="00FE13FA">
              <w:rPr>
                <w:kern w:val="0"/>
                <w:sz w:val="24"/>
                <w:szCs w:val="24"/>
              </w:rPr>
              <w:t>ARGA</w:t>
            </w:r>
            <w:r w:rsidR="00221372" w:rsidRPr="00FE13FA">
              <w:rPr>
                <w:kern w:val="0"/>
                <w:sz w:val="24"/>
                <w:szCs w:val="24"/>
              </w:rPr>
              <w:t>、</w:t>
            </w:r>
            <w:r w:rsidR="00221372" w:rsidRPr="00FE13FA">
              <w:rPr>
                <w:kern w:val="0"/>
                <w:sz w:val="24"/>
                <w:szCs w:val="24"/>
              </w:rPr>
              <w:t>CA Amundi</w:t>
            </w:r>
            <w:r w:rsidR="00221372" w:rsidRPr="00FE13FA">
              <w:rPr>
                <w:kern w:val="0"/>
                <w:sz w:val="24"/>
                <w:szCs w:val="24"/>
              </w:rPr>
              <w:t>、</w:t>
            </w:r>
            <w:r w:rsidR="00221372" w:rsidRPr="00FE13FA">
              <w:rPr>
                <w:kern w:val="0"/>
                <w:sz w:val="24"/>
                <w:szCs w:val="24"/>
              </w:rPr>
              <w:t>Millennia</w:t>
            </w:r>
            <w:r w:rsidR="00221372" w:rsidRPr="00FE13FA">
              <w:rPr>
                <w:kern w:val="0"/>
                <w:sz w:val="24"/>
                <w:szCs w:val="24"/>
              </w:rPr>
              <w:t>、</w:t>
            </w:r>
            <w:r w:rsidR="00221372" w:rsidRPr="00FE13FA">
              <w:rPr>
                <w:kern w:val="0"/>
                <w:sz w:val="24"/>
                <w:szCs w:val="24"/>
              </w:rPr>
              <w:t>Naknor</w:t>
            </w:r>
            <w:r w:rsidR="00221372" w:rsidRPr="00FE13FA">
              <w:rPr>
                <w:kern w:val="0"/>
                <w:sz w:val="24"/>
                <w:szCs w:val="24"/>
              </w:rPr>
              <w:t>、</w:t>
            </w:r>
            <w:r w:rsidR="00221372" w:rsidRPr="00FE13FA">
              <w:rPr>
                <w:kern w:val="0"/>
                <w:sz w:val="24"/>
                <w:szCs w:val="24"/>
              </w:rPr>
              <w:t>Pleiad Investment Advisors</w:t>
            </w:r>
            <w:r w:rsidR="00CC47CB" w:rsidRPr="00FE13FA">
              <w:rPr>
                <w:kern w:val="0"/>
                <w:sz w:val="24"/>
                <w:szCs w:val="24"/>
              </w:rPr>
              <w:t>、</w:t>
            </w:r>
            <w:r w:rsidR="00CC47CB" w:rsidRPr="00FE13FA">
              <w:rPr>
                <w:kern w:val="0"/>
                <w:sz w:val="24"/>
                <w:szCs w:val="24"/>
              </w:rPr>
              <w:t>Polunin Capital</w:t>
            </w:r>
            <w:r w:rsidR="00CC47CB" w:rsidRPr="00FE13FA">
              <w:rPr>
                <w:kern w:val="0"/>
                <w:sz w:val="24"/>
                <w:szCs w:val="24"/>
              </w:rPr>
              <w:t>、</w:t>
            </w:r>
            <w:r w:rsidR="00CC47CB" w:rsidRPr="00FE13FA">
              <w:rPr>
                <w:kern w:val="0"/>
                <w:sz w:val="24"/>
                <w:szCs w:val="24"/>
              </w:rPr>
              <w:t>Schroders</w:t>
            </w:r>
            <w:r w:rsidR="00CC47CB" w:rsidRPr="00FE13FA">
              <w:rPr>
                <w:kern w:val="0"/>
                <w:sz w:val="24"/>
                <w:szCs w:val="24"/>
              </w:rPr>
              <w:t>、</w:t>
            </w:r>
            <w:r w:rsidR="00CC47CB" w:rsidRPr="00FE13FA">
              <w:rPr>
                <w:kern w:val="0"/>
                <w:sz w:val="24"/>
                <w:szCs w:val="24"/>
              </w:rPr>
              <w:t>Volta Energy Technologies, LLC</w:t>
            </w:r>
            <w:r w:rsidR="00CC47CB" w:rsidRPr="00FE13FA">
              <w:rPr>
                <w:kern w:val="0"/>
                <w:sz w:val="24"/>
                <w:szCs w:val="24"/>
              </w:rPr>
              <w:t>、</w:t>
            </w:r>
            <w:r w:rsidR="00221372" w:rsidRPr="00FE13FA">
              <w:rPr>
                <w:kern w:val="0"/>
                <w:sz w:val="24"/>
                <w:szCs w:val="24"/>
              </w:rPr>
              <w:t>D</w:t>
            </w:r>
            <w:r w:rsidR="00CC47CB" w:rsidRPr="00FE13FA">
              <w:rPr>
                <w:kern w:val="0"/>
                <w:sz w:val="24"/>
                <w:szCs w:val="24"/>
              </w:rPr>
              <w:t>rummond Knight Asset Management</w:t>
            </w:r>
            <w:r w:rsidR="00CC47CB" w:rsidRPr="00FE13FA">
              <w:rPr>
                <w:kern w:val="0"/>
                <w:sz w:val="24"/>
                <w:szCs w:val="24"/>
              </w:rPr>
              <w:t>、</w:t>
            </w:r>
            <w:r w:rsidR="00CC47CB" w:rsidRPr="00FE13FA">
              <w:rPr>
                <w:kern w:val="0"/>
                <w:sz w:val="24"/>
                <w:szCs w:val="24"/>
              </w:rPr>
              <w:t>Hao Capital</w:t>
            </w:r>
            <w:r w:rsidR="00CC47CB" w:rsidRPr="00FE13FA">
              <w:rPr>
                <w:kern w:val="0"/>
                <w:sz w:val="24"/>
                <w:szCs w:val="24"/>
              </w:rPr>
              <w:t>、</w:t>
            </w:r>
            <w:r w:rsidR="00221372" w:rsidRPr="00FE13FA">
              <w:rPr>
                <w:kern w:val="0"/>
                <w:sz w:val="24"/>
                <w:szCs w:val="24"/>
              </w:rPr>
              <w:t>Hel</w:t>
            </w:r>
            <w:r w:rsidR="00CC47CB" w:rsidRPr="00FE13FA">
              <w:rPr>
                <w:kern w:val="0"/>
                <w:sz w:val="24"/>
                <w:szCs w:val="24"/>
              </w:rPr>
              <w:t xml:space="preserve"> Ved Capital Management Limited</w:t>
            </w:r>
            <w:r w:rsidR="00CC47CB" w:rsidRPr="00FE13FA">
              <w:rPr>
                <w:kern w:val="0"/>
                <w:sz w:val="24"/>
                <w:szCs w:val="24"/>
              </w:rPr>
              <w:t>、</w:t>
            </w:r>
            <w:r w:rsidR="00CC47CB" w:rsidRPr="00FE13FA">
              <w:rPr>
                <w:kern w:val="0"/>
                <w:sz w:val="24"/>
                <w:szCs w:val="24"/>
              </w:rPr>
              <w:t>Indonesia Investment Authority</w:t>
            </w:r>
            <w:r w:rsidR="00CC47CB" w:rsidRPr="00FE13FA">
              <w:rPr>
                <w:kern w:val="0"/>
                <w:sz w:val="24"/>
                <w:szCs w:val="24"/>
              </w:rPr>
              <w:t>、</w:t>
            </w:r>
            <w:r w:rsidR="00CC47CB" w:rsidRPr="00FE13FA">
              <w:rPr>
                <w:kern w:val="0"/>
                <w:sz w:val="24"/>
                <w:szCs w:val="24"/>
              </w:rPr>
              <w:t>Inforesight Investment</w:t>
            </w:r>
            <w:r w:rsidR="00CC47CB" w:rsidRPr="00FE13FA">
              <w:rPr>
                <w:kern w:val="0"/>
                <w:sz w:val="24"/>
                <w:szCs w:val="24"/>
              </w:rPr>
              <w:t>、</w:t>
            </w:r>
            <w:r w:rsidR="00221372" w:rsidRPr="00FE13FA">
              <w:rPr>
                <w:kern w:val="0"/>
                <w:sz w:val="24"/>
                <w:szCs w:val="24"/>
              </w:rPr>
              <w:t>Invesco HK Ltd</w:t>
            </w:r>
            <w:r w:rsidR="00CC47CB" w:rsidRPr="00FE13FA">
              <w:rPr>
                <w:rFonts w:ascii="TimesNewRoman" w:eastAsiaTheme="minorEastAsia" w:hAnsi="TimesNewRoman" w:cs="Arial" w:hint="eastAsia"/>
                <w:b/>
                <w:kern w:val="0"/>
                <w:sz w:val="24"/>
                <w:szCs w:val="24"/>
              </w:rPr>
              <w:t>（合计</w:t>
            </w:r>
            <w:r w:rsidR="00CC47CB" w:rsidRPr="00FE13FA">
              <w:rPr>
                <w:rFonts w:ascii="TimesNewRoman" w:eastAsiaTheme="minorEastAsia" w:hAnsi="TimesNewRoman" w:cs="Arial"/>
                <w:b/>
                <w:kern w:val="0"/>
                <w:sz w:val="24"/>
                <w:szCs w:val="24"/>
              </w:rPr>
              <w:t>15</w:t>
            </w:r>
            <w:r w:rsidR="00CC47CB" w:rsidRPr="00FE13FA">
              <w:rPr>
                <w:rFonts w:ascii="TimesNewRoman" w:eastAsiaTheme="minorEastAsia" w:hAnsi="TimesNewRoman" w:cs="Arial" w:hint="eastAsia"/>
                <w:b/>
                <w:kern w:val="0"/>
                <w:sz w:val="24"/>
                <w:szCs w:val="24"/>
              </w:rPr>
              <w:t>家机构，</w:t>
            </w:r>
            <w:r w:rsidR="00CC47CB" w:rsidRPr="00FE13FA">
              <w:rPr>
                <w:rFonts w:ascii="TimesNewRoman" w:eastAsiaTheme="minorEastAsia" w:hAnsi="TimesNewRoman" w:cs="Arial"/>
                <w:b/>
                <w:kern w:val="0"/>
                <w:sz w:val="24"/>
                <w:szCs w:val="24"/>
              </w:rPr>
              <w:t>15</w:t>
            </w:r>
            <w:r w:rsidR="00CC47CB" w:rsidRPr="00FE13FA">
              <w:rPr>
                <w:rFonts w:ascii="TimesNewRoman" w:eastAsiaTheme="minorEastAsia" w:hAnsi="TimesNewRoman" w:cs="Arial" w:hint="eastAsia"/>
                <w:b/>
                <w:kern w:val="0"/>
                <w:sz w:val="24"/>
                <w:szCs w:val="24"/>
              </w:rPr>
              <w:t>位投资者参与交流）</w:t>
            </w:r>
          </w:p>
          <w:p w:rsidR="00F42686" w:rsidRPr="00FE13FA" w:rsidRDefault="00F42686" w:rsidP="00385380">
            <w:pPr>
              <w:spacing w:beforeLines="50" w:before="156" w:line="480" w:lineRule="atLeast"/>
              <w:rPr>
                <w:rFonts w:ascii="TimesNewRoman" w:eastAsiaTheme="minorEastAsia" w:hAnsi="TimesNewRoman" w:cs="Arial" w:hint="eastAsia"/>
                <w:b/>
                <w:kern w:val="0"/>
                <w:sz w:val="24"/>
                <w:szCs w:val="24"/>
              </w:rPr>
            </w:pPr>
            <w:r w:rsidRPr="00FE13FA">
              <w:rPr>
                <w:rFonts w:ascii="TimesNewRoman" w:eastAsiaTheme="minorEastAsia" w:hAnsi="TimesNewRoman" w:cs="Arial" w:hint="eastAsia"/>
                <w:b/>
                <w:kern w:val="0"/>
                <w:sz w:val="24"/>
                <w:szCs w:val="24"/>
              </w:rPr>
              <w:t>2</w:t>
            </w:r>
            <w:r w:rsidRPr="00FE13FA">
              <w:rPr>
                <w:rFonts w:ascii="TimesNewRoman" w:eastAsiaTheme="minorEastAsia" w:hAnsi="TimesNewRoman" w:cs="Arial"/>
                <w:b/>
                <w:kern w:val="0"/>
                <w:sz w:val="24"/>
                <w:szCs w:val="24"/>
              </w:rPr>
              <w:t>025</w:t>
            </w:r>
            <w:r w:rsidRPr="00FE13FA">
              <w:rPr>
                <w:rFonts w:ascii="TimesNewRoman" w:eastAsiaTheme="minorEastAsia" w:hAnsi="TimesNewRoman" w:cs="Arial" w:hint="eastAsia"/>
                <w:b/>
                <w:kern w:val="0"/>
                <w:sz w:val="24"/>
                <w:szCs w:val="24"/>
              </w:rPr>
              <w:t>年</w:t>
            </w:r>
            <w:r w:rsidRPr="00FE13FA">
              <w:rPr>
                <w:rFonts w:ascii="TimesNewRoman" w:eastAsiaTheme="minorEastAsia" w:hAnsi="TimesNewRoman" w:cs="Arial" w:hint="eastAsia"/>
                <w:b/>
                <w:kern w:val="0"/>
                <w:sz w:val="24"/>
                <w:szCs w:val="24"/>
              </w:rPr>
              <w:t>6</w:t>
            </w:r>
            <w:r w:rsidRPr="00FE13FA">
              <w:rPr>
                <w:rFonts w:ascii="TimesNewRoman" w:eastAsiaTheme="minorEastAsia" w:hAnsi="TimesNewRoman" w:cs="Arial" w:hint="eastAsia"/>
                <w:b/>
                <w:kern w:val="0"/>
                <w:sz w:val="24"/>
                <w:szCs w:val="24"/>
              </w:rPr>
              <w:t>月</w:t>
            </w:r>
            <w:r w:rsidRPr="00FE13FA">
              <w:rPr>
                <w:rFonts w:ascii="TimesNewRoman" w:eastAsiaTheme="minorEastAsia" w:hAnsi="TimesNewRoman" w:cs="Arial"/>
                <w:b/>
                <w:kern w:val="0"/>
                <w:sz w:val="24"/>
                <w:szCs w:val="24"/>
              </w:rPr>
              <w:t>25</w:t>
            </w:r>
            <w:r w:rsidRPr="00FE13FA">
              <w:rPr>
                <w:rFonts w:ascii="TimesNewRoman" w:eastAsiaTheme="minorEastAsia" w:hAnsi="TimesNewRoman" w:cs="Arial" w:hint="eastAsia"/>
                <w:b/>
                <w:kern w:val="0"/>
                <w:sz w:val="24"/>
                <w:szCs w:val="24"/>
              </w:rPr>
              <w:t>日</w:t>
            </w:r>
          </w:p>
          <w:p w:rsidR="00F42686" w:rsidRPr="00FE13FA" w:rsidRDefault="00F42686" w:rsidP="00385380">
            <w:pPr>
              <w:widowControl/>
              <w:rPr>
                <w:rFonts w:ascii="TimesNewRoman" w:eastAsiaTheme="minorEastAsia" w:hAnsi="TimesNewRoman" w:cs="Arial" w:hint="eastAsia"/>
                <w:b/>
                <w:kern w:val="0"/>
                <w:sz w:val="24"/>
                <w:szCs w:val="24"/>
              </w:rPr>
            </w:pPr>
            <w:r w:rsidRPr="00FE13FA">
              <w:rPr>
                <w:rFonts w:ascii="宋体" w:hAnsi="宋体" w:cs="宋体" w:hint="eastAsia"/>
                <w:kern w:val="0"/>
                <w:sz w:val="24"/>
                <w:szCs w:val="24"/>
              </w:rPr>
              <w:t>交银施罗德、工银瑞信基金、长江证券</w:t>
            </w:r>
            <w:r w:rsidR="00B60626" w:rsidRPr="00FE13FA">
              <w:rPr>
                <w:rFonts w:ascii="TimesNewRoman" w:eastAsiaTheme="minorEastAsia" w:hAnsi="TimesNewRoman" w:cs="Arial" w:hint="eastAsia"/>
                <w:b/>
                <w:kern w:val="0"/>
                <w:sz w:val="24"/>
                <w:szCs w:val="24"/>
              </w:rPr>
              <w:t>（合计</w:t>
            </w:r>
            <w:r w:rsidR="00B60626" w:rsidRPr="00FE13FA">
              <w:rPr>
                <w:rFonts w:ascii="TimesNewRoman" w:eastAsiaTheme="minorEastAsia" w:hAnsi="TimesNewRoman" w:cs="Arial"/>
                <w:b/>
                <w:kern w:val="0"/>
                <w:sz w:val="24"/>
                <w:szCs w:val="24"/>
              </w:rPr>
              <w:t>3</w:t>
            </w:r>
            <w:r w:rsidR="00B60626" w:rsidRPr="00FE13FA">
              <w:rPr>
                <w:rFonts w:ascii="TimesNewRoman" w:eastAsiaTheme="minorEastAsia" w:hAnsi="TimesNewRoman" w:cs="Arial" w:hint="eastAsia"/>
                <w:b/>
                <w:kern w:val="0"/>
                <w:sz w:val="24"/>
                <w:szCs w:val="24"/>
              </w:rPr>
              <w:t>家机构，</w:t>
            </w:r>
            <w:r w:rsidR="008C4AE6" w:rsidRPr="00FE13FA">
              <w:rPr>
                <w:rFonts w:ascii="TimesNewRoman" w:eastAsiaTheme="minorEastAsia" w:hAnsi="TimesNewRoman" w:cs="Arial"/>
                <w:b/>
                <w:kern w:val="0"/>
                <w:sz w:val="24"/>
                <w:szCs w:val="24"/>
              </w:rPr>
              <w:t>9</w:t>
            </w:r>
            <w:r w:rsidR="00B60626" w:rsidRPr="00FE13FA">
              <w:rPr>
                <w:rFonts w:ascii="TimesNewRoman" w:eastAsiaTheme="minorEastAsia" w:hAnsi="TimesNewRoman" w:cs="Arial" w:hint="eastAsia"/>
                <w:b/>
                <w:kern w:val="0"/>
                <w:sz w:val="24"/>
                <w:szCs w:val="24"/>
              </w:rPr>
              <w:t>位投资者参与交流）</w:t>
            </w:r>
          </w:p>
          <w:p w:rsidR="00AD58AA" w:rsidRPr="00FE13FA" w:rsidRDefault="00AD58AA" w:rsidP="00385380">
            <w:pPr>
              <w:widowControl/>
              <w:rPr>
                <w:rFonts w:ascii="宋体" w:hAnsi="宋体" w:cs="宋体"/>
                <w:kern w:val="0"/>
                <w:sz w:val="24"/>
                <w:szCs w:val="24"/>
              </w:rPr>
            </w:pPr>
            <w:r w:rsidRPr="00FE13FA">
              <w:rPr>
                <w:rFonts w:ascii="宋体" w:hAnsi="宋体" w:cs="宋体" w:hint="eastAsia"/>
                <w:kern w:val="0"/>
                <w:sz w:val="24"/>
                <w:szCs w:val="24"/>
              </w:rPr>
              <w:lastRenderedPageBreak/>
              <w:t>（以上排名不分先后）</w:t>
            </w:r>
          </w:p>
        </w:tc>
      </w:tr>
      <w:tr w:rsidR="00D3704D" w:rsidRPr="00943E94" w:rsidTr="005E46BC">
        <w:trPr>
          <w:trHeight w:val="638"/>
          <w:jc w:val="center"/>
        </w:trPr>
        <w:tc>
          <w:tcPr>
            <w:tcW w:w="1908" w:type="dxa"/>
            <w:vAlign w:val="center"/>
          </w:tcPr>
          <w:p w:rsidR="00D3704D" w:rsidRPr="00943E94" w:rsidRDefault="00D3704D" w:rsidP="005E46BC">
            <w:pPr>
              <w:spacing w:line="480" w:lineRule="atLeast"/>
              <w:jc w:val="center"/>
              <w:rPr>
                <w:rFonts w:ascii="TimesNewRoman" w:hAnsi="TimesNewRoman" w:hint="eastAsia"/>
                <w:b/>
                <w:sz w:val="24"/>
              </w:rPr>
            </w:pPr>
            <w:r w:rsidRPr="00943E94">
              <w:rPr>
                <w:rFonts w:ascii="TimesNewRoman" w:hAnsi="宋体" w:hint="eastAsia"/>
                <w:b/>
                <w:sz w:val="24"/>
              </w:rPr>
              <w:lastRenderedPageBreak/>
              <w:t>时间</w:t>
            </w:r>
          </w:p>
        </w:tc>
        <w:tc>
          <w:tcPr>
            <w:tcW w:w="7117" w:type="dxa"/>
          </w:tcPr>
          <w:p w:rsidR="00D3704D" w:rsidRPr="00BA4C78" w:rsidRDefault="009E7DE3" w:rsidP="007F21BB">
            <w:pPr>
              <w:spacing w:line="480" w:lineRule="atLeast"/>
              <w:rPr>
                <w:rFonts w:ascii="TimesNewRoman" w:eastAsiaTheme="minorEastAsia" w:hAnsi="TimesNewRoman" w:cs="Arial" w:hint="eastAsia"/>
                <w:b/>
                <w:color w:val="000000"/>
                <w:kern w:val="0"/>
                <w:sz w:val="24"/>
                <w:szCs w:val="24"/>
              </w:rPr>
            </w:pPr>
            <w:r>
              <w:rPr>
                <w:rFonts w:ascii="TimesNewRoman" w:eastAsiaTheme="minorEastAsia" w:hAnsi="TimesNewRoman" w:cs="Arial" w:hint="eastAsia"/>
                <w:b/>
                <w:color w:val="000000"/>
                <w:kern w:val="0"/>
                <w:sz w:val="24"/>
                <w:szCs w:val="24"/>
              </w:rPr>
              <w:t>2</w:t>
            </w:r>
            <w:r>
              <w:rPr>
                <w:rFonts w:ascii="TimesNewRoman" w:eastAsiaTheme="minorEastAsia" w:hAnsi="TimesNewRoman" w:cs="Arial"/>
                <w:b/>
                <w:color w:val="000000"/>
                <w:kern w:val="0"/>
                <w:sz w:val="24"/>
                <w:szCs w:val="24"/>
              </w:rPr>
              <w:t>025</w:t>
            </w:r>
            <w:r>
              <w:rPr>
                <w:rFonts w:ascii="TimesNewRoman" w:eastAsiaTheme="minorEastAsia" w:hAnsi="TimesNewRoman" w:cs="Arial" w:hint="eastAsia"/>
                <w:b/>
                <w:color w:val="000000"/>
                <w:kern w:val="0"/>
                <w:sz w:val="24"/>
                <w:szCs w:val="24"/>
              </w:rPr>
              <w:t>年</w:t>
            </w:r>
            <w:r>
              <w:rPr>
                <w:rFonts w:ascii="TimesNewRoman" w:eastAsiaTheme="minorEastAsia" w:hAnsi="TimesNewRoman" w:cs="Arial" w:hint="eastAsia"/>
                <w:b/>
                <w:color w:val="000000"/>
                <w:kern w:val="0"/>
                <w:sz w:val="24"/>
                <w:szCs w:val="24"/>
              </w:rPr>
              <w:t>6</w:t>
            </w:r>
            <w:r>
              <w:rPr>
                <w:rFonts w:ascii="TimesNewRoman" w:eastAsiaTheme="minorEastAsia" w:hAnsi="TimesNewRoman" w:cs="Arial" w:hint="eastAsia"/>
                <w:b/>
                <w:color w:val="000000"/>
                <w:kern w:val="0"/>
                <w:sz w:val="24"/>
                <w:szCs w:val="24"/>
              </w:rPr>
              <w:t>月</w:t>
            </w:r>
            <w:r>
              <w:rPr>
                <w:rFonts w:ascii="TimesNewRoman" w:eastAsiaTheme="minorEastAsia" w:hAnsi="TimesNewRoman" w:cs="Arial" w:hint="eastAsia"/>
                <w:b/>
                <w:color w:val="000000"/>
                <w:kern w:val="0"/>
                <w:sz w:val="24"/>
                <w:szCs w:val="24"/>
              </w:rPr>
              <w:t>5</w:t>
            </w:r>
            <w:r>
              <w:rPr>
                <w:rFonts w:ascii="TimesNewRoman" w:eastAsiaTheme="minorEastAsia" w:hAnsi="TimesNewRoman" w:cs="Arial" w:hint="eastAsia"/>
                <w:b/>
                <w:color w:val="000000"/>
                <w:kern w:val="0"/>
                <w:sz w:val="24"/>
                <w:szCs w:val="24"/>
              </w:rPr>
              <w:t>日、</w:t>
            </w:r>
            <w:r>
              <w:rPr>
                <w:rFonts w:ascii="TimesNewRoman" w:eastAsiaTheme="minorEastAsia" w:hAnsi="TimesNewRoman" w:cs="Arial" w:hint="eastAsia"/>
                <w:b/>
                <w:color w:val="000000"/>
                <w:kern w:val="0"/>
                <w:sz w:val="24"/>
                <w:szCs w:val="24"/>
              </w:rPr>
              <w:t>2</w:t>
            </w:r>
            <w:r>
              <w:rPr>
                <w:rFonts w:ascii="TimesNewRoman" w:eastAsiaTheme="minorEastAsia" w:hAnsi="TimesNewRoman" w:cs="Arial"/>
                <w:b/>
                <w:color w:val="000000"/>
                <w:kern w:val="0"/>
                <w:sz w:val="24"/>
                <w:szCs w:val="24"/>
              </w:rPr>
              <w:t>025</w:t>
            </w:r>
            <w:r>
              <w:rPr>
                <w:rFonts w:ascii="TimesNewRoman" w:eastAsiaTheme="minorEastAsia" w:hAnsi="TimesNewRoman" w:cs="Arial" w:hint="eastAsia"/>
                <w:b/>
                <w:color w:val="000000"/>
                <w:kern w:val="0"/>
                <w:sz w:val="24"/>
                <w:szCs w:val="24"/>
              </w:rPr>
              <w:t>年</w:t>
            </w:r>
            <w:r>
              <w:rPr>
                <w:rFonts w:ascii="TimesNewRoman" w:eastAsiaTheme="minorEastAsia" w:hAnsi="TimesNewRoman" w:cs="Arial" w:hint="eastAsia"/>
                <w:b/>
                <w:color w:val="000000"/>
                <w:kern w:val="0"/>
                <w:sz w:val="24"/>
                <w:szCs w:val="24"/>
              </w:rPr>
              <w:t>6</w:t>
            </w:r>
            <w:r>
              <w:rPr>
                <w:rFonts w:ascii="TimesNewRoman" w:eastAsiaTheme="minorEastAsia" w:hAnsi="TimesNewRoman" w:cs="Arial" w:hint="eastAsia"/>
                <w:b/>
                <w:color w:val="000000"/>
                <w:kern w:val="0"/>
                <w:sz w:val="24"/>
                <w:szCs w:val="24"/>
              </w:rPr>
              <w:t>月</w:t>
            </w:r>
            <w:r>
              <w:rPr>
                <w:rFonts w:ascii="TimesNewRoman" w:eastAsiaTheme="minorEastAsia" w:hAnsi="TimesNewRoman" w:cs="Arial"/>
                <w:b/>
                <w:color w:val="000000"/>
                <w:kern w:val="0"/>
                <w:sz w:val="24"/>
                <w:szCs w:val="24"/>
              </w:rPr>
              <w:t>11</w:t>
            </w:r>
            <w:r>
              <w:rPr>
                <w:rFonts w:ascii="TimesNewRoman" w:eastAsiaTheme="minorEastAsia" w:hAnsi="TimesNewRoman" w:cs="Arial" w:hint="eastAsia"/>
                <w:b/>
                <w:color w:val="000000"/>
                <w:kern w:val="0"/>
                <w:sz w:val="24"/>
                <w:szCs w:val="24"/>
              </w:rPr>
              <w:t>日、</w:t>
            </w:r>
            <w:r>
              <w:rPr>
                <w:rFonts w:ascii="TimesNewRoman" w:eastAsiaTheme="minorEastAsia" w:hAnsi="TimesNewRoman" w:cs="Arial" w:hint="eastAsia"/>
                <w:b/>
                <w:color w:val="000000"/>
                <w:kern w:val="0"/>
                <w:sz w:val="24"/>
                <w:szCs w:val="24"/>
              </w:rPr>
              <w:t>2</w:t>
            </w:r>
            <w:r>
              <w:rPr>
                <w:rFonts w:ascii="TimesNewRoman" w:eastAsiaTheme="minorEastAsia" w:hAnsi="TimesNewRoman" w:cs="Arial"/>
                <w:b/>
                <w:color w:val="000000"/>
                <w:kern w:val="0"/>
                <w:sz w:val="24"/>
                <w:szCs w:val="24"/>
              </w:rPr>
              <w:t>025</w:t>
            </w:r>
            <w:r>
              <w:rPr>
                <w:rFonts w:ascii="TimesNewRoman" w:eastAsiaTheme="minorEastAsia" w:hAnsi="TimesNewRoman" w:cs="Arial" w:hint="eastAsia"/>
                <w:b/>
                <w:color w:val="000000"/>
                <w:kern w:val="0"/>
                <w:sz w:val="24"/>
                <w:szCs w:val="24"/>
              </w:rPr>
              <w:t>年</w:t>
            </w:r>
            <w:r>
              <w:rPr>
                <w:rFonts w:ascii="TimesNewRoman" w:eastAsiaTheme="minorEastAsia" w:hAnsi="TimesNewRoman" w:cs="Arial" w:hint="eastAsia"/>
                <w:b/>
                <w:color w:val="000000"/>
                <w:kern w:val="0"/>
                <w:sz w:val="24"/>
                <w:szCs w:val="24"/>
              </w:rPr>
              <w:t>6</w:t>
            </w:r>
            <w:r>
              <w:rPr>
                <w:rFonts w:ascii="TimesNewRoman" w:eastAsiaTheme="minorEastAsia" w:hAnsi="TimesNewRoman" w:cs="Arial" w:hint="eastAsia"/>
                <w:b/>
                <w:color w:val="000000"/>
                <w:kern w:val="0"/>
                <w:sz w:val="24"/>
                <w:szCs w:val="24"/>
              </w:rPr>
              <w:t>月</w:t>
            </w:r>
            <w:r>
              <w:rPr>
                <w:rFonts w:ascii="TimesNewRoman" w:eastAsiaTheme="minorEastAsia" w:hAnsi="TimesNewRoman" w:cs="Arial" w:hint="eastAsia"/>
                <w:b/>
                <w:color w:val="000000"/>
                <w:kern w:val="0"/>
                <w:sz w:val="24"/>
                <w:szCs w:val="24"/>
              </w:rPr>
              <w:t>1</w:t>
            </w:r>
            <w:r>
              <w:rPr>
                <w:rFonts w:ascii="TimesNewRoman" w:eastAsiaTheme="minorEastAsia" w:hAnsi="TimesNewRoman" w:cs="Arial"/>
                <w:b/>
                <w:color w:val="000000"/>
                <w:kern w:val="0"/>
                <w:sz w:val="24"/>
                <w:szCs w:val="24"/>
              </w:rPr>
              <w:t>3</w:t>
            </w:r>
            <w:r>
              <w:rPr>
                <w:rFonts w:ascii="TimesNewRoman" w:eastAsiaTheme="minorEastAsia" w:hAnsi="TimesNewRoman" w:cs="Arial" w:hint="eastAsia"/>
                <w:b/>
                <w:color w:val="000000"/>
                <w:kern w:val="0"/>
                <w:sz w:val="24"/>
                <w:szCs w:val="24"/>
              </w:rPr>
              <w:t>日、</w:t>
            </w:r>
            <w:r w:rsidRPr="00116D3A">
              <w:rPr>
                <w:rFonts w:ascii="TimesNewRoman" w:eastAsiaTheme="minorEastAsia" w:hAnsi="TimesNewRoman" w:cs="Arial" w:hint="eastAsia"/>
                <w:b/>
                <w:color w:val="000000"/>
                <w:kern w:val="0"/>
                <w:sz w:val="24"/>
                <w:szCs w:val="24"/>
              </w:rPr>
              <w:t>2</w:t>
            </w:r>
            <w:r w:rsidRPr="00116D3A">
              <w:rPr>
                <w:rFonts w:ascii="TimesNewRoman" w:eastAsiaTheme="minorEastAsia" w:hAnsi="TimesNewRoman" w:cs="Arial"/>
                <w:b/>
                <w:color w:val="000000"/>
                <w:kern w:val="0"/>
                <w:sz w:val="24"/>
                <w:szCs w:val="24"/>
              </w:rPr>
              <w:t>025</w:t>
            </w:r>
            <w:r w:rsidRPr="00116D3A">
              <w:rPr>
                <w:rFonts w:ascii="TimesNewRoman" w:eastAsiaTheme="minorEastAsia" w:hAnsi="TimesNewRoman" w:cs="Arial" w:hint="eastAsia"/>
                <w:b/>
                <w:color w:val="000000"/>
                <w:kern w:val="0"/>
                <w:sz w:val="24"/>
                <w:szCs w:val="24"/>
              </w:rPr>
              <w:t>年</w:t>
            </w:r>
            <w:r w:rsidRPr="00116D3A">
              <w:rPr>
                <w:rFonts w:ascii="TimesNewRoman" w:eastAsiaTheme="minorEastAsia" w:hAnsi="TimesNewRoman" w:cs="Arial" w:hint="eastAsia"/>
                <w:b/>
                <w:color w:val="000000"/>
                <w:kern w:val="0"/>
                <w:sz w:val="24"/>
                <w:szCs w:val="24"/>
              </w:rPr>
              <w:t>6</w:t>
            </w:r>
            <w:r w:rsidRPr="00116D3A">
              <w:rPr>
                <w:rFonts w:ascii="TimesNewRoman" w:eastAsiaTheme="minorEastAsia" w:hAnsi="TimesNewRoman" w:cs="Arial" w:hint="eastAsia"/>
                <w:b/>
                <w:color w:val="000000"/>
                <w:kern w:val="0"/>
                <w:sz w:val="24"/>
                <w:szCs w:val="24"/>
              </w:rPr>
              <w:t>月</w:t>
            </w:r>
            <w:r w:rsidRPr="00116D3A">
              <w:rPr>
                <w:rFonts w:ascii="TimesNewRoman" w:eastAsiaTheme="minorEastAsia" w:hAnsi="TimesNewRoman" w:cs="Arial"/>
                <w:b/>
                <w:color w:val="000000"/>
                <w:kern w:val="0"/>
                <w:sz w:val="24"/>
                <w:szCs w:val="24"/>
              </w:rPr>
              <w:t>16</w:t>
            </w:r>
            <w:r w:rsidRPr="00116D3A">
              <w:rPr>
                <w:rFonts w:ascii="TimesNewRoman" w:eastAsiaTheme="minorEastAsia" w:hAnsi="TimesNewRoman" w:cs="Arial" w:hint="eastAsia"/>
                <w:b/>
                <w:color w:val="000000"/>
                <w:kern w:val="0"/>
                <w:sz w:val="24"/>
                <w:szCs w:val="24"/>
              </w:rPr>
              <w:t>日</w:t>
            </w:r>
            <w:r>
              <w:rPr>
                <w:rFonts w:ascii="TimesNewRoman" w:eastAsiaTheme="minorEastAsia" w:hAnsi="TimesNewRoman" w:cs="Arial" w:hint="eastAsia"/>
                <w:b/>
                <w:color w:val="000000"/>
                <w:kern w:val="0"/>
                <w:sz w:val="24"/>
                <w:szCs w:val="24"/>
              </w:rPr>
              <w:t>、</w:t>
            </w:r>
            <w:r w:rsidRPr="00116D3A">
              <w:rPr>
                <w:rFonts w:ascii="TimesNewRoman" w:eastAsiaTheme="minorEastAsia" w:hAnsi="TimesNewRoman" w:cs="Arial" w:hint="eastAsia"/>
                <w:b/>
                <w:color w:val="000000"/>
                <w:kern w:val="0"/>
                <w:sz w:val="24"/>
                <w:szCs w:val="24"/>
              </w:rPr>
              <w:t>2</w:t>
            </w:r>
            <w:r w:rsidRPr="00116D3A">
              <w:rPr>
                <w:rFonts w:ascii="TimesNewRoman" w:eastAsiaTheme="minorEastAsia" w:hAnsi="TimesNewRoman" w:cs="Arial"/>
                <w:b/>
                <w:color w:val="000000"/>
                <w:kern w:val="0"/>
                <w:sz w:val="24"/>
                <w:szCs w:val="24"/>
              </w:rPr>
              <w:t>025</w:t>
            </w:r>
            <w:r w:rsidRPr="00116D3A">
              <w:rPr>
                <w:rFonts w:ascii="TimesNewRoman" w:eastAsiaTheme="minorEastAsia" w:hAnsi="TimesNewRoman" w:cs="Arial" w:hint="eastAsia"/>
                <w:b/>
                <w:color w:val="000000"/>
                <w:kern w:val="0"/>
                <w:sz w:val="24"/>
                <w:szCs w:val="24"/>
              </w:rPr>
              <w:t>年</w:t>
            </w:r>
            <w:r w:rsidRPr="00116D3A">
              <w:rPr>
                <w:rFonts w:ascii="TimesNewRoman" w:eastAsiaTheme="minorEastAsia" w:hAnsi="TimesNewRoman" w:cs="Arial" w:hint="eastAsia"/>
                <w:b/>
                <w:color w:val="000000"/>
                <w:kern w:val="0"/>
                <w:sz w:val="24"/>
                <w:szCs w:val="24"/>
              </w:rPr>
              <w:t>6</w:t>
            </w:r>
            <w:r w:rsidRPr="00116D3A">
              <w:rPr>
                <w:rFonts w:ascii="TimesNewRoman" w:eastAsiaTheme="minorEastAsia" w:hAnsi="TimesNewRoman" w:cs="Arial" w:hint="eastAsia"/>
                <w:b/>
                <w:color w:val="000000"/>
                <w:kern w:val="0"/>
                <w:sz w:val="24"/>
                <w:szCs w:val="24"/>
              </w:rPr>
              <w:t>月</w:t>
            </w:r>
            <w:r w:rsidRPr="00116D3A">
              <w:rPr>
                <w:rFonts w:ascii="TimesNewRoman" w:eastAsiaTheme="minorEastAsia" w:hAnsi="TimesNewRoman" w:cs="Arial"/>
                <w:b/>
                <w:color w:val="000000"/>
                <w:kern w:val="0"/>
                <w:sz w:val="24"/>
                <w:szCs w:val="24"/>
              </w:rPr>
              <w:t>1</w:t>
            </w:r>
            <w:r w:rsidR="00C250B4">
              <w:rPr>
                <w:rFonts w:ascii="TimesNewRoman" w:eastAsiaTheme="minorEastAsia" w:hAnsi="TimesNewRoman" w:cs="Arial"/>
                <w:b/>
                <w:color w:val="000000"/>
                <w:kern w:val="0"/>
                <w:sz w:val="24"/>
                <w:szCs w:val="24"/>
              </w:rPr>
              <w:t>9</w:t>
            </w:r>
            <w:r w:rsidRPr="00116D3A">
              <w:rPr>
                <w:rFonts w:ascii="TimesNewRoman" w:eastAsiaTheme="minorEastAsia" w:hAnsi="TimesNewRoman" w:cs="Arial" w:hint="eastAsia"/>
                <w:b/>
                <w:color w:val="000000"/>
                <w:kern w:val="0"/>
                <w:sz w:val="24"/>
                <w:szCs w:val="24"/>
              </w:rPr>
              <w:t>日</w:t>
            </w:r>
            <w:r>
              <w:rPr>
                <w:rFonts w:ascii="TimesNewRoman" w:eastAsiaTheme="minorEastAsia" w:hAnsi="TimesNewRoman" w:cs="Arial" w:hint="eastAsia"/>
                <w:b/>
                <w:color w:val="000000"/>
                <w:kern w:val="0"/>
                <w:sz w:val="24"/>
                <w:szCs w:val="24"/>
              </w:rPr>
              <w:t>、</w:t>
            </w:r>
            <w:r w:rsidRPr="00116D3A">
              <w:rPr>
                <w:rFonts w:ascii="TimesNewRoman" w:eastAsiaTheme="minorEastAsia" w:hAnsi="TimesNewRoman" w:cs="Arial" w:hint="eastAsia"/>
                <w:b/>
                <w:color w:val="000000"/>
                <w:kern w:val="0"/>
                <w:sz w:val="24"/>
                <w:szCs w:val="24"/>
              </w:rPr>
              <w:t>2</w:t>
            </w:r>
            <w:r w:rsidRPr="00116D3A">
              <w:rPr>
                <w:rFonts w:ascii="TimesNewRoman" w:eastAsiaTheme="minorEastAsia" w:hAnsi="TimesNewRoman" w:cs="Arial"/>
                <w:b/>
                <w:color w:val="000000"/>
                <w:kern w:val="0"/>
                <w:sz w:val="24"/>
                <w:szCs w:val="24"/>
              </w:rPr>
              <w:t>025</w:t>
            </w:r>
            <w:r w:rsidRPr="00116D3A">
              <w:rPr>
                <w:rFonts w:ascii="TimesNewRoman" w:eastAsiaTheme="minorEastAsia" w:hAnsi="TimesNewRoman" w:cs="Arial" w:hint="eastAsia"/>
                <w:b/>
                <w:color w:val="000000"/>
                <w:kern w:val="0"/>
                <w:sz w:val="24"/>
                <w:szCs w:val="24"/>
              </w:rPr>
              <w:t>年</w:t>
            </w:r>
            <w:r w:rsidRPr="00116D3A">
              <w:rPr>
                <w:rFonts w:ascii="TimesNewRoman" w:eastAsiaTheme="minorEastAsia" w:hAnsi="TimesNewRoman" w:cs="Arial" w:hint="eastAsia"/>
                <w:b/>
                <w:color w:val="000000"/>
                <w:kern w:val="0"/>
                <w:sz w:val="24"/>
                <w:szCs w:val="24"/>
              </w:rPr>
              <w:t>6</w:t>
            </w:r>
            <w:r w:rsidRPr="00116D3A">
              <w:rPr>
                <w:rFonts w:ascii="TimesNewRoman" w:eastAsiaTheme="minorEastAsia" w:hAnsi="TimesNewRoman" w:cs="Arial" w:hint="eastAsia"/>
                <w:b/>
                <w:color w:val="000000"/>
                <w:kern w:val="0"/>
                <w:sz w:val="24"/>
                <w:szCs w:val="24"/>
              </w:rPr>
              <w:t>月</w:t>
            </w:r>
            <w:r>
              <w:rPr>
                <w:rFonts w:ascii="TimesNewRoman" w:eastAsiaTheme="minorEastAsia" w:hAnsi="TimesNewRoman" w:cs="Arial"/>
                <w:b/>
                <w:color w:val="000000"/>
                <w:kern w:val="0"/>
                <w:sz w:val="24"/>
                <w:szCs w:val="24"/>
              </w:rPr>
              <w:t>20</w:t>
            </w:r>
            <w:r w:rsidRPr="00116D3A">
              <w:rPr>
                <w:rFonts w:ascii="TimesNewRoman" w:eastAsiaTheme="minorEastAsia" w:hAnsi="TimesNewRoman" w:cs="Arial" w:hint="eastAsia"/>
                <w:b/>
                <w:color w:val="000000"/>
                <w:kern w:val="0"/>
                <w:sz w:val="24"/>
                <w:szCs w:val="24"/>
              </w:rPr>
              <w:t>日</w:t>
            </w:r>
            <w:r w:rsidR="00BA4C78">
              <w:rPr>
                <w:rFonts w:ascii="TimesNewRoman" w:eastAsiaTheme="minorEastAsia" w:hAnsi="TimesNewRoman" w:cs="Arial" w:hint="eastAsia"/>
                <w:b/>
                <w:color w:val="000000"/>
                <w:kern w:val="0"/>
                <w:sz w:val="24"/>
                <w:szCs w:val="24"/>
              </w:rPr>
              <w:t>、</w:t>
            </w:r>
            <w:r w:rsidR="00BA4C78" w:rsidRPr="00116D3A">
              <w:rPr>
                <w:rFonts w:ascii="TimesNewRoman" w:eastAsiaTheme="minorEastAsia" w:hAnsi="TimesNewRoman" w:cs="Arial" w:hint="eastAsia"/>
                <w:b/>
                <w:color w:val="000000"/>
                <w:kern w:val="0"/>
                <w:sz w:val="24"/>
                <w:szCs w:val="24"/>
              </w:rPr>
              <w:t>2</w:t>
            </w:r>
            <w:r w:rsidR="00BA4C78" w:rsidRPr="00116D3A">
              <w:rPr>
                <w:rFonts w:ascii="TimesNewRoman" w:eastAsiaTheme="minorEastAsia" w:hAnsi="TimesNewRoman" w:cs="Arial"/>
                <w:b/>
                <w:color w:val="000000"/>
                <w:kern w:val="0"/>
                <w:sz w:val="24"/>
                <w:szCs w:val="24"/>
              </w:rPr>
              <w:t>025</w:t>
            </w:r>
            <w:r w:rsidR="00BA4C78" w:rsidRPr="00116D3A">
              <w:rPr>
                <w:rFonts w:ascii="TimesNewRoman" w:eastAsiaTheme="minorEastAsia" w:hAnsi="TimesNewRoman" w:cs="Arial" w:hint="eastAsia"/>
                <w:b/>
                <w:color w:val="000000"/>
                <w:kern w:val="0"/>
                <w:sz w:val="24"/>
                <w:szCs w:val="24"/>
              </w:rPr>
              <w:t>年</w:t>
            </w:r>
            <w:r w:rsidR="00BA4C78" w:rsidRPr="00116D3A">
              <w:rPr>
                <w:rFonts w:ascii="TimesNewRoman" w:eastAsiaTheme="minorEastAsia" w:hAnsi="TimesNewRoman" w:cs="Arial" w:hint="eastAsia"/>
                <w:b/>
                <w:color w:val="000000"/>
                <w:kern w:val="0"/>
                <w:sz w:val="24"/>
                <w:szCs w:val="24"/>
              </w:rPr>
              <w:t>6</w:t>
            </w:r>
            <w:r w:rsidR="00BA4C78" w:rsidRPr="00116D3A">
              <w:rPr>
                <w:rFonts w:ascii="TimesNewRoman" w:eastAsiaTheme="minorEastAsia" w:hAnsi="TimesNewRoman" w:cs="Arial" w:hint="eastAsia"/>
                <w:b/>
                <w:color w:val="000000"/>
                <w:kern w:val="0"/>
                <w:sz w:val="24"/>
                <w:szCs w:val="24"/>
              </w:rPr>
              <w:t>月</w:t>
            </w:r>
            <w:r w:rsidR="00BA4C78">
              <w:rPr>
                <w:rFonts w:ascii="TimesNewRoman" w:eastAsiaTheme="minorEastAsia" w:hAnsi="TimesNewRoman" w:cs="Arial"/>
                <w:b/>
                <w:color w:val="000000"/>
                <w:kern w:val="0"/>
                <w:sz w:val="24"/>
                <w:szCs w:val="24"/>
              </w:rPr>
              <w:t>25</w:t>
            </w:r>
            <w:r w:rsidR="00BA4C78" w:rsidRPr="00116D3A">
              <w:rPr>
                <w:rFonts w:ascii="TimesNewRoman" w:eastAsiaTheme="minorEastAsia" w:hAnsi="TimesNewRoman" w:cs="Arial" w:hint="eastAsia"/>
                <w:b/>
                <w:color w:val="000000"/>
                <w:kern w:val="0"/>
                <w:sz w:val="24"/>
                <w:szCs w:val="24"/>
              </w:rPr>
              <w:t>日</w:t>
            </w:r>
          </w:p>
        </w:tc>
      </w:tr>
      <w:tr w:rsidR="00D3704D" w:rsidRPr="00943E94" w:rsidTr="005E46BC">
        <w:trPr>
          <w:trHeight w:val="590"/>
          <w:jc w:val="center"/>
        </w:trPr>
        <w:tc>
          <w:tcPr>
            <w:tcW w:w="1908" w:type="dxa"/>
            <w:vAlign w:val="center"/>
          </w:tcPr>
          <w:p w:rsidR="00D3704D" w:rsidRPr="00943E94" w:rsidRDefault="00D3704D" w:rsidP="005E46BC">
            <w:pPr>
              <w:spacing w:line="480" w:lineRule="atLeast"/>
              <w:jc w:val="center"/>
              <w:rPr>
                <w:rFonts w:ascii="TimesNewRoman" w:hAnsi="TimesNewRoman" w:hint="eastAsia"/>
                <w:b/>
                <w:sz w:val="24"/>
              </w:rPr>
            </w:pPr>
            <w:r w:rsidRPr="00943E94">
              <w:rPr>
                <w:rFonts w:ascii="TimesNewRoman" w:hAnsi="宋体" w:hint="eastAsia"/>
                <w:b/>
                <w:sz w:val="24"/>
              </w:rPr>
              <w:t>地点</w:t>
            </w:r>
          </w:p>
        </w:tc>
        <w:tc>
          <w:tcPr>
            <w:tcW w:w="7117" w:type="dxa"/>
          </w:tcPr>
          <w:p w:rsidR="00D3704D" w:rsidRPr="00943E94" w:rsidRDefault="00CE1111" w:rsidP="002749ED">
            <w:pPr>
              <w:spacing w:line="480" w:lineRule="atLeast"/>
              <w:rPr>
                <w:rFonts w:ascii="TimesNewRoman" w:hAnsi="TimesNewRoman" w:hint="eastAsia"/>
                <w:sz w:val="24"/>
              </w:rPr>
            </w:pPr>
            <w:r>
              <w:rPr>
                <w:rFonts w:ascii="TimesNewRoman" w:hAnsi="TimesNewRoman" w:hint="eastAsia"/>
                <w:sz w:val="24"/>
              </w:rPr>
              <w:t>利元亨办公室</w:t>
            </w:r>
          </w:p>
        </w:tc>
      </w:tr>
      <w:tr w:rsidR="00D3704D" w:rsidRPr="00943E94" w:rsidTr="005E46BC">
        <w:trPr>
          <w:trHeight w:val="1592"/>
          <w:jc w:val="center"/>
        </w:trPr>
        <w:tc>
          <w:tcPr>
            <w:tcW w:w="1908" w:type="dxa"/>
            <w:vAlign w:val="center"/>
          </w:tcPr>
          <w:p w:rsidR="00D3704D" w:rsidRPr="00943E94" w:rsidRDefault="00D3704D" w:rsidP="005E46BC">
            <w:pPr>
              <w:spacing w:line="480" w:lineRule="atLeast"/>
              <w:jc w:val="center"/>
              <w:rPr>
                <w:rFonts w:ascii="TimesNewRoman" w:hAnsi="TimesNewRoman" w:hint="eastAsia"/>
                <w:b/>
                <w:sz w:val="24"/>
              </w:rPr>
            </w:pPr>
            <w:r w:rsidRPr="00943E94">
              <w:rPr>
                <w:rFonts w:ascii="TimesNewRoman" w:hAnsi="宋体" w:hint="eastAsia"/>
                <w:b/>
                <w:sz w:val="24"/>
              </w:rPr>
              <w:t>上市公司接待人员姓名</w:t>
            </w:r>
          </w:p>
        </w:tc>
        <w:tc>
          <w:tcPr>
            <w:tcW w:w="7117" w:type="dxa"/>
          </w:tcPr>
          <w:p w:rsidR="00B52A9F" w:rsidRDefault="00AE7BA9" w:rsidP="00B52A9F">
            <w:pPr>
              <w:spacing w:line="480" w:lineRule="atLeast"/>
              <w:rPr>
                <w:rFonts w:ascii="TimesNewRoman" w:hAnsi="宋体"/>
                <w:sz w:val="24"/>
              </w:rPr>
            </w:pPr>
            <w:r w:rsidRPr="00AE7BA9">
              <w:rPr>
                <w:rFonts w:ascii="TimesNewRoman" w:hAnsi="宋体" w:hint="eastAsia"/>
                <w:sz w:val="24"/>
              </w:rPr>
              <w:t>广东利元亨智能装备股份有限公司</w:t>
            </w:r>
            <w:r w:rsidR="004973D8">
              <w:rPr>
                <w:rFonts w:ascii="TimesNewRoman" w:hAnsi="宋体" w:hint="eastAsia"/>
                <w:sz w:val="24"/>
              </w:rPr>
              <w:t>董事会秘书</w:t>
            </w:r>
            <w:r w:rsidRPr="00AE7BA9">
              <w:rPr>
                <w:rFonts w:ascii="TimesNewRoman" w:hAnsi="宋体" w:hint="eastAsia"/>
                <w:sz w:val="24"/>
              </w:rPr>
              <w:t xml:space="preserve"> </w:t>
            </w:r>
            <w:r w:rsidRPr="00AE7BA9">
              <w:rPr>
                <w:rFonts w:ascii="TimesNewRoman" w:hAnsi="宋体" w:hint="eastAsia"/>
                <w:sz w:val="24"/>
              </w:rPr>
              <w:t>陈振容</w:t>
            </w:r>
          </w:p>
          <w:p w:rsidR="00DF0E3E" w:rsidRDefault="00960BBD" w:rsidP="00960BBD">
            <w:pPr>
              <w:spacing w:line="480" w:lineRule="atLeast"/>
              <w:rPr>
                <w:rFonts w:ascii="TimesNewRoman" w:hAnsi="宋体"/>
                <w:sz w:val="24"/>
              </w:rPr>
            </w:pPr>
            <w:r>
              <w:rPr>
                <w:rFonts w:ascii="TimesNewRoman" w:hAnsi="宋体" w:hint="eastAsia"/>
                <w:sz w:val="24"/>
              </w:rPr>
              <w:t>广东利元亨智能装备股份有限公司研究院院长</w:t>
            </w:r>
            <w:r>
              <w:rPr>
                <w:rFonts w:ascii="TimesNewRoman" w:hAnsi="宋体" w:hint="eastAsia"/>
                <w:sz w:val="24"/>
              </w:rPr>
              <w:t xml:space="preserve"> </w:t>
            </w:r>
            <w:r>
              <w:rPr>
                <w:rFonts w:ascii="TimesNewRoman" w:hAnsi="宋体" w:hint="eastAsia"/>
                <w:sz w:val="24"/>
              </w:rPr>
              <w:t>杜义贤</w:t>
            </w:r>
          </w:p>
          <w:p w:rsidR="004A7ECB" w:rsidRPr="005F46D2" w:rsidRDefault="005F46D2" w:rsidP="00960BBD">
            <w:pPr>
              <w:spacing w:line="480" w:lineRule="atLeast"/>
              <w:rPr>
                <w:rFonts w:ascii="TimesNewRoman" w:hAnsi="宋体"/>
                <w:sz w:val="24"/>
              </w:rPr>
            </w:pPr>
            <w:r>
              <w:rPr>
                <w:rFonts w:ascii="TimesNewRoman" w:hAnsi="宋体" w:hint="eastAsia"/>
                <w:sz w:val="24"/>
              </w:rPr>
              <w:t>广东利元亨智能装备股份有限公司</w:t>
            </w:r>
            <w:r>
              <w:rPr>
                <w:rFonts w:ascii="TimesNewRoman" w:hAnsi="宋体" w:hint="eastAsia"/>
                <w:sz w:val="24"/>
              </w:rPr>
              <w:t>I</w:t>
            </w:r>
            <w:r>
              <w:rPr>
                <w:rFonts w:ascii="TimesNewRoman" w:hAnsi="宋体"/>
                <w:sz w:val="24"/>
              </w:rPr>
              <w:t>R</w:t>
            </w:r>
            <w:r>
              <w:rPr>
                <w:rFonts w:ascii="TimesNewRoman" w:hAnsi="宋体" w:hint="eastAsia"/>
                <w:sz w:val="24"/>
              </w:rPr>
              <w:t xml:space="preserve"> </w:t>
            </w:r>
            <w:r>
              <w:rPr>
                <w:rFonts w:ascii="TimesNewRoman" w:hAnsi="宋体" w:hint="eastAsia"/>
                <w:sz w:val="24"/>
              </w:rPr>
              <w:t>陈丽凡</w:t>
            </w:r>
          </w:p>
        </w:tc>
      </w:tr>
      <w:tr w:rsidR="00CC352C" w:rsidRPr="00943E94" w:rsidTr="005E46BC">
        <w:trPr>
          <w:trHeight w:val="706"/>
          <w:jc w:val="center"/>
        </w:trPr>
        <w:tc>
          <w:tcPr>
            <w:tcW w:w="1908" w:type="dxa"/>
            <w:vAlign w:val="center"/>
          </w:tcPr>
          <w:p w:rsidR="00CC352C" w:rsidRPr="00943E94" w:rsidRDefault="00CC352C" w:rsidP="005E46BC">
            <w:pPr>
              <w:spacing w:line="480" w:lineRule="atLeast"/>
              <w:jc w:val="center"/>
              <w:rPr>
                <w:rFonts w:ascii="TimesNewRoman" w:hAnsi="宋体"/>
                <w:b/>
                <w:sz w:val="24"/>
              </w:rPr>
            </w:pPr>
            <w:r w:rsidRPr="00DE27EC">
              <w:rPr>
                <w:rFonts w:ascii="TimesNewRoman" w:hAnsi="宋体" w:hint="eastAsia"/>
                <w:b/>
                <w:sz w:val="24"/>
              </w:rPr>
              <w:t>投资者关系活动主要内容介绍</w:t>
            </w:r>
          </w:p>
        </w:tc>
        <w:tc>
          <w:tcPr>
            <w:tcW w:w="7117" w:type="dxa"/>
          </w:tcPr>
          <w:p w:rsidR="00CC352C" w:rsidRPr="006C1C0E" w:rsidRDefault="006C1C0E" w:rsidP="00385380">
            <w:pPr>
              <w:spacing w:line="480" w:lineRule="atLeast"/>
              <w:ind w:firstLineChars="200" w:firstLine="482"/>
              <w:rPr>
                <w:rFonts w:asciiTheme="minorEastAsia" w:eastAsiaTheme="minorEastAsia" w:hAnsiTheme="minorEastAsia"/>
                <w:b/>
                <w:sz w:val="24"/>
                <w:szCs w:val="24"/>
              </w:rPr>
            </w:pPr>
            <w:r w:rsidRPr="006C1C0E">
              <w:rPr>
                <w:rFonts w:asciiTheme="minorEastAsia" w:eastAsiaTheme="minorEastAsia" w:hAnsiTheme="minorEastAsia" w:hint="eastAsia"/>
                <w:b/>
                <w:sz w:val="24"/>
                <w:szCs w:val="24"/>
              </w:rPr>
              <w:t>问题一：</w:t>
            </w:r>
            <w:r w:rsidR="00AD58AA" w:rsidRPr="00AD58AA">
              <w:rPr>
                <w:rFonts w:asciiTheme="minorEastAsia" w:eastAsiaTheme="minorEastAsia" w:hAnsiTheme="minorEastAsia" w:hint="eastAsia"/>
                <w:b/>
                <w:sz w:val="24"/>
                <w:szCs w:val="24"/>
              </w:rPr>
              <w:t>公司产品覆盖电</w:t>
            </w:r>
            <w:r w:rsidR="006319A8">
              <w:rPr>
                <w:rFonts w:asciiTheme="minorEastAsia" w:eastAsiaTheme="minorEastAsia" w:hAnsiTheme="minorEastAsia" w:hint="eastAsia"/>
                <w:b/>
                <w:sz w:val="24"/>
                <w:szCs w:val="24"/>
              </w:rPr>
              <w:t>池</w:t>
            </w:r>
            <w:r w:rsidR="00AD58AA" w:rsidRPr="00AD58AA">
              <w:rPr>
                <w:rFonts w:asciiTheme="minorEastAsia" w:eastAsiaTheme="minorEastAsia" w:hAnsiTheme="minorEastAsia" w:hint="eastAsia"/>
                <w:b/>
                <w:sz w:val="24"/>
                <w:szCs w:val="24"/>
              </w:rPr>
              <w:t>生产的哪些阶段？</w:t>
            </w:r>
          </w:p>
          <w:p w:rsidR="006C1C0E" w:rsidRPr="006C1C0E" w:rsidRDefault="006C1C0E" w:rsidP="00385380">
            <w:pPr>
              <w:spacing w:line="480" w:lineRule="atLeast"/>
              <w:ind w:firstLineChars="200" w:firstLine="482"/>
              <w:rPr>
                <w:rFonts w:asciiTheme="minorEastAsia" w:eastAsiaTheme="minorEastAsia" w:hAnsiTheme="minorEastAsia"/>
                <w:sz w:val="24"/>
                <w:szCs w:val="24"/>
              </w:rPr>
            </w:pPr>
            <w:r w:rsidRPr="006C1C0E">
              <w:rPr>
                <w:rFonts w:asciiTheme="minorEastAsia" w:eastAsiaTheme="minorEastAsia" w:hAnsiTheme="minorEastAsia" w:hint="eastAsia"/>
                <w:b/>
                <w:sz w:val="24"/>
                <w:szCs w:val="24"/>
              </w:rPr>
              <w:t>答：</w:t>
            </w:r>
            <w:r w:rsidR="006319A8">
              <w:rPr>
                <w:rFonts w:asciiTheme="minorEastAsia" w:eastAsiaTheme="minorEastAsia" w:hAnsiTheme="minorEastAsia" w:hint="eastAsia"/>
                <w:sz w:val="24"/>
                <w:szCs w:val="24"/>
              </w:rPr>
              <w:t>公司产品覆盖电池</w:t>
            </w:r>
            <w:r w:rsidR="00AD58AA" w:rsidRPr="00AD58AA">
              <w:rPr>
                <w:rFonts w:asciiTheme="minorEastAsia" w:eastAsiaTheme="minorEastAsia" w:hAnsiTheme="minorEastAsia" w:hint="eastAsia"/>
                <w:sz w:val="24"/>
                <w:szCs w:val="24"/>
              </w:rPr>
              <w:t>生产的极片段、装配段、检测段及模组</w:t>
            </w:r>
            <w:r w:rsidR="00AD58AA" w:rsidRPr="00A7441E">
              <w:rPr>
                <w:rFonts w:eastAsiaTheme="minorEastAsia"/>
                <w:sz w:val="24"/>
                <w:szCs w:val="24"/>
              </w:rPr>
              <w:t>Pack</w:t>
            </w:r>
            <w:r w:rsidR="00AD58AA" w:rsidRPr="00AD58AA">
              <w:rPr>
                <w:rFonts w:asciiTheme="minorEastAsia" w:eastAsiaTheme="minorEastAsia" w:hAnsiTheme="minorEastAsia" w:hint="eastAsia"/>
                <w:sz w:val="24"/>
                <w:szCs w:val="24"/>
              </w:rPr>
              <w:t>段等全工序，在极片段，包括双层高速宽幅涂布机、激光模切分条一体机等设备；在装配段，涵盖高速切叠一体机、高速卷绕机、长电芯装配线（激光焊接）等设备；在检测段，包括化成分容一体机、电芯外观检测机等专机产品。此外，公司还提供模</w:t>
            </w:r>
            <w:r w:rsidR="00AD58AA" w:rsidRPr="00A7441E">
              <w:rPr>
                <w:rFonts w:eastAsiaTheme="minorEastAsia"/>
                <w:sz w:val="24"/>
                <w:szCs w:val="24"/>
              </w:rPr>
              <w:t>组</w:t>
            </w:r>
            <w:r w:rsidR="00AD58AA" w:rsidRPr="00A7441E">
              <w:rPr>
                <w:rFonts w:eastAsiaTheme="minorEastAsia"/>
                <w:sz w:val="24"/>
                <w:szCs w:val="24"/>
              </w:rPr>
              <w:t>Pack</w:t>
            </w:r>
            <w:r w:rsidR="00AD58AA" w:rsidRPr="00AD58AA">
              <w:rPr>
                <w:rFonts w:asciiTheme="minorEastAsia" w:eastAsiaTheme="minorEastAsia" w:hAnsiTheme="minorEastAsia" w:hint="eastAsia"/>
                <w:sz w:val="24"/>
                <w:szCs w:val="24"/>
              </w:rPr>
              <w:t>段及仓储物流、数智整厂等软硬件装备，形成从电芯制造到组装的完整解决方案。</w:t>
            </w:r>
          </w:p>
          <w:p w:rsidR="006C1C0E" w:rsidRDefault="006C1C0E" w:rsidP="00385380">
            <w:pPr>
              <w:spacing w:line="480" w:lineRule="atLeast"/>
              <w:rPr>
                <w:rFonts w:asciiTheme="minorEastAsia" w:eastAsiaTheme="minorEastAsia" w:hAnsiTheme="minorEastAsia"/>
                <w:sz w:val="24"/>
                <w:szCs w:val="24"/>
              </w:rPr>
            </w:pPr>
          </w:p>
          <w:p w:rsidR="006C1C0E" w:rsidRPr="006C1C0E" w:rsidRDefault="006C1C0E" w:rsidP="00385380">
            <w:pPr>
              <w:spacing w:line="480" w:lineRule="atLeast"/>
              <w:ind w:firstLineChars="200" w:firstLine="482"/>
              <w:rPr>
                <w:rFonts w:asciiTheme="minorEastAsia" w:eastAsiaTheme="minorEastAsia" w:hAnsiTheme="minorEastAsia"/>
                <w:b/>
                <w:sz w:val="24"/>
                <w:szCs w:val="24"/>
              </w:rPr>
            </w:pPr>
            <w:r w:rsidRPr="006C1C0E">
              <w:rPr>
                <w:rFonts w:asciiTheme="minorEastAsia" w:eastAsiaTheme="minorEastAsia" w:hAnsiTheme="minorEastAsia" w:hint="eastAsia"/>
                <w:b/>
                <w:sz w:val="24"/>
                <w:szCs w:val="24"/>
              </w:rPr>
              <w:t>问题</w:t>
            </w:r>
            <w:r>
              <w:rPr>
                <w:rFonts w:asciiTheme="minorEastAsia" w:eastAsiaTheme="minorEastAsia" w:hAnsiTheme="minorEastAsia" w:hint="eastAsia"/>
                <w:b/>
                <w:sz w:val="24"/>
                <w:szCs w:val="24"/>
              </w:rPr>
              <w:t>二</w:t>
            </w:r>
            <w:r w:rsidRPr="006C1C0E">
              <w:rPr>
                <w:rFonts w:asciiTheme="minorEastAsia" w:eastAsiaTheme="minorEastAsia" w:hAnsiTheme="minorEastAsia" w:hint="eastAsia"/>
                <w:b/>
                <w:sz w:val="24"/>
                <w:szCs w:val="24"/>
              </w:rPr>
              <w:t>：</w:t>
            </w:r>
            <w:r w:rsidR="00AD58AA" w:rsidRPr="00AD58AA">
              <w:rPr>
                <w:rFonts w:asciiTheme="minorEastAsia" w:eastAsiaTheme="minorEastAsia" w:hAnsiTheme="minorEastAsia" w:hint="eastAsia"/>
                <w:b/>
                <w:sz w:val="24"/>
                <w:szCs w:val="24"/>
              </w:rPr>
              <w:t>固态电池设备研发情况如何，公司具备哪些固态电池设备研发技术</w:t>
            </w:r>
          </w:p>
          <w:p w:rsidR="006C1C0E" w:rsidRPr="006C1C0E" w:rsidRDefault="006C1C0E" w:rsidP="00385380">
            <w:pPr>
              <w:spacing w:line="480" w:lineRule="atLeast"/>
              <w:ind w:firstLineChars="200" w:firstLine="482"/>
              <w:rPr>
                <w:rFonts w:asciiTheme="minorEastAsia" w:eastAsiaTheme="minorEastAsia" w:hAnsiTheme="minorEastAsia"/>
                <w:sz w:val="24"/>
                <w:szCs w:val="24"/>
              </w:rPr>
            </w:pPr>
            <w:r w:rsidRPr="006C1C0E">
              <w:rPr>
                <w:rFonts w:asciiTheme="minorEastAsia" w:eastAsiaTheme="minorEastAsia" w:hAnsiTheme="minorEastAsia" w:hint="eastAsia"/>
                <w:b/>
                <w:sz w:val="24"/>
                <w:szCs w:val="24"/>
              </w:rPr>
              <w:t>答：</w:t>
            </w:r>
            <w:r w:rsidR="00AD58AA" w:rsidRPr="00AD58AA">
              <w:rPr>
                <w:rFonts w:asciiTheme="minorEastAsia" w:eastAsiaTheme="minorEastAsia" w:hAnsiTheme="minorEastAsia" w:hint="eastAsia"/>
                <w:sz w:val="24"/>
                <w:szCs w:val="24"/>
              </w:rPr>
              <w:t>目前固态电池</w:t>
            </w:r>
            <w:r w:rsidR="0092787D">
              <w:rPr>
                <w:rFonts w:asciiTheme="minorEastAsia" w:eastAsiaTheme="minorEastAsia" w:hAnsiTheme="minorEastAsia" w:hint="eastAsia"/>
                <w:sz w:val="24"/>
                <w:szCs w:val="24"/>
              </w:rPr>
              <w:t>设备</w:t>
            </w:r>
            <w:r w:rsidR="00AD58AA" w:rsidRPr="00AD58AA">
              <w:rPr>
                <w:rFonts w:asciiTheme="minorEastAsia" w:eastAsiaTheme="minorEastAsia" w:hAnsiTheme="minorEastAsia" w:hint="eastAsia"/>
                <w:sz w:val="24"/>
                <w:szCs w:val="24"/>
              </w:rPr>
              <w:t>市场需求</w:t>
            </w:r>
            <w:r w:rsidR="0092787D">
              <w:rPr>
                <w:rFonts w:asciiTheme="minorEastAsia" w:eastAsiaTheme="minorEastAsia" w:hAnsiTheme="minorEastAsia" w:hint="eastAsia"/>
                <w:sz w:val="24"/>
                <w:szCs w:val="24"/>
              </w:rPr>
              <w:t>多</w:t>
            </w:r>
            <w:r w:rsidR="00AD58AA" w:rsidRPr="00AD58AA">
              <w:rPr>
                <w:rFonts w:asciiTheme="minorEastAsia" w:eastAsiaTheme="minorEastAsia" w:hAnsiTheme="minorEastAsia" w:hint="eastAsia"/>
                <w:sz w:val="24"/>
                <w:szCs w:val="24"/>
              </w:rPr>
              <w:t>以整线方案为主，单机设备如干法设备、软包叠片设备、高压化成分容设备等细分环节也受到关注。公司已打通全固态电池整线装备的制造工艺，已攻克包括电极干法涂布设备、电极辊压</w:t>
            </w:r>
            <w:r w:rsidR="00425B10">
              <w:rPr>
                <w:rFonts w:asciiTheme="minorEastAsia" w:eastAsiaTheme="minorEastAsia" w:hAnsiTheme="minorEastAsia" w:hint="eastAsia"/>
                <w:sz w:val="24"/>
                <w:szCs w:val="24"/>
              </w:rPr>
              <w:t>及</w:t>
            </w:r>
            <w:r w:rsidR="00AD58AA" w:rsidRPr="00AD58AA">
              <w:rPr>
                <w:rFonts w:asciiTheme="minorEastAsia" w:eastAsiaTheme="minorEastAsia" w:hAnsiTheme="minorEastAsia" w:hint="eastAsia"/>
                <w:sz w:val="24"/>
                <w:szCs w:val="24"/>
              </w:rPr>
              <w:t>电解质热复合一体机、胶框印刷</w:t>
            </w:r>
            <w:r w:rsidR="0075192F">
              <w:rPr>
                <w:rFonts w:asciiTheme="minorEastAsia" w:eastAsiaTheme="minorEastAsia" w:hAnsiTheme="minorEastAsia" w:hint="eastAsia"/>
                <w:sz w:val="24"/>
                <w:szCs w:val="24"/>
              </w:rPr>
              <w:t>及</w:t>
            </w:r>
            <w:r w:rsidR="00AD58AA" w:rsidRPr="00AD58AA">
              <w:rPr>
                <w:rFonts w:asciiTheme="minorEastAsia" w:eastAsiaTheme="minorEastAsia" w:hAnsiTheme="minorEastAsia" w:hint="eastAsia"/>
                <w:sz w:val="24"/>
                <w:szCs w:val="24"/>
              </w:rPr>
              <w:t>叠片一体机和高压化成分容</w:t>
            </w:r>
            <w:r w:rsidR="00425B10">
              <w:rPr>
                <w:rFonts w:asciiTheme="minorEastAsia" w:eastAsiaTheme="minorEastAsia" w:hAnsiTheme="minorEastAsia" w:hint="eastAsia"/>
                <w:sz w:val="24"/>
                <w:szCs w:val="24"/>
              </w:rPr>
              <w:t>设备</w:t>
            </w:r>
            <w:r w:rsidR="00AD58AA" w:rsidRPr="00AD58AA">
              <w:rPr>
                <w:rFonts w:asciiTheme="minorEastAsia" w:eastAsiaTheme="minorEastAsia" w:hAnsiTheme="minorEastAsia" w:hint="eastAsia"/>
                <w:sz w:val="24"/>
                <w:szCs w:val="24"/>
              </w:rPr>
              <w:t>等</w:t>
            </w:r>
            <w:r w:rsidR="00425B10">
              <w:rPr>
                <w:rFonts w:asciiTheme="minorEastAsia" w:eastAsiaTheme="minorEastAsia" w:hAnsiTheme="minorEastAsia" w:hint="eastAsia"/>
                <w:sz w:val="24"/>
                <w:szCs w:val="24"/>
              </w:rPr>
              <w:t>的关键技术</w:t>
            </w:r>
            <w:r w:rsidR="00AD58AA" w:rsidRPr="00AD58AA">
              <w:rPr>
                <w:rFonts w:asciiTheme="minorEastAsia" w:eastAsiaTheme="minorEastAsia" w:hAnsiTheme="minorEastAsia" w:hint="eastAsia"/>
                <w:sz w:val="24"/>
                <w:szCs w:val="24"/>
              </w:rPr>
              <w:t>，此外，公司搭建了具备</w:t>
            </w:r>
            <w:r w:rsidR="00C447C1">
              <w:rPr>
                <w:rFonts w:eastAsiaTheme="minorEastAsia"/>
                <w:sz w:val="24"/>
                <w:szCs w:val="24"/>
              </w:rPr>
              <w:t>-55</w:t>
            </w:r>
            <w:r w:rsidR="00AD58AA" w:rsidRPr="0039042B">
              <w:rPr>
                <w:rFonts w:eastAsiaTheme="minorEastAsia"/>
                <w:sz w:val="24"/>
                <w:szCs w:val="24"/>
              </w:rPr>
              <w:t>℃</w:t>
            </w:r>
            <w:r w:rsidR="00AD58AA" w:rsidRPr="00AD58AA">
              <w:rPr>
                <w:rFonts w:asciiTheme="minorEastAsia" w:eastAsiaTheme="minorEastAsia" w:hAnsiTheme="minorEastAsia" w:hint="eastAsia"/>
                <w:sz w:val="24"/>
                <w:szCs w:val="24"/>
              </w:rPr>
              <w:t>露点干燥环境的全固</w:t>
            </w:r>
            <w:r w:rsidR="00425B10">
              <w:rPr>
                <w:rFonts w:asciiTheme="minorEastAsia" w:eastAsiaTheme="minorEastAsia" w:hAnsiTheme="minorEastAsia" w:hint="eastAsia"/>
                <w:sz w:val="24"/>
                <w:szCs w:val="24"/>
              </w:rPr>
              <w:t>态实验室，并针对硫化物电池的防爆、防毒需求设计了三级防护体系</w:t>
            </w:r>
            <w:r w:rsidR="00AD58AA" w:rsidRPr="00AD58AA">
              <w:rPr>
                <w:rFonts w:asciiTheme="minorEastAsia" w:eastAsiaTheme="minorEastAsia" w:hAnsiTheme="minorEastAsia" w:hint="eastAsia"/>
                <w:sz w:val="24"/>
                <w:szCs w:val="24"/>
              </w:rPr>
              <w:t>，确保安全性与质量优先。</w:t>
            </w:r>
            <w:r w:rsidR="00C94A59" w:rsidRPr="00C94A59">
              <w:rPr>
                <w:rFonts w:asciiTheme="minorEastAsia" w:eastAsiaTheme="minorEastAsia" w:hAnsiTheme="minorEastAsia" w:hint="eastAsia"/>
                <w:sz w:val="24"/>
                <w:szCs w:val="24"/>
              </w:rPr>
              <w:t>市场拓展方面，公司已与多家潜在客户开展技术交流，同时单机设备如“干法设备”“</w:t>
            </w:r>
            <w:r w:rsidR="00C94A59">
              <w:rPr>
                <w:rFonts w:asciiTheme="minorEastAsia" w:eastAsiaTheme="minorEastAsia" w:hAnsiTheme="minorEastAsia" w:hint="eastAsia"/>
                <w:sz w:val="24"/>
                <w:szCs w:val="24"/>
              </w:rPr>
              <w:t>胶框印刷</w:t>
            </w:r>
            <w:r w:rsidR="00C94A59">
              <w:rPr>
                <w:rFonts w:asciiTheme="minorEastAsia" w:eastAsiaTheme="minorEastAsia" w:hAnsiTheme="minorEastAsia"/>
                <w:sz w:val="24"/>
                <w:szCs w:val="24"/>
              </w:rPr>
              <w:t>与</w:t>
            </w:r>
            <w:r w:rsidR="00C94A59" w:rsidRPr="00C94A59">
              <w:rPr>
                <w:rFonts w:asciiTheme="minorEastAsia" w:eastAsiaTheme="minorEastAsia" w:hAnsiTheme="minorEastAsia" w:hint="eastAsia"/>
                <w:sz w:val="24"/>
                <w:szCs w:val="24"/>
              </w:rPr>
              <w:t>叠片</w:t>
            </w:r>
            <w:r w:rsidR="00C94A59">
              <w:rPr>
                <w:rFonts w:asciiTheme="minorEastAsia" w:eastAsiaTheme="minorEastAsia" w:hAnsiTheme="minorEastAsia" w:hint="eastAsia"/>
                <w:sz w:val="24"/>
                <w:szCs w:val="24"/>
              </w:rPr>
              <w:t>设备</w:t>
            </w:r>
            <w:r w:rsidR="00C94A59" w:rsidRPr="00C94A59">
              <w:rPr>
                <w:rFonts w:asciiTheme="minorEastAsia" w:eastAsiaTheme="minorEastAsia" w:hAnsiTheme="minorEastAsia" w:hint="eastAsia"/>
                <w:sz w:val="24"/>
                <w:szCs w:val="24"/>
              </w:rPr>
              <w:t>”“高压化成分容</w:t>
            </w:r>
            <w:r w:rsidR="00C94A59">
              <w:rPr>
                <w:rFonts w:asciiTheme="minorEastAsia" w:eastAsiaTheme="minorEastAsia" w:hAnsiTheme="minorEastAsia" w:hint="eastAsia"/>
                <w:sz w:val="24"/>
                <w:szCs w:val="24"/>
              </w:rPr>
              <w:t>设备</w:t>
            </w:r>
            <w:r w:rsidR="00C94A59" w:rsidRPr="00C94A59">
              <w:rPr>
                <w:rFonts w:asciiTheme="minorEastAsia" w:eastAsiaTheme="minorEastAsia" w:hAnsiTheme="minorEastAsia" w:hint="eastAsia"/>
                <w:sz w:val="24"/>
                <w:szCs w:val="24"/>
              </w:rPr>
              <w:t>”等机型亦受</w:t>
            </w:r>
            <w:r w:rsidR="00C94A59" w:rsidRPr="00C94A59">
              <w:rPr>
                <w:rFonts w:asciiTheme="minorEastAsia" w:eastAsiaTheme="minorEastAsia" w:hAnsiTheme="minorEastAsia" w:hint="eastAsia"/>
                <w:sz w:val="24"/>
                <w:szCs w:val="24"/>
              </w:rPr>
              <w:lastRenderedPageBreak/>
              <w:t>市场关注，成为客户重点考察的细分环节。</w:t>
            </w:r>
          </w:p>
          <w:p w:rsidR="006C1C0E" w:rsidRPr="00C94A59" w:rsidRDefault="006C1C0E" w:rsidP="00385380">
            <w:pPr>
              <w:spacing w:line="480" w:lineRule="atLeast"/>
              <w:rPr>
                <w:rFonts w:asciiTheme="minorEastAsia" w:eastAsiaTheme="minorEastAsia" w:hAnsiTheme="minorEastAsia"/>
                <w:sz w:val="24"/>
                <w:szCs w:val="24"/>
              </w:rPr>
            </w:pPr>
          </w:p>
          <w:p w:rsidR="006C1C0E" w:rsidRPr="006C1C0E" w:rsidRDefault="006C1C0E" w:rsidP="00385380">
            <w:pPr>
              <w:spacing w:line="480" w:lineRule="atLeast"/>
              <w:ind w:firstLineChars="200" w:firstLine="482"/>
              <w:rPr>
                <w:rFonts w:asciiTheme="minorEastAsia" w:eastAsiaTheme="minorEastAsia" w:hAnsiTheme="minorEastAsia"/>
                <w:b/>
                <w:sz w:val="24"/>
                <w:szCs w:val="24"/>
              </w:rPr>
            </w:pPr>
            <w:r w:rsidRPr="006C1C0E">
              <w:rPr>
                <w:rFonts w:asciiTheme="minorEastAsia" w:eastAsiaTheme="minorEastAsia" w:hAnsiTheme="minorEastAsia" w:hint="eastAsia"/>
                <w:b/>
                <w:sz w:val="24"/>
                <w:szCs w:val="24"/>
              </w:rPr>
              <w:t>问题</w:t>
            </w:r>
            <w:r>
              <w:rPr>
                <w:rFonts w:asciiTheme="minorEastAsia" w:eastAsiaTheme="minorEastAsia" w:hAnsiTheme="minorEastAsia" w:hint="eastAsia"/>
                <w:b/>
                <w:sz w:val="24"/>
                <w:szCs w:val="24"/>
              </w:rPr>
              <w:t>三</w:t>
            </w:r>
            <w:r w:rsidRPr="006C1C0E">
              <w:rPr>
                <w:rFonts w:asciiTheme="minorEastAsia" w:eastAsiaTheme="minorEastAsia" w:hAnsiTheme="minorEastAsia" w:hint="eastAsia"/>
                <w:b/>
                <w:sz w:val="24"/>
                <w:szCs w:val="24"/>
              </w:rPr>
              <w:t>：</w:t>
            </w:r>
            <w:r w:rsidR="00AD58AA" w:rsidRPr="00AD58AA">
              <w:rPr>
                <w:rFonts w:asciiTheme="minorEastAsia" w:eastAsiaTheme="minorEastAsia" w:hAnsiTheme="minorEastAsia" w:hint="eastAsia"/>
                <w:b/>
                <w:sz w:val="24"/>
                <w:szCs w:val="24"/>
              </w:rPr>
              <w:t>公司近两年在手订单情况及今年新签订单情况？全年业绩展望如何？</w:t>
            </w:r>
          </w:p>
          <w:p w:rsidR="006C1C0E" w:rsidRPr="006C1C0E" w:rsidRDefault="006C1C0E" w:rsidP="00385380">
            <w:pPr>
              <w:spacing w:line="480" w:lineRule="atLeast"/>
              <w:ind w:firstLineChars="200" w:firstLine="482"/>
              <w:rPr>
                <w:rFonts w:asciiTheme="minorEastAsia" w:eastAsiaTheme="minorEastAsia" w:hAnsiTheme="minorEastAsia"/>
                <w:sz w:val="24"/>
                <w:szCs w:val="24"/>
              </w:rPr>
            </w:pPr>
            <w:r w:rsidRPr="006C1C0E">
              <w:rPr>
                <w:rFonts w:asciiTheme="minorEastAsia" w:eastAsiaTheme="minorEastAsia" w:hAnsiTheme="minorEastAsia" w:hint="eastAsia"/>
                <w:b/>
                <w:sz w:val="24"/>
                <w:szCs w:val="24"/>
              </w:rPr>
              <w:t>答：</w:t>
            </w:r>
            <w:r w:rsidR="00AD58AA" w:rsidRPr="00AD58AA">
              <w:rPr>
                <w:rFonts w:asciiTheme="minorEastAsia" w:eastAsiaTheme="minorEastAsia" w:hAnsiTheme="minorEastAsia" w:hint="eastAsia"/>
                <w:sz w:val="24"/>
                <w:szCs w:val="24"/>
              </w:rPr>
              <w:t>近两年，新能源下游行业在政策与技术迭代中经历深度调整，公司订单水平确有缩量。公司积极主动调整产品策略，立足消费锂电设备业务，聚焦动力锂电设备业务定制化程度高、竞争强度低、毛利率水平高的中后段工艺设备。截</w:t>
            </w:r>
            <w:r w:rsidR="00AD58AA" w:rsidRPr="00A7441E">
              <w:rPr>
                <w:rFonts w:eastAsiaTheme="minorEastAsia"/>
                <w:sz w:val="24"/>
                <w:szCs w:val="24"/>
              </w:rPr>
              <w:t>至</w:t>
            </w:r>
            <w:r w:rsidR="00AD58AA" w:rsidRPr="00A7441E">
              <w:rPr>
                <w:rFonts w:eastAsiaTheme="minorEastAsia"/>
                <w:sz w:val="24"/>
                <w:szCs w:val="24"/>
              </w:rPr>
              <w:t>2025</w:t>
            </w:r>
            <w:r w:rsidR="00AD58AA" w:rsidRPr="00A7441E">
              <w:rPr>
                <w:rFonts w:eastAsiaTheme="minorEastAsia"/>
                <w:sz w:val="24"/>
                <w:szCs w:val="24"/>
              </w:rPr>
              <w:t>年</w:t>
            </w:r>
            <w:r w:rsidR="00AD58AA" w:rsidRPr="00A7441E">
              <w:rPr>
                <w:rFonts w:eastAsiaTheme="minorEastAsia"/>
                <w:sz w:val="24"/>
                <w:szCs w:val="24"/>
              </w:rPr>
              <w:t>5</w:t>
            </w:r>
            <w:r w:rsidR="00AD58AA" w:rsidRPr="00AD58AA">
              <w:rPr>
                <w:rFonts w:asciiTheme="minorEastAsia" w:eastAsiaTheme="minorEastAsia" w:hAnsiTheme="minorEastAsia" w:hint="eastAsia"/>
                <w:sz w:val="24"/>
                <w:szCs w:val="24"/>
              </w:rPr>
              <w:t>月末，在手订单金额达</w:t>
            </w:r>
            <w:r w:rsidR="00AD58AA" w:rsidRPr="0039042B">
              <w:rPr>
                <w:rFonts w:eastAsiaTheme="minorEastAsia"/>
                <w:sz w:val="24"/>
                <w:szCs w:val="24"/>
              </w:rPr>
              <w:t>49.21</w:t>
            </w:r>
            <w:r w:rsidR="00AD58AA" w:rsidRPr="0039042B">
              <w:rPr>
                <w:rFonts w:eastAsiaTheme="minorEastAsia"/>
                <w:sz w:val="24"/>
                <w:szCs w:val="24"/>
              </w:rPr>
              <w:t>亿元，其中消费电子行业的复苏带动公司消费锂电设备业务回暖，公司消费锂电设备业务在手订单占比达</w:t>
            </w:r>
            <w:r w:rsidR="00AD58AA" w:rsidRPr="0039042B">
              <w:rPr>
                <w:rFonts w:eastAsiaTheme="minorEastAsia"/>
                <w:sz w:val="24"/>
                <w:szCs w:val="24"/>
              </w:rPr>
              <w:t>32.21%</w:t>
            </w:r>
            <w:r w:rsidR="00AD58AA" w:rsidRPr="0039042B">
              <w:rPr>
                <w:rFonts w:eastAsiaTheme="minorEastAsia"/>
                <w:sz w:val="24"/>
                <w:szCs w:val="24"/>
              </w:rPr>
              <w:t>，业已恢复至正常水平；智能仓储业务在手订单自上年同期</w:t>
            </w:r>
            <w:r w:rsidR="00AD58AA" w:rsidRPr="0039042B">
              <w:rPr>
                <w:rFonts w:eastAsiaTheme="minorEastAsia"/>
                <w:sz w:val="24"/>
                <w:szCs w:val="24"/>
              </w:rPr>
              <w:t>0.6</w:t>
            </w:r>
            <w:r w:rsidR="00AD58AA" w:rsidRPr="0039042B">
              <w:rPr>
                <w:rFonts w:eastAsiaTheme="minorEastAsia"/>
                <w:sz w:val="24"/>
                <w:szCs w:val="24"/>
              </w:rPr>
              <w:t>亿元增长至</w:t>
            </w:r>
            <w:r w:rsidR="00AD58AA" w:rsidRPr="0039042B">
              <w:rPr>
                <w:rFonts w:eastAsiaTheme="minorEastAsia"/>
                <w:sz w:val="24"/>
                <w:szCs w:val="24"/>
              </w:rPr>
              <w:t>6.5</w:t>
            </w:r>
            <w:r w:rsidR="00AD58AA" w:rsidRPr="0039042B">
              <w:rPr>
                <w:rFonts w:eastAsiaTheme="minorEastAsia"/>
                <w:sz w:val="24"/>
                <w:szCs w:val="24"/>
              </w:rPr>
              <w:t>亿元。目前公司在手订单主要来自国内外知名锂电池厂商，经营情况良好且订单量较为稳定，将为公司</w:t>
            </w:r>
            <w:r w:rsidR="00AD58AA" w:rsidRPr="0039042B">
              <w:rPr>
                <w:rFonts w:eastAsiaTheme="minorEastAsia"/>
                <w:sz w:val="24"/>
                <w:szCs w:val="24"/>
              </w:rPr>
              <w:t>2025</w:t>
            </w:r>
            <w:r w:rsidR="00AD58AA" w:rsidRPr="00AD58AA">
              <w:rPr>
                <w:rFonts w:asciiTheme="minorEastAsia" w:eastAsiaTheme="minorEastAsia" w:hAnsiTheme="minorEastAsia" w:hint="eastAsia"/>
                <w:sz w:val="24"/>
                <w:szCs w:val="24"/>
              </w:rPr>
              <w:t>年经营改善奠定基础。随着公司不断进行技术降本与运营提效，下游动力锂电行业调整，以及公司客户结构的改善和管理成本下降等，公司预计毛利率水平有望企稳，经营业绩逐步回归正常水平。</w:t>
            </w:r>
          </w:p>
          <w:p w:rsidR="006C1C0E" w:rsidRPr="006C1C0E" w:rsidRDefault="006C1C0E" w:rsidP="00385380">
            <w:pPr>
              <w:spacing w:line="480" w:lineRule="atLeast"/>
              <w:rPr>
                <w:rFonts w:asciiTheme="minorEastAsia" w:eastAsiaTheme="minorEastAsia" w:hAnsiTheme="minorEastAsia"/>
                <w:sz w:val="24"/>
                <w:szCs w:val="24"/>
              </w:rPr>
            </w:pPr>
          </w:p>
          <w:p w:rsidR="006C1C0E" w:rsidRPr="006C1C0E" w:rsidRDefault="006C1C0E" w:rsidP="00385380">
            <w:pPr>
              <w:spacing w:line="480" w:lineRule="atLeast"/>
              <w:ind w:firstLineChars="200" w:firstLine="482"/>
              <w:rPr>
                <w:rFonts w:asciiTheme="minorEastAsia" w:eastAsiaTheme="minorEastAsia" w:hAnsiTheme="minorEastAsia"/>
                <w:b/>
                <w:sz w:val="24"/>
                <w:szCs w:val="24"/>
              </w:rPr>
            </w:pPr>
            <w:r w:rsidRPr="006C1C0E">
              <w:rPr>
                <w:rFonts w:asciiTheme="minorEastAsia" w:eastAsiaTheme="minorEastAsia" w:hAnsiTheme="minorEastAsia" w:hint="eastAsia"/>
                <w:b/>
                <w:sz w:val="24"/>
                <w:szCs w:val="24"/>
              </w:rPr>
              <w:t>问题</w:t>
            </w:r>
            <w:r>
              <w:rPr>
                <w:rFonts w:asciiTheme="minorEastAsia" w:eastAsiaTheme="minorEastAsia" w:hAnsiTheme="minorEastAsia" w:hint="eastAsia"/>
                <w:b/>
                <w:sz w:val="24"/>
                <w:szCs w:val="24"/>
              </w:rPr>
              <w:t>四</w:t>
            </w:r>
            <w:r w:rsidRPr="006C1C0E">
              <w:rPr>
                <w:rFonts w:asciiTheme="minorEastAsia" w:eastAsiaTheme="minorEastAsia" w:hAnsiTheme="minorEastAsia" w:hint="eastAsia"/>
                <w:b/>
                <w:sz w:val="24"/>
                <w:szCs w:val="24"/>
              </w:rPr>
              <w:t>：</w:t>
            </w:r>
            <w:r w:rsidR="00AD58AA" w:rsidRPr="00AD58AA">
              <w:rPr>
                <w:rFonts w:asciiTheme="minorEastAsia" w:eastAsiaTheme="minorEastAsia" w:hAnsiTheme="minorEastAsia" w:hint="eastAsia"/>
                <w:b/>
                <w:sz w:val="24"/>
                <w:szCs w:val="24"/>
              </w:rPr>
              <w:t>公司海外项目及客户布局如何？</w:t>
            </w:r>
          </w:p>
          <w:p w:rsidR="006C1C0E" w:rsidRPr="006C1C0E" w:rsidRDefault="006C1C0E" w:rsidP="00385380">
            <w:pPr>
              <w:spacing w:line="480" w:lineRule="atLeast"/>
              <w:ind w:firstLineChars="200" w:firstLine="482"/>
              <w:rPr>
                <w:rFonts w:asciiTheme="minorEastAsia" w:eastAsiaTheme="minorEastAsia" w:hAnsiTheme="minorEastAsia"/>
                <w:sz w:val="24"/>
                <w:szCs w:val="24"/>
              </w:rPr>
            </w:pPr>
            <w:r w:rsidRPr="006C1C0E">
              <w:rPr>
                <w:rFonts w:asciiTheme="minorEastAsia" w:eastAsiaTheme="minorEastAsia" w:hAnsiTheme="minorEastAsia" w:hint="eastAsia"/>
                <w:b/>
                <w:sz w:val="24"/>
                <w:szCs w:val="24"/>
              </w:rPr>
              <w:t>答：</w:t>
            </w:r>
            <w:r w:rsidR="00AD58AA" w:rsidRPr="00AD58AA">
              <w:rPr>
                <w:rFonts w:asciiTheme="minorEastAsia" w:eastAsiaTheme="minorEastAsia" w:hAnsiTheme="minorEastAsia" w:hint="eastAsia"/>
                <w:sz w:val="24"/>
                <w:szCs w:val="24"/>
              </w:rPr>
              <w:t>公司海外布局持续积极推进，已在德国、波兰、美国等地设立分子公司及制造基地，重点配合客户海外项目落地并拓展本土客户需求，在亚洲的越南、印尼、韩国、印度及欧洲区域的德国、匈牙利、捷克、波兰等国家落地相关项目。同时，公司持续深化与国内客户出海项目对接，积极参与国际展会提升全球品牌影响力，未来将依托现有研发、制造及服务体系，强化全球配套能力，进一步响应“一带一路”沿线及其他海外客户的多元化需求，强化全球化布局优势。</w:t>
            </w:r>
          </w:p>
          <w:p w:rsidR="006C1C0E" w:rsidRDefault="006C1C0E" w:rsidP="00385380">
            <w:pPr>
              <w:spacing w:line="480" w:lineRule="atLeast"/>
              <w:rPr>
                <w:rFonts w:asciiTheme="minorEastAsia" w:eastAsiaTheme="minorEastAsia" w:hAnsiTheme="minorEastAsia"/>
                <w:sz w:val="24"/>
                <w:szCs w:val="24"/>
              </w:rPr>
            </w:pPr>
          </w:p>
          <w:p w:rsidR="006C1C0E" w:rsidRPr="006C1C0E" w:rsidRDefault="006C1C0E" w:rsidP="00385380">
            <w:pPr>
              <w:spacing w:line="480" w:lineRule="atLeast"/>
              <w:ind w:firstLineChars="200" w:firstLine="482"/>
              <w:rPr>
                <w:rFonts w:asciiTheme="minorEastAsia" w:eastAsiaTheme="minorEastAsia" w:hAnsiTheme="minorEastAsia"/>
                <w:b/>
                <w:sz w:val="24"/>
                <w:szCs w:val="24"/>
              </w:rPr>
            </w:pPr>
            <w:r w:rsidRPr="006C1C0E">
              <w:rPr>
                <w:rFonts w:asciiTheme="minorEastAsia" w:eastAsiaTheme="minorEastAsia" w:hAnsiTheme="minorEastAsia" w:hint="eastAsia"/>
                <w:b/>
                <w:sz w:val="24"/>
                <w:szCs w:val="24"/>
              </w:rPr>
              <w:t>问题</w:t>
            </w:r>
            <w:r>
              <w:rPr>
                <w:rFonts w:asciiTheme="minorEastAsia" w:eastAsiaTheme="minorEastAsia" w:hAnsiTheme="minorEastAsia" w:hint="eastAsia"/>
                <w:b/>
                <w:sz w:val="24"/>
                <w:szCs w:val="24"/>
              </w:rPr>
              <w:t>五</w:t>
            </w:r>
            <w:r w:rsidRPr="006C1C0E">
              <w:rPr>
                <w:rFonts w:asciiTheme="minorEastAsia" w:eastAsiaTheme="minorEastAsia" w:hAnsiTheme="minorEastAsia" w:hint="eastAsia"/>
                <w:b/>
                <w:sz w:val="24"/>
                <w:szCs w:val="24"/>
              </w:rPr>
              <w:t>：</w:t>
            </w:r>
            <w:r w:rsidR="00AD58AA" w:rsidRPr="00AD58AA">
              <w:rPr>
                <w:rFonts w:asciiTheme="minorEastAsia" w:eastAsiaTheme="minorEastAsia" w:hAnsiTheme="minorEastAsia" w:hint="eastAsia"/>
                <w:b/>
                <w:sz w:val="24"/>
                <w:szCs w:val="24"/>
              </w:rPr>
              <w:t>公司如何面对行业竞争，保证自身的核心竞争力？</w:t>
            </w:r>
          </w:p>
          <w:p w:rsidR="006C1C0E" w:rsidRPr="006C1C0E" w:rsidRDefault="006C1C0E" w:rsidP="00385380">
            <w:pPr>
              <w:spacing w:line="480" w:lineRule="atLeast"/>
              <w:ind w:firstLineChars="200" w:firstLine="482"/>
              <w:rPr>
                <w:rFonts w:asciiTheme="minorEastAsia" w:eastAsiaTheme="minorEastAsia" w:hAnsiTheme="minorEastAsia"/>
                <w:sz w:val="24"/>
                <w:szCs w:val="24"/>
              </w:rPr>
            </w:pPr>
            <w:r w:rsidRPr="006C1C0E">
              <w:rPr>
                <w:rFonts w:asciiTheme="minorEastAsia" w:eastAsiaTheme="minorEastAsia" w:hAnsiTheme="minorEastAsia" w:hint="eastAsia"/>
                <w:b/>
                <w:sz w:val="24"/>
                <w:szCs w:val="24"/>
              </w:rPr>
              <w:t>答：</w:t>
            </w:r>
            <w:r w:rsidR="00AD58AA" w:rsidRPr="00AD58AA">
              <w:rPr>
                <w:rFonts w:asciiTheme="minorEastAsia" w:eastAsiaTheme="minorEastAsia" w:hAnsiTheme="minorEastAsia" w:hint="eastAsia"/>
                <w:sz w:val="24"/>
                <w:szCs w:val="24"/>
              </w:rPr>
              <w:t>公司面对行业竞争，始终将技术创新作为核心驱动力，通</w:t>
            </w:r>
            <w:r w:rsidR="00AD58AA" w:rsidRPr="00AD58AA">
              <w:rPr>
                <w:rFonts w:asciiTheme="minorEastAsia" w:eastAsiaTheme="minorEastAsia" w:hAnsiTheme="minorEastAsia" w:hint="eastAsia"/>
                <w:sz w:val="24"/>
                <w:szCs w:val="24"/>
              </w:rPr>
              <w:lastRenderedPageBreak/>
              <w:t>过多维度战略确保核心竞争力。首先，公司持续加大研发投入</w:t>
            </w:r>
            <w:r w:rsidR="00AD58AA" w:rsidRPr="0039042B">
              <w:rPr>
                <w:rFonts w:eastAsiaTheme="minorEastAsia"/>
                <w:sz w:val="24"/>
                <w:szCs w:val="24"/>
              </w:rPr>
              <w:t>，</w:t>
            </w:r>
            <w:r w:rsidR="00AD58AA" w:rsidRPr="0039042B">
              <w:rPr>
                <w:rFonts w:eastAsiaTheme="minorEastAsia"/>
                <w:sz w:val="24"/>
                <w:szCs w:val="24"/>
              </w:rPr>
              <w:t>2024</w:t>
            </w:r>
            <w:r w:rsidR="00AD58AA" w:rsidRPr="0039042B">
              <w:rPr>
                <w:rFonts w:eastAsiaTheme="minorEastAsia"/>
                <w:sz w:val="24"/>
                <w:szCs w:val="24"/>
              </w:rPr>
              <w:t>年研发投入占营业收入的比例达</w:t>
            </w:r>
            <w:r w:rsidR="00AD58AA" w:rsidRPr="0039042B">
              <w:rPr>
                <w:rFonts w:eastAsiaTheme="minorEastAsia"/>
                <w:sz w:val="24"/>
                <w:szCs w:val="24"/>
              </w:rPr>
              <w:t>13.55%</w:t>
            </w:r>
            <w:r w:rsidR="00AD58AA" w:rsidRPr="0039042B">
              <w:rPr>
                <w:rFonts w:eastAsiaTheme="minorEastAsia"/>
                <w:sz w:val="24"/>
                <w:szCs w:val="24"/>
              </w:rPr>
              <w:t>，新增知识产权</w:t>
            </w:r>
            <w:r w:rsidR="00AD58AA" w:rsidRPr="0039042B">
              <w:rPr>
                <w:rFonts w:eastAsiaTheme="minorEastAsia"/>
                <w:sz w:val="24"/>
                <w:szCs w:val="24"/>
              </w:rPr>
              <w:t>287</w:t>
            </w:r>
            <w:r w:rsidR="00AD58AA" w:rsidRPr="0039042B">
              <w:rPr>
                <w:rFonts w:eastAsiaTheme="minorEastAsia"/>
                <w:sz w:val="24"/>
                <w:szCs w:val="24"/>
              </w:rPr>
              <w:t>项，其中发明专利</w:t>
            </w:r>
            <w:r w:rsidR="00AD58AA" w:rsidRPr="0039042B">
              <w:rPr>
                <w:rFonts w:eastAsiaTheme="minorEastAsia"/>
                <w:sz w:val="24"/>
                <w:szCs w:val="24"/>
              </w:rPr>
              <w:t>130</w:t>
            </w:r>
            <w:r w:rsidR="00AD58AA" w:rsidRPr="0039042B">
              <w:rPr>
                <w:rFonts w:eastAsiaTheme="minorEastAsia"/>
                <w:sz w:val="24"/>
                <w:szCs w:val="24"/>
              </w:rPr>
              <w:t>项，</w:t>
            </w:r>
            <w:r w:rsidR="00AD58AA" w:rsidRPr="00AD58AA">
              <w:rPr>
                <w:rFonts w:asciiTheme="minorEastAsia" w:eastAsiaTheme="minorEastAsia" w:hAnsiTheme="minorEastAsia" w:hint="eastAsia"/>
                <w:sz w:val="24"/>
                <w:szCs w:val="24"/>
              </w:rPr>
              <w:t>并构建了覆盖新能源智能装备的全链条产品布局，推出数智整厂解决方案，以数字化技术驱动软硬件协同。其次，依托完善的研发体系金字塔，在固态电池、检测技术及智能制造领域实现多项里程碑式突破，攻克固态电池干法电极</w:t>
            </w:r>
            <w:r w:rsidR="00AD58AA" w:rsidRPr="0039042B">
              <w:rPr>
                <w:rFonts w:eastAsiaTheme="minorEastAsia"/>
                <w:sz w:val="24"/>
                <w:szCs w:val="24"/>
              </w:rPr>
              <w:t>、</w:t>
            </w:r>
            <w:r w:rsidR="00AD58AA" w:rsidRPr="0039042B">
              <w:rPr>
                <w:rFonts w:eastAsiaTheme="minorEastAsia"/>
                <w:sz w:val="24"/>
                <w:szCs w:val="24"/>
              </w:rPr>
              <w:t>EIS</w:t>
            </w:r>
            <w:r w:rsidR="00AD58AA" w:rsidRPr="0039042B">
              <w:rPr>
                <w:rFonts w:eastAsiaTheme="minorEastAsia"/>
                <w:sz w:val="24"/>
                <w:szCs w:val="24"/>
              </w:rPr>
              <w:t>缺陷检测等关键技术，缩短电池老化检测时间；此外，公司聚焦大客户战略，深化与核心客户的合作，提供涵盖智能仓储、智慧整厂的软硬件</w:t>
            </w:r>
            <w:r w:rsidR="00AD58AA" w:rsidRPr="0039042B">
              <w:rPr>
                <w:rFonts w:eastAsiaTheme="minorEastAsia"/>
                <w:sz w:val="24"/>
                <w:szCs w:val="24"/>
              </w:rPr>
              <w:t>+AI</w:t>
            </w:r>
            <w:r w:rsidR="00AD58AA" w:rsidRPr="0039042B">
              <w:rPr>
                <w:rFonts w:eastAsiaTheme="minorEastAsia"/>
                <w:sz w:val="24"/>
                <w:szCs w:val="24"/>
              </w:rPr>
              <w:t>解</w:t>
            </w:r>
            <w:r w:rsidR="00AD58AA" w:rsidRPr="00AD58AA">
              <w:rPr>
                <w:rFonts w:asciiTheme="minorEastAsia" w:eastAsiaTheme="minorEastAsia" w:hAnsiTheme="minorEastAsia" w:hint="eastAsia"/>
                <w:sz w:val="24"/>
                <w:szCs w:val="24"/>
              </w:rPr>
              <w:t>决方案，同时加速海外布局，依托欧美亚项目经验拓展东南亚等增量市场。在人才方面，公司实施“人才强企”战略，通过股权激励和职业发展通道吸引算法、视觉、光学等领域的高端人才，筑牢技术根基。通过技术创新、市场拓展与人才战略的协同，公司持续巩固行业领先地位，为高质量发展注入动能。</w:t>
            </w:r>
          </w:p>
          <w:p w:rsidR="006C1C0E" w:rsidRPr="006C1C0E" w:rsidRDefault="006C1C0E" w:rsidP="00385380">
            <w:pPr>
              <w:spacing w:line="480" w:lineRule="atLeast"/>
              <w:rPr>
                <w:rFonts w:asciiTheme="minorEastAsia" w:eastAsiaTheme="minorEastAsia" w:hAnsiTheme="minorEastAsia"/>
                <w:sz w:val="24"/>
                <w:szCs w:val="24"/>
              </w:rPr>
            </w:pPr>
          </w:p>
          <w:p w:rsidR="006C1C0E" w:rsidRPr="006C1C0E" w:rsidRDefault="006C1C0E" w:rsidP="00385380">
            <w:pPr>
              <w:spacing w:line="480" w:lineRule="atLeast"/>
              <w:ind w:firstLineChars="200" w:firstLine="482"/>
              <w:rPr>
                <w:rFonts w:asciiTheme="minorEastAsia" w:eastAsiaTheme="minorEastAsia" w:hAnsiTheme="minorEastAsia"/>
                <w:b/>
                <w:sz w:val="24"/>
                <w:szCs w:val="24"/>
              </w:rPr>
            </w:pPr>
            <w:r w:rsidRPr="006C1C0E">
              <w:rPr>
                <w:rFonts w:asciiTheme="minorEastAsia" w:eastAsiaTheme="minorEastAsia" w:hAnsiTheme="minorEastAsia" w:hint="eastAsia"/>
                <w:b/>
                <w:sz w:val="24"/>
                <w:szCs w:val="24"/>
              </w:rPr>
              <w:t>问题</w:t>
            </w:r>
            <w:r>
              <w:rPr>
                <w:rFonts w:asciiTheme="minorEastAsia" w:eastAsiaTheme="minorEastAsia" w:hAnsiTheme="minorEastAsia" w:hint="eastAsia"/>
                <w:b/>
                <w:sz w:val="24"/>
                <w:szCs w:val="24"/>
              </w:rPr>
              <w:t>六</w:t>
            </w:r>
            <w:r w:rsidRPr="006C1C0E">
              <w:rPr>
                <w:rFonts w:asciiTheme="minorEastAsia" w:eastAsiaTheme="minorEastAsia" w:hAnsiTheme="minorEastAsia" w:hint="eastAsia"/>
                <w:b/>
                <w:sz w:val="24"/>
                <w:szCs w:val="24"/>
              </w:rPr>
              <w:t>：</w:t>
            </w:r>
            <w:r w:rsidR="00AD58AA" w:rsidRPr="00AD58AA">
              <w:rPr>
                <w:rFonts w:asciiTheme="minorEastAsia" w:eastAsiaTheme="minorEastAsia" w:hAnsiTheme="minorEastAsia" w:hint="eastAsia"/>
                <w:b/>
                <w:sz w:val="24"/>
                <w:szCs w:val="24"/>
              </w:rPr>
              <w:t>如何看待行业内产业链并购前景？</w:t>
            </w:r>
          </w:p>
          <w:p w:rsidR="006C1C0E" w:rsidRPr="006C1C0E" w:rsidRDefault="006C1C0E" w:rsidP="00385380">
            <w:pPr>
              <w:spacing w:line="480" w:lineRule="atLeast"/>
              <w:ind w:firstLineChars="200" w:firstLine="482"/>
              <w:rPr>
                <w:rFonts w:asciiTheme="minorEastAsia" w:eastAsiaTheme="minorEastAsia" w:hAnsiTheme="minorEastAsia"/>
                <w:sz w:val="24"/>
                <w:szCs w:val="24"/>
              </w:rPr>
            </w:pPr>
            <w:r w:rsidRPr="006C1C0E">
              <w:rPr>
                <w:rFonts w:asciiTheme="minorEastAsia" w:eastAsiaTheme="minorEastAsia" w:hAnsiTheme="minorEastAsia" w:hint="eastAsia"/>
                <w:b/>
                <w:sz w:val="24"/>
                <w:szCs w:val="24"/>
              </w:rPr>
              <w:t>答：</w:t>
            </w:r>
            <w:r w:rsidR="00AD58AA" w:rsidRPr="00AD58AA">
              <w:rPr>
                <w:rFonts w:asciiTheme="minorEastAsia" w:eastAsiaTheme="minorEastAsia" w:hAnsiTheme="minorEastAsia" w:hint="eastAsia"/>
                <w:sz w:val="24"/>
                <w:szCs w:val="24"/>
              </w:rPr>
              <w:t>当前，新能源行业正处于技术快速迭代与结构性调整的关键阶段。在锂电领域，新技术路线的突破正在创造市场增量，同时储能领域与算力经济的深度融合催生出数据中心储能新增长极。</w:t>
            </w:r>
            <w:r w:rsidR="000E7241">
              <w:rPr>
                <w:rFonts w:asciiTheme="minorEastAsia" w:eastAsiaTheme="minorEastAsia" w:hAnsiTheme="minorEastAsia" w:hint="eastAsia"/>
                <w:sz w:val="24"/>
                <w:szCs w:val="24"/>
              </w:rPr>
              <w:t>同时</w:t>
            </w:r>
            <w:r w:rsidR="00AD58AA" w:rsidRPr="00AD58AA">
              <w:rPr>
                <w:rFonts w:asciiTheme="minorEastAsia" w:eastAsiaTheme="minorEastAsia" w:hAnsiTheme="minorEastAsia" w:hint="eastAsia"/>
                <w:sz w:val="24"/>
                <w:szCs w:val="24"/>
              </w:rPr>
              <w:t>行业主管部门正通过能耗、碳排放等指标构建产能出清机制，这或将推动具备技术优势的企业通过并购实现落后产能的集约化改造。</w:t>
            </w:r>
          </w:p>
          <w:p w:rsidR="006C1C0E" w:rsidRDefault="006C1C0E" w:rsidP="00385380">
            <w:pPr>
              <w:spacing w:line="480" w:lineRule="atLeast"/>
              <w:rPr>
                <w:rFonts w:asciiTheme="minorEastAsia" w:eastAsiaTheme="minorEastAsia" w:hAnsiTheme="minorEastAsia"/>
                <w:sz w:val="24"/>
                <w:szCs w:val="24"/>
              </w:rPr>
            </w:pPr>
          </w:p>
          <w:p w:rsidR="006C1C0E" w:rsidRPr="006C1C0E" w:rsidRDefault="006C1C0E" w:rsidP="00385380">
            <w:pPr>
              <w:spacing w:line="480" w:lineRule="atLeast"/>
              <w:ind w:firstLineChars="200" w:firstLine="482"/>
              <w:rPr>
                <w:rFonts w:asciiTheme="minorEastAsia" w:eastAsiaTheme="minorEastAsia" w:hAnsiTheme="minorEastAsia"/>
                <w:b/>
                <w:sz w:val="24"/>
                <w:szCs w:val="24"/>
              </w:rPr>
            </w:pPr>
            <w:r w:rsidRPr="006C1C0E">
              <w:rPr>
                <w:rFonts w:asciiTheme="minorEastAsia" w:eastAsiaTheme="minorEastAsia" w:hAnsiTheme="minorEastAsia" w:hint="eastAsia"/>
                <w:b/>
                <w:sz w:val="24"/>
                <w:szCs w:val="24"/>
              </w:rPr>
              <w:t>问题</w:t>
            </w:r>
            <w:r>
              <w:rPr>
                <w:rFonts w:asciiTheme="minorEastAsia" w:eastAsiaTheme="minorEastAsia" w:hAnsiTheme="minorEastAsia" w:hint="eastAsia"/>
                <w:b/>
                <w:sz w:val="24"/>
                <w:szCs w:val="24"/>
              </w:rPr>
              <w:t>七</w:t>
            </w:r>
            <w:r w:rsidRPr="006C1C0E">
              <w:rPr>
                <w:rFonts w:asciiTheme="minorEastAsia" w:eastAsiaTheme="minorEastAsia" w:hAnsiTheme="minorEastAsia" w:hint="eastAsia"/>
                <w:b/>
                <w:sz w:val="24"/>
                <w:szCs w:val="24"/>
              </w:rPr>
              <w:t>：</w:t>
            </w:r>
            <w:r w:rsidR="00AD58AA" w:rsidRPr="00AD58AA">
              <w:rPr>
                <w:rFonts w:asciiTheme="minorEastAsia" w:eastAsiaTheme="minorEastAsia" w:hAnsiTheme="minorEastAsia" w:hint="eastAsia"/>
                <w:b/>
                <w:sz w:val="24"/>
                <w:szCs w:val="24"/>
              </w:rPr>
              <w:t>公司固态电池设备的技术优势？目前固态电池技术难点在哪里？产业化进程如何？目前订单进展如何？</w:t>
            </w:r>
          </w:p>
          <w:p w:rsidR="006C1C0E" w:rsidRPr="00AD58AA" w:rsidRDefault="006C1C0E" w:rsidP="00385380">
            <w:pPr>
              <w:spacing w:line="480" w:lineRule="atLeast"/>
              <w:ind w:firstLineChars="200" w:firstLine="482"/>
              <w:rPr>
                <w:rFonts w:asciiTheme="minorEastAsia" w:eastAsiaTheme="minorEastAsia" w:hAnsiTheme="minorEastAsia"/>
                <w:sz w:val="24"/>
                <w:szCs w:val="24"/>
              </w:rPr>
            </w:pPr>
            <w:r w:rsidRPr="006C1C0E">
              <w:rPr>
                <w:rFonts w:asciiTheme="minorEastAsia" w:eastAsiaTheme="minorEastAsia" w:hAnsiTheme="minorEastAsia" w:hint="eastAsia"/>
                <w:b/>
                <w:sz w:val="24"/>
                <w:szCs w:val="24"/>
              </w:rPr>
              <w:t>答：</w:t>
            </w:r>
            <w:r w:rsidR="00AD58AA" w:rsidRPr="00AD58AA">
              <w:rPr>
                <w:rFonts w:asciiTheme="minorEastAsia" w:eastAsiaTheme="minorEastAsia" w:hAnsiTheme="minorEastAsia" w:hint="eastAsia"/>
                <w:sz w:val="24"/>
                <w:szCs w:val="24"/>
              </w:rPr>
              <w:t>公司固态电池技术能够深度结合客户应用场景及产品需求，提供覆盖电极制备、电解质</w:t>
            </w:r>
            <w:r w:rsidR="0075192F">
              <w:rPr>
                <w:rFonts w:asciiTheme="minorEastAsia" w:eastAsiaTheme="minorEastAsia" w:hAnsiTheme="minorEastAsia" w:hint="eastAsia"/>
                <w:sz w:val="24"/>
                <w:szCs w:val="24"/>
              </w:rPr>
              <w:t>压制转印</w:t>
            </w:r>
            <w:r w:rsidR="00AD58AA" w:rsidRPr="00AD58AA">
              <w:rPr>
                <w:rFonts w:asciiTheme="minorEastAsia" w:eastAsiaTheme="minorEastAsia" w:hAnsiTheme="minorEastAsia" w:hint="eastAsia"/>
                <w:sz w:val="24"/>
                <w:szCs w:val="24"/>
              </w:rPr>
              <w:t>、高压化成等核心工艺的已验证设备方案，具备从单机设备到全固态电池整线解决方案的定制能力，是国内少数实现固态电池特有安全管控与全流程工艺落地的设备供应商，在设备交互设计、工艺适配性和技术前瞻性方面处</w:t>
            </w:r>
            <w:r w:rsidR="002F5A23">
              <w:rPr>
                <w:rFonts w:asciiTheme="minorEastAsia" w:eastAsiaTheme="minorEastAsia" w:hAnsiTheme="minorEastAsia" w:hint="eastAsia"/>
                <w:sz w:val="24"/>
                <w:szCs w:val="24"/>
              </w:rPr>
              <w:lastRenderedPageBreak/>
              <w:t>于行业领先地位。公司已实现固态电池</w:t>
            </w:r>
            <w:r w:rsidR="00AD58AA" w:rsidRPr="00AD58AA">
              <w:rPr>
                <w:rFonts w:asciiTheme="minorEastAsia" w:eastAsiaTheme="minorEastAsia" w:hAnsiTheme="minorEastAsia" w:hint="eastAsia"/>
                <w:sz w:val="24"/>
                <w:szCs w:val="24"/>
              </w:rPr>
              <w:t>工艺全线覆盖，并攻克了高压致密化工艺、电解质和极片复合工艺、封装工艺和高压化成等关键技术和工艺</w:t>
            </w:r>
            <w:r w:rsidR="002F5A23">
              <w:rPr>
                <w:rFonts w:asciiTheme="minorEastAsia" w:eastAsiaTheme="minorEastAsia" w:hAnsiTheme="minorEastAsia" w:hint="eastAsia"/>
                <w:sz w:val="24"/>
                <w:szCs w:val="24"/>
              </w:rPr>
              <w:t>。目前，固态电池产业化正从实验室迈向工程量产阶段，但是仍面临</w:t>
            </w:r>
            <w:r w:rsidR="00AD58AA" w:rsidRPr="00AD58AA">
              <w:rPr>
                <w:rFonts w:asciiTheme="minorEastAsia" w:eastAsiaTheme="minorEastAsia" w:hAnsiTheme="minorEastAsia" w:hint="eastAsia"/>
                <w:sz w:val="24"/>
                <w:szCs w:val="24"/>
              </w:rPr>
              <w:t>工艺稳定性、界面结合、高成本、材料路径选择及协同创新等多重挑战：其一，固态电池需解决离子电导率问题，因固态电解质与电极接触面积减小导致界面电阻增加，影响快充性能和循环寿命；其二，硫化物电解质虽离子电导率高，但存在化学稳定性差、与正极兼容度低、对氧气和水分敏感等问题，生产工艺要求极高；其三，正极干法工艺仍面临膜层均匀性不足、粘结强度低及孔隙率分布不均等瓶颈。公司与客户合作的首条硫化物全固态电池整线项目正陆续生产调试及</w:t>
            </w:r>
            <w:r w:rsidR="002F5A23">
              <w:rPr>
                <w:rFonts w:asciiTheme="minorEastAsia" w:eastAsiaTheme="minorEastAsia" w:hAnsiTheme="minorEastAsia" w:hint="eastAsia"/>
                <w:sz w:val="24"/>
                <w:szCs w:val="24"/>
              </w:rPr>
              <w:t>交付</w:t>
            </w:r>
            <w:r w:rsidR="00AD58AA" w:rsidRPr="00AD58AA">
              <w:rPr>
                <w:rFonts w:asciiTheme="minorEastAsia" w:eastAsiaTheme="minorEastAsia" w:hAnsiTheme="minorEastAsia" w:hint="eastAsia"/>
                <w:sz w:val="24"/>
                <w:szCs w:val="24"/>
              </w:rPr>
              <w:t>。</w:t>
            </w:r>
          </w:p>
          <w:p w:rsidR="006C1C0E" w:rsidRPr="006C1C0E" w:rsidRDefault="006C1C0E" w:rsidP="00385380">
            <w:pPr>
              <w:spacing w:line="480" w:lineRule="atLeast"/>
              <w:rPr>
                <w:rFonts w:asciiTheme="minorEastAsia" w:eastAsiaTheme="minorEastAsia" w:hAnsiTheme="minorEastAsia"/>
                <w:sz w:val="24"/>
                <w:szCs w:val="24"/>
              </w:rPr>
            </w:pPr>
          </w:p>
          <w:p w:rsidR="006C1C0E" w:rsidRPr="006C1C0E" w:rsidRDefault="006C1C0E" w:rsidP="00385380">
            <w:pPr>
              <w:spacing w:line="480" w:lineRule="atLeast"/>
              <w:ind w:firstLineChars="200" w:firstLine="482"/>
              <w:rPr>
                <w:rFonts w:asciiTheme="minorEastAsia" w:eastAsiaTheme="minorEastAsia" w:hAnsiTheme="minorEastAsia"/>
                <w:b/>
                <w:sz w:val="24"/>
                <w:szCs w:val="24"/>
              </w:rPr>
            </w:pPr>
            <w:r w:rsidRPr="006C1C0E">
              <w:rPr>
                <w:rFonts w:asciiTheme="minorEastAsia" w:eastAsiaTheme="minorEastAsia" w:hAnsiTheme="minorEastAsia" w:hint="eastAsia"/>
                <w:b/>
                <w:sz w:val="24"/>
                <w:szCs w:val="24"/>
              </w:rPr>
              <w:t>问题</w:t>
            </w:r>
            <w:r>
              <w:rPr>
                <w:rFonts w:asciiTheme="minorEastAsia" w:eastAsiaTheme="minorEastAsia" w:hAnsiTheme="minorEastAsia" w:hint="eastAsia"/>
                <w:b/>
                <w:sz w:val="24"/>
                <w:szCs w:val="24"/>
              </w:rPr>
              <w:t>八</w:t>
            </w:r>
            <w:r w:rsidRPr="006C1C0E">
              <w:rPr>
                <w:rFonts w:asciiTheme="minorEastAsia" w:eastAsiaTheme="minorEastAsia" w:hAnsiTheme="minorEastAsia" w:hint="eastAsia"/>
                <w:b/>
                <w:sz w:val="24"/>
                <w:szCs w:val="24"/>
              </w:rPr>
              <w:t>：</w:t>
            </w:r>
            <w:r w:rsidR="00AD58AA" w:rsidRPr="00AD58AA">
              <w:rPr>
                <w:rFonts w:asciiTheme="minorEastAsia" w:eastAsiaTheme="minorEastAsia" w:hAnsiTheme="minorEastAsia" w:hint="eastAsia"/>
                <w:b/>
                <w:sz w:val="24"/>
                <w:szCs w:val="24"/>
              </w:rPr>
              <w:t>公司订单毛利率如何？通过哪些措施提升毛利率？</w:t>
            </w:r>
          </w:p>
          <w:p w:rsidR="006C1C0E" w:rsidRPr="006C1C0E" w:rsidRDefault="006C1C0E" w:rsidP="00385380">
            <w:pPr>
              <w:spacing w:line="480" w:lineRule="atLeast"/>
              <w:ind w:firstLineChars="200" w:firstLine="482"/>
              <w:rPr>
                <w:rFonts w:asciiTheme="minorEastAsia" w:eastAsiaTheme="minorEastAsia" w:hAnsiTheme="minorEastAsia"/>
                <w:sz w:val="24"/>
                <w:szCs w:val="24"/>
              </w:rPr>
            </w:pPr>
            <w:r w:rsidRPr="006C1C0E">
              <w:rPr>
                <w:rFonts w:asciiTheme="minorEastAsia" w:eastAsiaTheme="minorEastAsia" w:hAnsiTheme="minorEastAsia" w:hint="eastAsia"/>
                <w:b/>
                <w:sz w:val="24"/>
                <w:szCs w:val="24"/>
              </w:rPr>
              <w:t>答：</w:t>
            </w:r>
            <w:r w:rsidR="00AD58AA" w:rsidRPr="0039042B">
              <w:rPr>
                <w:rFonts w:eastAsiaTheme="minorEastAsia"/>
                <w:sz w:val="24"/>
                <w:szCs w:val="24"/>
              </w:rPr>
              <w:t>2025</w:t>
            </w:r>
            <w:r w:rsidR="00AD58AA" w:rsidRPr="0039042B">
              <w:rPr>
                <w:rFonts w:eastAsiaTheme="minorEastAsia"/>
                <w:sz w:val="24"/>
                <w:szCs w:val="24"/>
              </w:rPr>
              <w:t>年一季度，公司毛利率由</w:t>
            </w:r>
            <w:r w:rsidR="00AD58AA" w:rsidRPr="0039042B">
              <w:rPr>
                <w:rFonts w:eastAsiaTheme="minorEastAsia"/>
                <w:sz w:val="24"/>
                <w:szCs w:val="24"/>
              </w:rPr>
              <w:t>2024</w:t>
            </w:r>
            <w:r w:rsidR="00AD58AA" w:rsidRPr="0039042B">
              <w:rPr>
                <w:rFonts w:eastAsiaTheme="minorEastAsia"/>
                <w:sz w:val="24"/>
                <w:szCs w:val="24"/>
              </w:rPr>
              <w:t>年一季度</w:t>
            </w:r>
            <w:r w:rsidR="00AD58AA" w:rsidRPr="0039042B">
              <w:rPr>
                <w:rFonts w:eastAsiaTheme="minorEastAsia"/>
                <w:sz w:val="24"/>
                <w:szCs w:val="24"/>
              </w:rPr>
              <w:t>17.38%</w:t>
            </w:r>
            <w:r w:rsidR="00AD58AA" w:rsidRPr="0039042B">
              <w:rPr>
                <w:rFonts w:eastAsiaTheme="minorEastAsia"/>
                <w:sz w:val="24"/>
                <w:szCs w:val="24"/>
              </w:rPr>
              <w:t>增长</w:t>
            </w:r>
            <w:r w:rsidR="00AD58AA" w:rsidRPr="0039042B">
              <w:rPr>
                <w:rFonts w:eastAsiaTheme="minorEastAsia"/>
                <w:sz w:val="24"/>
                <w:szCs w:val="24"/>
              </w:rPr>
              <w:t>17.46</w:t>
            </w:r>
            <w:r w:rsidR="00AD58AA" w:rsidRPr="0039042B">
              <w:rPr>
                <w:rFonts w:eastAsiaTheme="minorEastAsia"/>
                <w:sz w:val="24"/>
                <w:szCs w:val="24"/>
              </w:rPr>
              <w:t>个百分点至</w:t>
            </w:r>
            <w:r w:rsidR="00AD58AA" w:rsidRPr="0039042B">
              <w:rPr>
                <w:rFonts w:eastAsiaTheme="minorEastAsia"/>
                <w:sz w:val="24"/>
                <w:szCs w:val="24"/>
              </w:rPr>
              <w:t>34.84%</w:t>
            </w:r>
            <w:r w:rsidR="00AD58AA" w:rsidRPr="0039042B">
              <w:rPr>
                <w:rFonts w:eastAsiaTheme="minorEastAsia"/>
                <w:sz w:val="24"/>
                <w:szCs w:val="24"/>
              </w:rPr>
              <w:t>，主要是公司控本降费措施取得积极成效，且前期低毛利项目订单逐渐消化，项目交付及验收周期缩短，毛利率提升，期间费用得到有效压缩，促进经营业绩实现扭亏为盈。自</w:t>
            </w:r>
            <w:r w:rsidR="00AD58AA" w:rsidRPr="0039042B">
              <w:rPr>
                <w:rFonts w:eastAsiaTheme="minorEastAsia"/>
                <w:sz w:val="24"/>
                <w:szCs w:val="24"/>
              </w:rPr>
              <w:t>2024</w:t>
            </w:r>
            <w:r w:rsidR="00AD58AA" w:rsidRPr="0039042B">
              <w:rPr>
                <w:rFonts w:eastAsiaTheme="minorEastAsia"/>
                <w:sz w:val="24"/>
                <w:szCs w:val="24"/>
              </w:rPr>
              <w:t>年起，公司主动</w:t>
            </w:r>
            <w:r w:rsidR="00AD58AA" w:rsidRPr="00AD58AA">
              <w:rPr>
                <w:rFonts w:asciiTheme="minorEastAsia" w:eastAsiaTheme="minorEastAsia" w:hAnsiTheme="minorEastAsia" w:hint="eastAsia"/>
                <w:sz w:val="24"/>
                <w:szCs w:val="24"/>
              </w:rPr>
              <w:t>优化经营策略，收缩低毛利率订单，聚焦消费锂电、智能仓储及汽车零部件等高潜力领域，并加大动力锂电设备标准化研发以降低成本。公司在项目前期优化设计、减少冗余成本，同时压缩项目周期以降低料工费支出；组织架构与管理流程整合推动期间费用总额及费用率实现降，叠加客户回款管理强化，进一步释放利润空间。综合上述措施，公司一季度实现扭亏为盈，经营质量改善。</w:t>
            </w:r>
          </w:p>
          <w:p w:rsidR="006C1C0E" w:rsidRDefault="006C1C0E" w:rsidP="00385380">
            <w:pPr>
              <w:spacing w:line="480" w:lineRule="atLeast"/>
              <w:rPr>
                <w:rFonts w:asciiTheme="minorEastAsia" w:eastAsiaTheme="minorEastAsia" w:hAnsiTheme="minorEastAsia"/>
                <w:sz w:val="24"/>
                <w:szCs w:val="24"/>
              </w:rPr>
            </w:pPr>
          </w:p>
          <w:p w:rsidR="006C1C0E" w:rsidRPr="006C1C0E" w:rsidRDefault="006C1C0E" w:rsidP="00385380">
            <w:pPr>
              <w:spacing w:line="480" w:lineRule="atLeast"/>
              <w:ind w:firstLineChars="200" w:firstLine="482"/>
              <w:rPr>
                <w:rFonts w:asciiTheme="minorEastAsia" w:eastAsiaTheme="minorEastAsia" w:hAnsiTheme="minorEastAsia"/>
                <w:b/>
                <w:sz w:val="24"/>
                <w:szCs w:val="24"/>
              </w:rPr>
            </w:pPr>
            <w:r w:rsidRPr="006C1C0E">
              <w:rPr>
                <w:rFonts w:asciiTheme="minorEastAsia" w:eastAsiaTheme="minorEastAsia" w:hAnsiTheme="minorEastAsia" w:hint="eastAsia"/>
                <w:b/>
                <w:sz w:val="24"/>
                <w:szCs w:val="24"/>
              </w:rPr>
              <w:t>问题</w:t>
            </w:r>
            <w:r>
              <w:rPr>
                <w:rFonts w:asciiTheme="minorEastAsia" w:eastAsiaTheme="minorEastAsia" w:hAnsiTheme="minorEastAsia" w:hint="eastAsia"/>
                <w:b/>
                <w:sz w:val="24"/>
                <w:szCs w:val="24"/>
              </w:rPr>
              <w:t>九</w:t>
            </w:r>
            <w:r w:rsidRPr="006C1C0E">
              <w:rPr>
                <w:rFonts w:asciiTheme="minorEastAsia" w:eastAsiaTheme="minorEastAsia" w:hAnsiTheme="minorEastAsia" w:hint="eastAsia"/>
                <w:b/>
                <w:sz w:val="24"/>
                <w:szCs w:val="24"/>
              </w:rPr>
              <w:t>：</w:t>
            </w:r>
            <w:r w:rsidR="00AD58AA" w:rsidRPr="00AD58AA">
              <w:rPr>
                <w:rFonts w:asciiTheme="minorEastAsia" w:eastAsiaTheme="minorEastAsia" w:hAnsiTheme="minorEastAsia" w:hint="eastAsia"/>
                <w:b/>
                <w:sz w:val="24"/>
                <w:szCs w:val="24"/>
              </w:rPr>
              <w:t>固态电池设备与传统液态电池及半固态电池设备的通用性及差异性？</w:t>
            </w:r>
          </w:p>
          <w:p w:rsidR="006C1C0E" w:rsidRDefault="006C1C0E" w:rsidP="00385380">
            <w:pPr>
              <w:spacing w:line="480" w:lineRule="atLeast"/>
              <w:ind w:firstLineChars="200" w:firstLine="482"/>
              <w:rPr>
                <w:rFonts w:asciiTheme="minorEastAsia" w:eastAsiaTheme="minorEastAsia" w:hAnsiTheme="minorEastAsia"/>
                <w:sz w:val="24"/>
                <w:szCs w:val="24"/>
              </w:rPr>
            </w:pPr>
            <w:r w:rsidRPr="006C1C0E">
              <w:rPr>
                <w:rFonts w:asciiTheme="minorEastAsia" w:eastAsiaTheme="minorEastAsia" w:hAnsiTheme="minorEastAsia" w:hint="eastAsia"/>
                <w:b/>
                <w:sz w:val="24"/>
                <w:szCs w:val="24"/>
              </w:rPr>
              <w:t>答：</w:t>
            </w:r>
            <w:r w:rsidR="00AD58AA" w:rsidRPr="00AD58AA">
              <w:rPr>
                <w:rFonts w:asciiTheme="minorEastAsia" w:eastAsiaTheme="minorEastAsia" w:hAnsiTheme="minorEastAsia" w:hint="eastAsia"/>
                <w:sz w:val="24"/>
                <w:szCs w:val="24"/>
              </w:rPr>
              <w:t>固态电池设备与传统液态电池及半固态电池设备在工艺环节、核心技术和设备</w:t>
            </w:r>
            <w:r w:rsidR="002F5A23">
              <w:rPr>
                <w:rFonts w:asciiTheme="minorEastAsia" w:eastAsiaTheme="minorEastAsia" w:hAnsiTheme="minorEastAsia" w:hint="eastAsia"/>
                <w:sz w:val="24"/>
                <w:szCs w:val="24"/>
              </w:rPr>
              <w:t>配置</w:t>
            </w:r>
            <w:r w:rsidR="00AD58AA" w:rsidRPr="00AD58AA">
              <w:rPr>
                <w:rFonts w:asciiTheme="minorEastAsia" w:eastAsiaTheme="minorEastAsia" w:hAnsiTheme="minorEastAsia" w:hint="eastAsia"/>
                <w:sz w:val="24"/>
                <w:szCs w:val="24"/>
              </w:rPr>
              <w:t>上存在一定通用性及差异性。通用性方面：</w:t>
            </w:r>
            <w:r w:rsidR="00AD58AA" w:rsidRPr="00AD58AA">
              <w:rPr>
                <w:rFonts w:asciiTheme="minorEastAsia" w:eastAsiaTheme="minorEastAsia" w:hAnsiTheme="minorEastAsia" w:hint="eastAsia"/>
                <w:sz w:val="24"/>
                <w:szCs w:val="24"/>
              </w:rPr>
              <w:lastRenderedPageBreak/>
              <w:t>固态电池前中后段设备的价值比例与传统液态电池差异不大，部分基础工艺设备（如高速叠片、激光焊接等）可通过升级迭代兼容固态电池生产需求。差异性方面：固态电池核心增量工艺集中在电解质成膜、</w:t>
            </w:r>
            <w:r w:rsidR="00DD2DE3">
              <w:rPr>
                <w:rFonts w:asciiTheme="minorEastAsia" w:eastAsiaTheme="minorEastAsia" w:hAnsiTheme="minorEastAsia" w:hint="eastAsia"/>
                <w:sz w:val="24"/>
                <w:szCs w:val="24"/>
              </w:rPr>
              <w:t>电解质转印、干法电极、胶框印刷</w:t>
            </w:r>
            <w:r w:rsidR="00AD58AA" w:rsidRPr="00AD58AA">
              <w:rPr>
                <w:rFonts w:asciiTheme="minorEastAsia" w:eastAsiaTheme="minorEastAsia" w:hAnsiTheme="minorEastAsia" w:hint="eastAsia"/>
                <w:sz w:val="24"/>
                <w:szCs w:val="24"/>
              </w:rPr>
              <w:t>及</w:t>
            </w:r>
            <w:r w:rsidR="00DD2DE3">
              <w:rPr>
                <w:rFonts w:asciiTheme="minorEastAsia" w:eastAsiaTheme="minorEastAsia" w:hAnsiTheme="minorEastAsia" w:hint="eastAsia"/>
                <w:sz w:val="24"/>
                <w:szCs w:val="24"/>
              </w:rPr>
              <w:t>高压</w:t>
            </w:r>
            <w:r w:rsidR="00AD58AA" w:rsidRPr="00AD58AA">
              <w:rPr>
                <w:rFonts w:asciiTheme="minorEastAsia" w:eastAsiaTheme="minorEastAsia" w:hAnsiTheme="minorEastAsia" w:hint="eastAsia"/>
                <w:sz w:val="24"/>
                <w:szCs w:val="24"/>
              </w:rPr>
              <w:t>化成等环节，例如，固态电解质需通过干法或湿法成膜技术实现均匀涂覆；此外，若干法电极技术大规模应用，前段设备价值比例可能下降，但新型设备（如电解质热复合设备、软包叠片设备）的技术附加值较高。公司已开发干法电极设备、固态电解质压制转印设备及锂铜复合设备等专机；叠片工艺因固态电池结构特性要求更高精度，公司通过自研高速叠片技术及专利布局提升竞争力，公司持续为液态电池提供升级设备，并依托平台型技术布局实现部分工艺的通用化，通过“传统设备升级</w:t>
            </w:r>
            <w:r w:rsidR="00AD58AA" w:rsidRPr="00A7441E">
              <w:rPr>
                <w:rFonts w:eastAsiaTheme="minorEastAsia"/>
                <w:sz w:val="24"/>
                <w:szCs w:val="24"/>
              </w:rPr>
              <w:t>+</w:t>
            </w:r>
            <w:r w:rsidR="00AD58AA" w:rsidRPr="00AD58AA">
              <w:rPr>
                <w:rFonts w:asciiTheme="minorEastAsia" w:eastAsiaTheme="minorEastAsia" w:hAnsiTheme="minorEastAsia" w:hint="eastAsia"/>
                <w:sz w:val="24"/>
                <w:szCs w:val="24"/>
              </w:rPr>
              <w:t>新型设备增量”组合满足市场需求。</w:t>
            </w:r>
          </w:p>
          <w:p w:rsidR="00566FB6" w:rsidRDefault="00566FB6" w:rsidP="00385380">
            <w:pPr>
              <w:spacing w:line="480" w:lineRule="atLeast"/>
              <w:ind w:firstLineChars="200" w:firstLine="480"/>
              <w:rPr>
                <w:rFonts w:asciiTheme="minorEastAsia" w:eastAsiaTheme="minorEastAsia" w:hAnsiTheme="minorEastAsia"/>
                <w:sz w:val="24"/>
                <w:szCs w:val="24"/>
              </w:rPr>
            </w:pPr>
          </w:p>
          <w:p w:rsidR="00566FB6" w:rsidRPr="00FE13FA" w:rsidRDefault="00566FB6" w:rsidP="00385380">
            <w:pPr>
              <w:spacing w:line="480" w:lineRule="atLeast"/>
              <w:ind w:firstLineChars="200" w:firstLine="482"/>
              <w:rPr>
                <w:rFonts w:asciiTheme="minorEastAsia" w:eastAsiaTheme="minorEastAsia" w:hAnsiTheme="minorEastAsia"/>
                <w:b/>
                <w:sz w:val="24"/>
                <w:szCs w:val="24"/>
              </w:rPr>
            </w:pPr>
            <w:r w:rsidRPr="00FE13FA">
              <w:rPr>
                <w:rFonts w:asciiTheme="minorEastAsia" w:eastAsiaTheme="minorEastAsia" w:hAnsiTheme="minorEastAsia" w:hint="eastAsia"/>
                <w:b/>
                <w:sz w:val="24"/>
                <w:szCs w:val="24"/>
              </w:rPr>
              <w:t>问题</w:t>
            </w:r>
            <w:r w:rsidRPr="00FE13FA">
              <w:rPr>
                <w:rFonts w:asciiTheme="minorEastAsia" w:eastAsiaTheme="minorEastAsia" w:hAnsiTheme="minorEastAsia"/>
                <w:b/>
                <w:sz w:val="24"/>
                <w:szCs w:val="24"/>
              </w:rPr>
              <w:t>十：公司在人形机器人方面</w:t>
            </w:r>
            <w:r w:rsidRPr="00FE13FA">
              <w:rPr>
                <w:rFonts w:asciiTheme="minorEastAsia" w:eastAsiaTheme="minorEastAsia" w:hAnsiTheme="minorEastAsia" w:hint="eastAsia"/>
                <w:b/>
                <w:sz w:val="24"/>
                <w:szCs w:val="24"/>
              </w:rPr>
              <w:t>如何</w:t>
            </w:r>
            <w:r w:rsidRPr="00FE13FA">
              <w:rPr>
                <w:rFonts w:asciiTheme="minorEastAsia" w:eastAsiaTheme="minorEastAsia" w:hAnsiTheme="minorEastAsia"/>
                <w:b/>
                <w:sz w:val="24"/>
                <w:szCs w:val="24"/>
              </w:rPr>
              <w:t>布局？</w:t>
            </w:r>
          </w:p>
          <w:p w:rsidR="006C1C0E" w:rsidRPr="00B651B3" w:rsidRDefault="00566FB6" w:rsidP="00385380">
            <w:pPr>
              <w:spacing w:line="480" w:lineRule="atLeast"/>
              <w:ind w:firstLineChars="200" w:firstLine="482"/>
              <w:rPr>
                <w:rFonts w:asciiTheme="minorEastAsia" w:eastAsiaTheme="minorEastAsia" w:hAnsiTheme="minorEastAsia"/>
                <w:sz w:val="24"/>
                <w:szCs w:val="24"/>
              </w:rPr>
            </w:pPr>
            <w:r w:rsidRPr="00FE13FA">
              <w:rPr>
                <w:rFonts w:asciiTheme="minorEastAsia" w:eastAsiaTheme="minorEastAsia" w:hAnsiTheme="minorEastAsia" w:hint="eastAsia"/>
                <w:b/>
                <w:sz w:val="24"/>
                <w:szCs w:val="24"/>
              </w:rPr>
              <w:t>答</w:t>
            </w:r>
            <w:r w:rsidRPr="00FE13FA">
              <w:rPr>
                <w:rFonts w:asciiTheme="minorEastAsia" w:eastAsiaTheme="minorEastAsia" w:hAnsiTheme="minorEastAsia"/>
                <w:b/>
                <w:sz w:val="24"/>
                <w:szCs w:val="24"/>
              </w:rPr>
              <w:t>：</w:t>
            </w:r>
            <w:r w:rsidRPr="00566FB6">
              <w:rPr>
                <w:rFonts w:asciiTheme="minorEastAsia" w:eastAsiaTheme="minorEastAsia" w:hAnsiTheme="minorEastAsia" w:hint="eastAsia"/>
                <w:sz w:val="24"/>
                <w:szCs w:val="24"/>
              </w:rPr>
              <w:t>关于机器人领域方面，公司全资子公司利元亨（博罗）智能机械有限公司利用高精密零配件机加工设备和数智化工艺，能够提供工业机器人和人形机器人本体结构件的代工生产、组装及交付服务。目前公司有立项人形机器人相关的技术和产品开发，自主研发的高精度自主移动操作一体化机器人（</w:t>
            </w:r>
            <w:r w:rsidRPr="00A7441E">
              <w:rPr>
                <w:rFonts w:eastAsiaTheme="minorEastAsia"/>
                <w:sz w:val="24"/>
                <w:szCs w:val="24"/>
              </w:rPr>
              <w:t>AMR</w:t>
            </w:r>
            <w:r w:rsidRPr="00566FB6">
              <w:rPr>
                <w:rFonts w:asciiTheme="minorEastAsia" w:eastAsiaTheme="minorEastAsia" w:hAnsiTheme="minorEastAsia" w:hint="eastAsia"/>
                <w:sz w:val="24"/>
                <w:szCs w:val="24"/>
              </w:rPr>
              <w:t xml:space="preserve">）已应用于物流搬运、柔性生产线等场景，具备高精度导航、多机协作、环境自适应等核心能力。在关键技术层面，公司围绕运动控制、传感视觉及 </w:t>
            </w:r>
            <w:r w:rsidRPr="00A7441E">
              <w:rPr>
                <w:rFonts w:eastAsiaTheme="minorEastAsia"/>
                <w:sz w:val="24"/>
                <w:szCs w:val="24"/>
              </w:rPr>
              <w:t xml:space="preserve">AI </w:t>
            </w:r>
            <w:r w:rsidRPr="00A7441E">
              <w:rPr>
                <w:rFonts w:eastAsiaTheme="minorEastAsia"/>
                <w:sz w:val="24"/>
                <w:szCs w:val="24"/>
              </w:rPr>
              <w:t>算法等方向构建了自主知识产权体系，累计获得相关知识产权</w:t>
            </w:r>
            <w:r w:rsidRPr="00A7441E">
              <w:rPr>
                <w:rFonts w:eastAsiaTheme="minorEastAsia"/>
                <w:sz w:val="24"/>
                <w:szCs w:val="24"/>
              </w:rPr>
              <w:t xml:space="preserve"> 50</w:t>
            </w:r>
            <w:r w:rsidRPr="00566FB6">
              <w:rPr>
                <w:rFonts w:asciiTheme="minorEastAsia" w:eastAsiaTheme="minorEastAsia" w:hAnsiTheme="minorEastAsia" w:hint="eastAsia"/>
                <w:sz w:val="24"/>
                <w:szCs w:val="24"/>
              </w:rPr>
              <w:t xml:space="preserve"> 余项。</w:t>
            </w:r>
          </w:p>
        </w:tc>
      </w:tr>
      <w:tr w:rsidR="005F080A" w:rsidRPr="00943E94" w:rsidTr="00274A37">
        <w:trPr>
          <w:trHeight w:val="366"/>
          <w:jc w:val="center"/>
        </w:trPr>
        <w:tc>
          <w:tcPr>
            <w:tcW w:w="1908" w:type="dxa"/>
            <w:vAlign w:val="center"/>
          </w:tcPr>
          <w:p w:rsidR="005F080A" w:rsidRPr="00943E94" w:rsidRDefault="00AD58AA" w:rsidP="00274A37">
            <w:pPr>
              <w:spacing w:line="480" w:lineRule="atLeast"/>
              <w:jc w:val="center"/>
              <w:rPr>
                <w:rFonts w:ascii="TimesNewRoman" w:hAnsi="宋体"/>
                <w:b/>
                <w:sz w:val="24"/>
              </w:rPr>
            </w:pPr>
            <w:r w:rsidRPr="00AD58AA">
              <w:rPr>
                <w:rFonts w:ascii="TimesNewRoman" w:hAnsi="宋体" w:hint="eastAsia"/>
                <w:b/>
                <w:sz w:val="24"/>
              </w:rPr>
              <w:lastRenderedPageBreak/>
              <w:t>附件清单</w:t>
            </w:r>
          </w:p>
        </w:tc>
        <w:tc>
          <w:tcPr>
            <w:tcW w:w="7117" w:type="dxa"/>
            <w:vAlign w:val="center"/>
          </w:tcPr>
          <w:p w:rsidR="005F080A" w:rsidRDefault="00AD58AA" w:rsidP="00385380">
            <w:pPr>
              <w:spacing w:line="480" w:lineRule="atLeast"/>
              <w:rPr>
                <w:rFonts w:ascii="TimesNewRoman" w:eastAsiaTheme="minorEastAsia" w:hAnsi="TimesNewRoman" w:cs="Arial" w:hint="eastAsia"/>
                <w:b/>
                <w:color w:val="000000"/>
                <w:kern w:val="0"/>
                <w:sz w:val="24"/>
                <w:szCs w:val="24"/>
              </w:rPr>
            </w:pPr>
            <w:r>
              <w:rPr>
                <w:rFonts w:ascii="TimesNewRoman" w:eastAsiaTheme="minorEastAsia" w:hAnsi="TimesNewRoman" w:cs="Arial" w:hint="eastAsia"/>
                <w:b/>
                <w:color w:val="000000"/>
                <w:kern w:val="0"/>
                <w:sz w:val="24"/>
                <w:szCs w:val="24"/>
              </w:rPr>
              <w:t>无</w:t>
            </w:r>
          </w:p>
        </w:tc>
      </w:tr>
      <w:tr w:rsidR="005F080A" w:rsidRPr="00943E94" w:rsidTr="005E46BC">
        <w:trPr>
          <w:trHeight w:val="706"/>
          <w:jc w:val="center"/>
        </w:trPr>
        <w:tc>
          <w:tcPr>
            <w:tcW w:w="1908" w:type="dxa"/>
            <w:vAlign w:val="center"/>
          </w:tcPr>
          <w:p w:rsidR="005F080A" w:rsidRPr="00943E94" w:rsidRDefault="00AD58AA" w:rsidP="005E46BC">
            <w:pPr>
              <w:spacing w:line="480" w:lineRule="atLeast"/>
              <w:jc w:val="center"/>
              <w:rPr>
                <w:rFonts w:ascii="TimesNewRoman" w:hAnsi="宋体"/>
                <w:b/>
                <w:sz w:val="24"/>
              </w:rPr>
            </w:pPr>
            <w:r w:rsidRPr="00AD58AA">
              <w:rPr>
                <w:rFonts w:ascii="TimesNewRoman" w:hAnsi="宋体" w:hint="eastAsia"/>
                <w:b/>
                <w:sz w:val="24"/>
              </w:rPr>
              <w:t>日期</w:t>
            </w:r>
          </w:p>
        </w:tc>
        <w:tc>
          <w:tcPr>
            <w:tcW w:w="7117" w:type="dxa"/>
          </w:tcPr>
          <w:p w:rsidR="005F080A" w:rsidRDefault="00234AB0" w:rsidP="00C250B4">
            <w:pPr>
              <w:spacing w:line="480" w:lineRule="atLeast"/>
              <w:rPr>
                <w:rFonts w:ascii="TimesNewRoman" w:eastAsiaTheme="minorEastAsia" w:hAnsi="TimesNewRoman" w:cs="Arial" w:hint="eastAsia"/>
                <w:b/>
                <w:color w:val="000000"/>
                <w:kern w:val="0"/>
                <w:sz w:val="24"/>
                <w:szCs w:val="24"/>
              </w:rPr>
            </w:pPr>
            <w:r>
              <w:rPr>
                <w:rFonts w:ascii="TimesNewRoman" w:eastAsiaTheme="minorEastAsia" w:hAnsi="TimesNewRoman" w:cs="Arial" w:hint="eastAsia"/>
                <w:b/>
                <w:color w:val="000000"/>
                <w:kern w:val="0"/>
                <w:sz w:val="24"/>
                <w:szCs w:val="24"/>
              </w:rPr>
              <w:t>2</w:t>
            </w:r>
            <w:r>
              <w:rPr>
                <w:rFonts w:ascii="TimesNewRoman" w:eastAsiaTheme="minorEastAsia" w:hAnsi="TimesNewRoman" w:cs="Arial"/>
                <w:b/>
                <w:color w:val="000000"/>
                <w:kern w:val="0"/>
                <w:sz w:val="24"/>
                <w:szCs w:val="24"/>
              </w:rPr>
              <w:t>025</w:t>
            </w:r>
            <w:r>
              <w:rPr>
                <w:rFonts w:ascii="TimesNewRoman" w:eastAsiaTheme="minorEastAsia" w:hAnsi="TimesNewRoman" w:cs="Arial" w:hint="eastAsia"/>
                <w:b/>
                <w:color w:val="000000"/>
                <w:kern w:val="0"/>
                <w:sz w:val="24"/>
                <w:szCs w:val="24"/>
              </w:rPr>
              <w:t>年</w:t>
            </w:r>
            <w:r>
              <w:rPr>
                <w:rFonts w:ascii="TimesNewRoman" w:eastAsiaTheme="minorEastAsia" w:hAnsi="TimesNewRoman" w:cs="Arial" w:hint="eastAsia"/>
                <w:b/>
                <w:color w:val="000000"/>
                <w:kern w:val="0"/>
                <w:sz w:val="24"/>
                <w:szCs w:val="24"/>
              </w:rPr>
              <w:t>6</w:t>
            </w:r>
            <w:r>
              <w:rPr>
                <w:rFonts w:ascii="TimesNewRoman" w:eastAsiaTheme="minorEastAsia" w:hAnsi="TimesNewRoman" w:cs="Arial" w:hint="eastAsia"/>
                <w:b/>
                <w:color w:val="000000"/>
                <w:kern w:val="0"/>
                <w:sz w:val="24"/>
                <w:szCs w:val="24"/>
              </w:rPr>
              <w:t>月</w:t>
            </w:r>
            <w:r>
              <w:rPr>
                <w:rFonts w:ascii="TimesNewRoman" w:eastAsiaTheme="minorEastAsia" w:hAnsi="TimesNewRoman" w:cs="Arial" w:hint="eastAsia"/>
                <w:b/>
                <w:color w:val="000000"/>
                <w:kern w:val="0"/>
                <w:sz w:val="24"/>
                <w:szCs w:val="24"/>
              </w:rPr>
              <w:t>5</w:t>
            </w:r>
            <w:r>
              <w:rPr>
                <w:rFonts w:ascii="TimesNewRoman" w:eastAsiaTheme="minorEastAsia" w:hAnsi="TimesNewRoman" w:cs="Arial" w:hint="eastAsia"/>
                <w:b/>
                <w:color w:val="000000"/>
                <w:kern w:val="0"/>
                <w:sz w:val="24"/>
                <w:szCs w:val="24"/>
              </w:rPr>
              <w:t>日、</w:t>
            </w:r>
            <w:r>
              <w:rPr>
                <w:rFonts w:ascii="TimesNewRoman" w:eastAsiaTheme="minorEastAsia" w:hAnsi="TimesNewRoman" w:cs="Arial" w:hint="eastAsia"/>
                <w:b/>
                <w:color w:val="000000"/>
                <w:kern w:val="0"/>
                <w:sz w:val="24"/>
                <w:szCs w:val="24"/>
              </w:rPr>
              <w:t>2</w:t>
            </w:r>
            <w:r>
              <w:rPr>
                <w:rFonts w:ascii="TimesNewRoman" w:eastAsiaTheme="minorEastAsia" w:hAnsi="TimesNewRoman" w:cs="Arial"/>
                <w:b/>
                <w:color w:val="000000"/>
                <w:kern w:val="0"/>
                <w:sz w:val="24"/>
                <w:szCs w:val="24"/>
              </w:rPr>
              <w:t>025</w:t>
            </w:r>
            <w:r>
              <w:rPr>
                <w:rFonts w:ascii="TimesNewRoman" w:eastAsiaTheme="minorEastAsia" w:hAnsi="TimesNewRoman" w:cs="Arial" w:hint="eastAsia"/>
                <w:b/>
                <w:color w:val="000000"/>
                <w:kern w:val="0"/>
                <w:sz w:val="24"/>
                <w:szCs w:val="24"/>
              </w:rPr>
              <w:t>年</w:t>
            </w:r>
            <w:r>
              <w:rPr>
                <w:rFonts w:ascii="TimesNewRoman" w:eastAsiaTheme="minorEastAsia" w:hAnsi="TimesNewRoman" w:cs="Arial" w:hint="eastAsia"/>
                <w:b/>
                <w:color w:val="000000"/>
                <w:kern w:val="0"/>
                <w:sz w:val="24"/>
                <w:szCs w:val="24"/>
              </w:rPr>
              <w:t>6</w:t>
            </w:r>
            <w:r>
              <w:rPr>
                <w:rFonts w:ascii="TimesNewRoman" w:eastAsiaTheme="minorEastAsia" w:hAnsi="TimesNewRoman" w:cs="Arial" w:hint="eastAsia"/>
                <w:b/>
                <w:color w:val="000000"/>
                <w:kern w:val="0"/>
                <w:sz w:val="24"/>
                <w:szCs w:val="24"/>
              </w:rPr>
              <w:t>月</w:t>
            </w:r>
            <w:r>
              <w:rPr>
                <w:rFonts w:ascii="TimesNewRoman" w:eastAsiaTheme="minorEastAsia" w:hAnsi="TimesNewRoman" w:cs="Arial"/>
                <w:b/>
                <w:color w:val="000000"/>
                <w:kern w:val="0"/>
                <w:sz w:val="24"/>
                <w:szCs w:val="24"/>
              </w:rPr>
              <w:t>11</w:t>
            </w:r>
            <w:r>
              <w:rPr>
                <w:rFonts w:ascii="TimesNewRoman" w:eastAsiaTheme="minorEastAsia" w:hAnsi="TimesNewRoman" w:cs="Arial" w:hint="eastAsia"/>
                <w:b/>
                <w:color w:val="000000"/>
                <w:kern w:val="0"/>
                <w:sz w:val="24"/>
                <w:szCs w:val="24"/>
              </w:rPr>
              <w:t>日、</w:t>
            </w:r>
            <w:r>
              <w:rPr>
                <w:rFonts w:ascii="TimesNewRoman" w:eastAsiaTheme="minorEastAsia" w:hAnsi="TimesNewRoman" w:cs="Arial" w:hint="eastAsia"/>
                <w:b/>
                <w:color w:val="000000"/>
                <w:kern w:val="0"/>
                <w:sz w:val="24"/>
                <w:szCs w:val="24"/>
              </w:rPr>
              <w:t>2</w:t>
            </w:r>
            <w:r>
              <w:rPr>
                <w:rFonts w:ascii="TimesNewRoman" w:eastAsiaTheme="minorEastAsia" w:hAnsi="TimesNewRoman" w:cs="Arial"/>
                <w:b/>
                <w:color w:val="000000"/>
                <w:kern w:val="0"/>
                <w:sz w:val="24"/>
                <w:szCs w:val="24"/>
              </w:rPr>
              <w:t>025</w:t>
            </w:r>
            <w:r>
              <w:rPr>
                <w:rFonts w:ascii="TimesNewRoman" w:eastAsiaTheme="minorEastAsia" w:hAnsi="TimesNewRoman" w:cs="Arial" w:hint="eastAsia"/>
                <w:b/>
                <w:color w:val="000000"/>
                <w:kern w:val="0"/>
                <w:sz w:val="24"/>
                <w:szCs w:val="24"/>
              </w:rPr>
              <w:t>年</w:t>
            </w:r>
            <w:r>
              <w:rPr>
                <w:rFonts w:ascii="TimesNewRoman" w:eastAsiaTheme="minorEastAsia" w:hAnsi="TimesNewRoman" w:cs="Arial" w:hint="eastAsia"/>
                <w:b/>
                <w:color w:val="000000"/>
                <w:kern w:val="0"/>
                <w:sz w:val="24"/>
                <w:szCs w:val="24"/>
              </w:rPr>
              <w:t>6</w:t>
            </w:r>
            <w:r>
              <w:rPr>
                <w:rFonts w:ascii="TimesNewRoman" w:eastAsiaTheme="minorEastAsia" w:hAnsi="TimesNewRoman" w:cs="Arial" w:hint="eastAsia"/>
                <w:b/>
                <w:color w:val="000000"/>
                <w:kern w:val="0"/>
                <w:sz w:val="24"/>
                <w:szCs w:val="24"/>
              </w:rPr>
              <w:t>月</w:t>
            </w:r>
            <w:r>
              <w:rPr>
                <w:rFonts w:ascii="TimesNewRoman" w:eastAsiaTheme="minorEastAsia" w:hAnsi="TimesNewRoman" w:cs="Arial" w:hint="eastAsia"/>
                <w:b/>
                <w:color w:val="000000"/>
                <w:kern w:val="0"/>
                <w:sz w:val="24"/>
                <w:szCs w:val="24"/>
              </w:rPr>
              <w:t>1</w:t>
            </w:r>
            <w:r>
              <w:rPr>
                <w:rFonts w:ascii="TimesNewRoman" w:eastAsiaTheme="minorEastAsia" w:hAnsi="TimesNewRoman" w:cs="Arial"/>
                <w:b/>
                <w:color w:val="000000"/>
                <w:kern w:val="0"/>
                <w:sz w:val="24"/>
                <w:szCs w:val="24"/>
              </w:rPr>
              <w:t>3</w:t>
            </w:r>
            <w:r>
              <w:rPr>
                <w:rFonts w:ascii="TimesNewRoman" w:eastAsiaTheme="minorEastAsia" w:hAnsi="TimesNewRoman" w:cs="Arial" w:hint="eastAsia"/>
                <w:b/>
                <w:color w:val="000000"/>
                <w:kern w:val="0"/>
                <w:sz w:val="24"/>
                <w:szCs w:val="24"/>
              </w:rPr>
              <w:t>日、</w:t>
            </w:r>
            <w:r w:rsidRPr="00116D3A">
              <w:rPr>
                <w:rFonts w:ascii="TimesNewRoman" w:eastAsiaTheme="minorEastAsia" w:hAnsi="TimesNewRoman" w:cs="Arial" w:hint="eastAsia"/>
                <w:b/>
                <w:color w:val="000000"/>
                <w:kern w:val="0"/>
                <w:sz w:val="24"/>
                <w:szCs w:val="24"/>
              </w:rPr>
              <w:t>2</w:t>
            </w:r>
            <w:r w:rsidRPr="00116D3A">
              <w:rPr>
                <w:rFonts w:ascii="TimesNewRoman" w:eastAsiaTheme="minorEastAsia" w:hAnsi="TimesNewRoman" w:cs="Arial"/>
                <w:b/>
                <w:color w:val="000000"/>
                <w:kern w:val="0"/>
                <w:sz w:val="24"/>
                <w:szCs w:val="24"/>
              </w:rPr>
              <w:t>025</w:t>
            </w:r>
            <w:r w:rsidRPr="00116D3A">
              <w:rPr>
                <w:rFonts w:ascii="TimesNewRoman" w:eastAsiaTheme="minorEastAsia" w:hAnsi="TimesNewRoman" w:cs="Arial" w:hint="eastAsia"/>
                <w:b/>
                <w:color w:val="000000"/>
                <w:kern w:val="0"/>
                <w:sz w:val="24"/>
                <w:szCs w:val="24"/>
              </w:rPr>
              <w:t>年</w:t>
            </w:r>
            <w:r w:rsidRPr="00116D3A">
              <w:rPr>
                <w:rFonts w:ascii="TimesNewRoman" w:eastAsiaTheme="minorEastAsia" w:hAnsi="TimesNewRoman" w:cs="Arial" w:hint="eastAsia"/>
                <w:b/>
                <w:color w:val="000000"/>
                <w:kern w:val="0"/>
                <w:sz w:val="24"/>
                <w:szCs w:val="24"/>
              </w:rPr>
              <w:t>6</w:t>
            </w:r>
            <w:r w:rsidRPr="00116D3A">
              <w:rPr>
                <w:rFonts w:ascii="TimesNewRoman" w:eastAsiaTheme="minorEastAsia" w:hAnsi="TimesNewRoman" w:cs="Arial" w:hint="eastAsia"/>
                <w:b/>
                <w:color w:val="000000"/>
                <w:kern w:val="0"/>
                <w:sz w:val="24"/>
                <w:szCs w:val="24"/>
              </w:rPr>
              <w:t>月</w:t>
            </w:r>
            <w:r w:rsidRPr="00116D3A">
              <w:rPr>
                <w:rFonts w:ascii="TimesNewRoman" w:eastAsiaTheme="minorEastAsia" w:hAnsi="TimesNewRoman" w:cs="Arial"/>
                <w:b/>
                <w:color w:val="000000"/>
                <w:kern w:val="0"/>
                <w:sz w:val="24"/>
                <w:szCs w:val="24"/>
              </w:rPr>
              <w:t>16</w:t>
            </w:r>
            <w:r w:rsidRPr="00116D3A">
              <w:rPr>
                <w:rFonts w:ascii="TimesNewRoman" w:eastAsiaTheme="minorEastAsia" w:hAnsi="TimesNewRoman" w:cs="Arial" w:hint="eastAsia"/>
                <w:b/>
                <w:color w:val="000000"/>
                <w:kern w:val="0"/>
                <w:sz w:val="24"/>
                <w:szCs w:val="24"/>
              </w:rPr>
              <w:t>日</w:t>
            </w:r>
            <w:r>
              <w:rPr>
                <w:rFonts w:ascii="TimesNewRoman" w:eastAsiaTheme="minorEastAsia" w:hAnsi="TimesNewRoman" w:cs="Arial" w:hint="eastAsia"/>
                <w:b/>
                <w:color w:val="000000"/>
                <w:kern w:val="0"/>
                <w:sz w:val="24"/>
                <w:szCs w:val="24"/>
              </w:rPr>
              <w:t>、</w:t>
            </w:r>
            <w:r w:rsidRPr="00116D3A">
              <w:rPr>
                <w:rFonts w:ascii="TimesNewRoman" w:eastAsiaTheme="minorEastAsia" w:hAnsi="TimesNewRoman" w:cs="Arial" w:hint="eastAsia"/>
                <w:b/>
                <w:color w:val="000000"/>
                <w:kern w:val="0"/>
                <w:sz w:val="24"/>
                <w:szCs w:val="24"/>
              </w:rPr>
              <w:t>2</w:t>
            </w:r>
            <w:r w:rsidRPr="00116D3A">
              <w:rPr>
                <w:rFonts w:ascii="TimesNewRoman" w:eastAsiaTheme="minorEastAsia" w:hAnsi="TimesNewRoman" w:cs="Arial"/>
                <w:b/>
                <w:color w:val="000000"/>
                <w:kern w:val="0"/>
                <w:sz w:val="24"/>
                <w:szCs w:val="24"/>
              </w:rPr>
              <w:t>025</w:t>
            </w:r>
            <w:r w:rsidRPr="00116D3A">
              <w:rPr>
                <w:rFonts w:ascii="TimesNewRoman" w:eastAsiaTheme="minorEastAsia" w:hAnsi="TimesNewRoman" w:cs="Arial" w:hint="eastAsia"/>
                <w:b/>
                <w:color w:val="000000"/>
                <w:kern w:val="0"/>
                <w:sz w:val="24"/>
                <w:szCs w:val="24"/>
              </w:rPr>
              <w:t>年</w:t>
            </w:r>
            <w:r w:rsidRPr="00116D3A">
              <w:rPr>
                <w:rFonts w:ascii="TimesNewRoman" w:eastAsiaTheme="minorEastAsia" w:hAnsi="TimesNewRoman" w:cs="Arial" w:hint="eastAsia"/>
                <w:b/>
                <w:color w:val="000000"/>
                <w:kern w:val="0"/>
                <w:sz w:val="24"/>
                <w:szCs w:val="24"/>
              </w:rPr>
              <w:t>6</w:t>
            </w:r>
            <w:r w:rsidRPr="00116D3A">
              <w:rPr>
                <w:rFonts w:ascii="TimesNewRoman" w:eastAsiaTheme="minorEastAsia" w:hAnsi="TimesNewRoman" w:cs="Arial" w:hint="eastAsia"/>
                <w:b/>
                <w:color w:val="000000"/>
                <w:kern w:val="0"/>
                <w:sz w:val="24"/>
                <w:szCs w:val="24"/>
              </w:rPr>
              <w:t>月</w:t>
            </w:r>
            <w:r w:rsidRPr="00116D3A">
              <w:rPr>
                <w:rFonts w:ascii="TimesNewRoman" w:eastAsiaTheme="minorEastAsia" w:hAnsi="TimesNewRoman" w:cs="Arial"/>
                <w:b/>
                <w:color w:val="000000"/>
                <w:kern w:val="0"/>
                <w:sz w:val="24"/>
                <w:szCs w:val="24"/>
              </w:rPr>
              <w:t>1</w:t>
            </w:r>
            <w:r w:rsidR="00C250B4">
              <w:rPr>
                <w:rFonts w:ascii="TimesNewRoman" w:eastAsiaTheme="minorEastAsia" w:hAnsi="TimesNewRoman" w:cs="Arial"/>
                <w:b/>
                <w:color w:val="000000"/>
                <w:kern w:val="0"/>
                <w:sz w:val="24"/>
                <w:szCs w:val="24"/>
              </w:rPr>
              <w:t>9</w:t>
            </w:r>
            <w:r w:rsidRPr="00116D3A">
              <w:rPr>
                <w:rFonts w:ascii="TimesNewRoman" w:eastAsiaTheme="minorEastAsia" w:hAnsi="TimesNewRoman" w:cs="Arial" w:hint="eastAsia"/>
                <w:b/>
                <w:color w:val="000000"/>
                <w:kern w:val="0"/>
                <w:sz w:val="24"/>
                <w:szCs w:val="24"/>
              </w:rPr>
              <w:t>日</w:t>
            </w:r>
            <w:r>
              <w:rPr>
                <w:rFonts w:ascii="TimesNewRoman" w:eastAsiaTheme="minorEastAsia" w:hAnsi="TimesNewRoman" w:cs="Arial" w:hint="eastAsia"/>
                <w:b/>
                <w:color w:val="000000"/>
                <w:kern w:val="0"/>
                <w:sz w:val="24"/>
                <w:szCs w:val="24"/>
              </w:rPr>
              <w:t>、</w:t>
            </w:r>
            <w:r w:rsidRPr="00116D3A">
              <w:rPr>
                <w:rFonts w:ascii="TimesNewRoman" w:eastAsiaTheme="minorEastAsia" w:hAnsi="TimesNewRoman" w:cs="Arial" w:hint="eastAsia"/>
                <w:b/>
                <w:color w:val="000000"/>
                <w:kern w:val="0"/>
                <w:sz w:val="24"/>
                <w:szCs w:val="24"/>
              </w:rPr>
              <w:t>2</w:t>
            </w:r>
            <w:r w:rsidRPr="00116D3A">
              <w:rPr>
                <w:rFonts w:ascii="TimesNewRoman" w:eastAsiaTheme="minorEastAsia" w:hAnsi="TimesNewRoman" w:cs="Arial"/>
                <w:b/>
                <w:color w:val="000000"/>
                <w:kern w:val="0"/>
                <w:sz w:val="24"/>
                <w:szCs w:val="24"/>
              </w:rPr>
              <w:t>025</w:t>
            </w:r>
            <w:r w:rsidRPr="00116D3A">
              <w:rPr>
                <w:rFonts w:ascii="TimesNewRoman" w:eastAsiaTheme="minorEastAsia" w:hAnsi="TimesNewRoman" w:cs="Arial" w:hint="eastAsia"/>
                <w:b/>
                <w:color w:val="000000"/>
                <w:kern w:val="0"/>
                <w:sz w:val="24"/>
                <w:szCs w:val="24"/>
              </w:rPr>
              <w:t>年</w:t>
            </w:r>
            <w:r w:rsidRPr="00116D3A">
              <w:rPr>
                <w:rFonts w:ascii="TimesNewRoman" w:eastAsiaTheme="minorEastAsia" w:hAnsi="TimesNewRoman" w:cs="Arial" w:hint="eastAsia"/>
                <w:b/>
                <w:color w:val="000000"/>
                <w:kern w:val="0"/>
                <w:sz w:val="24"/>
                <w:szCs w:val="24"/>
              </w:rPr>
              <w:t>6</w:t>
            </w:r>
            <w:r w:rsidRPr="00116D3A">
              <w:rPr>
                <w:rFonts w:ascii="TimesNewRoman" w:eastAsiaTheme="minorEastAsia" w:hAnsi="TimesNewRoman" w:cs="Arial" w:hint="eastAsia"/>
                <w:b/>
                <w:color w:val="000000"/>
                <w:kern w:val="0"/>
                <w:sz w:val="24"/>
                <w:szCs w:val="24"/>
              </w:rPr>
              <w:t>月</w:t>
            </w:r>
            <w:r>
              <w:rPr>
                <w:rFonts w:ascii="TimesNewRoman" w:eastAsiaTheme="minorEastAsia" w:hAnsi="TimesNewRoman" w:cs="Arial"/>
                <w:b/>
                <w:color w:val="000000"/>
                <w:kern w:val="0"/>
                <w:sz w:val="24"/>
                <w:szCs w:val="24"/>
              </w:rPr>
              <w:t>20</w:t>
            </w:r>
            <w:r w:rsidRPr="00116D3A">
              <w:rPr>
                <w:rFonts w:ascii="TimesNewRoman" w:eastAsiaTheme="minorEastAsia" w:hAnsi="TimesNewRoman" w:cs="Arial" w:hint="eastAsia"/>
                <w:b/>
                <w:color w:val="000000"/>
                <w:kern w:val="0"/>
                <w:sz w:val="24"/>
                <w:szCs w:val="24"/>
              </w:rPr>
              <w:t>日</w:t>
            </w:r>
            <w:r>
              <w:rPr>
                <w:rFonts w:ascii="TimesNewRoman" w:eastAsiaTheme="minorEastAsia" w:hAnsi="TimesNewRoman" w:cs="Arial" w:hint="eastAsia"/>
                <w:b/>
                <w:color w:val="000000"/>
                <w:kern w:val="0"/>
                <w:sz w:val="24"/>
                <w:szCs w:val="24"/>
              </w:rPr>
              <w:t>、</w:t>
            </w:r>
            <w:r w:rsidRPr="00116D3A">
              <w:rPr>
                <w:rFonts w:ascii="TimesNewRoman" w:eastAsiaTheme="minorEastAsia" w:hAnsi="TimesNewRoman" w:cs="Arial" w:hint="eastAsia"/>
                <w:b/>
                <w:color w:val="000000"/>
                <w:kern w:val="0"/>
                <w:sz w:val="24"/>
                <w:szCs w:val="24"/>
              </w:rPr>
              <w:t>2</w:t>
            </w:r>
            <w:r w:rsidRPr="00116D3A">
              <w:rPr>
                <w:rFonts w:ascii="TimesNewRoman" w:eastAsiaTheme="minorEastAsia" w:hAnsi="TimesNewRoman" w:cs="Arial"/>
                <w:b/>
                <w:color w:val="000000"/>
                <w:kern w:val="0"/>
                <w:sz w:val="24"/>
                <w:szCs w:val="24"/>
              </w:rPr>
              <w:t>025</w:t>
            </w:r>
            <w:r w:rsidRPr="00116D3A">
              <w:rPr>
                <w:rFonts w:ascii="TimesNewRoman" w:eastAsiaTheme="minorEastAsia" w:hAnsi="TimesNewRoman" w:cs="Arial" w:hint="eastAsia"/>
                <w:b/>
                <w:color w:val="000000"/>
                <w:kern w:val="0"/>
                <w:sz w:val="24"/>
                <w:szCs w:val="24"/>
              </w:rPr>
              <w:t>年</w:t>
            </w:r>
            <w:r w:rsidRPr="00116D3A">
              <w:rPr>
                <w:rFonts w:ascii="TimesNewRoman" w:eastAsiaTheme="minorEastAsia" w:hAnsi="TimesNewRoman" w:cs="Arial" w:hint="eastAsia"/>
                <w:b/>
                <w:color w:val="000000"/>
                <w:kern w:val="0"/>
                <w:sz w:val="24"/>
                <w:szCs w:val="24"/>
              </w:rPr>
              <w:t>6</w:t>
            </w:r>
            <w:r w:rsidRPr="00116D3A">
              <w:rPr>
                <w:rFonts w:ascii="TimesNewRoman" w:eastAsiaTheme="minorEastAsia" w:hAnsi="TimesNewRoman" w:cs="Arial" w:hint="eastAsia"/>
                <w:b/>
                <w:color w:val="000000"/>
                <w:kern w:val="0"/>
                <w:sz w:val="24"/>
                <w:szCs w:val="24"/>
              </w:rPr>
              <w:t>月</w:t>
            </w:r>
            <w:r>
              <w:rPr>
                <w:rFonts w:ascii="TimesNewRoman" w:eastAsiaTheme="minorEastAsia" w:hAnsi="TimesNewRoman" w:cs="Arial"/>
                <w:b/>
                <w:color w:val="000000"/>
                <w:kern w:val="0"/>
                <w:sz w:val="24"/>
                <w:szCs w:val="24"/>
              </w:rPr>
              <w:t>25</w:t>
            </w:r>
            <w:r w:rsidRPr="00116D3A">
              <w:rPr>
                <w:rFonts w:ascii="TimesNewRoman" w:eastAsiaTheme="minorEastAsia" w:hAnsi="TimesNewRoman" w:cs="Arial" w:hint="eastAsia"/>
                <w:b/>
                <w:color w:val="000000"/>
                <w:kern w:val="0"/>
                <w:sz w:val="24"/>
                <w:szCs w:val="24"/>
              </w:rPr>
              <w:t>日</w:t>
            </w:r>
          </w:p>
        </w:tc>
      </w:tr>
    </w:tbl>
    <w:p w:rsidR="00134783" w:rsidRDefault="00134783" w:rsidP="00D3704D">
      <w:pPr>
        <w:rPr>
          <w:rFonts w:ascii="TimesNewRoman" w:hAnsi="TimesNewRoman" w:hint="eastAsia"/>
        </w:rPr>
      </w:pPr>
    </w:p>
    <w:sectPr w:rsidR="00134783" w:rsidSect="002749ED">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86F" w:rsidRDefault="00CD386F" w:rsidP="00D3704D">
      <w:r>
        <w:separator/>
      </w:r>
    </w:p>
  </w:endnote>
  <w:endnote w:type="continuationSeparator" w:id="0">
    <w:p w:rsidR="00CD386F" w:rsidRDefault="00CD386F" w:rsidP="00D3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55993"/>
      <w:docPartObj>
        <w:docPartGallery w:val="Page Numbers (Bottom of Page)"/>
        <w:docPartUnique/>
      </w:docPartObj>
    </w:sdtPr>
    <w:sdtEndPr/>
    <w:sdtContent>
      <w:p w:rsidR="00BA3205" w:rsidRDefault="00BA3205">
        <w:pPr>
          <w:pStyle w:val="a5"/>
          <w:jc w:val="center"/>
        </w:pPr>
        <w:r>
          <w:fldChar w:fldCharType="begin"/>
        </w:r>
        <w:r>
          <w:instrText>PAGE   \* MERGEFORMAT</w:instrText>
        </w:r>
        <w:r>
          <w:fldChar w:fldCharType="separate"/>
        </w:r>
        <w:r w:rsidR="00812A63" w:rsidRPr="00812A63">
          <w:rPr>
            <w:noProof/>
            <w:lang w:val="zh-CN"/>
          </w:rPr>
          <w:t>1</w:t>
        </w:r>
        <w:r>
          <w:fldChar w:fldCharType="end"/>
        </w:r>
      </w:p>
    </w:sdtContent>
  </w:sdt>
  <w:p w:rsidR="00BA3205" w:rsidRDefault="00BA3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86F" w:rsidRDefault="00CD386F" w:rsidP="00D3704D">
      <w:r>
        <w:separator/>
      </w:r>
    </w:p>
  </w:footnote>
  <w:footnote w:type="continuationSeparator" w:id="0">
    <w:p w:rsidR="00CD386F" w:rsidRDefault="00CD386F" w:rsidP="00D3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59FB"/>
    <w:multiLevelType w:val="hybridMultilevel"/>
    <w:tmpl w:val="7E062644"/>
    <w:lvl w:ilvl="0" w:tplc="A502BDB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8F13ED6"/>
    <w:multiLevelType w:val="hybridMultilevel"/>
    <w:tmpl w:val="D6B6AE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4D"/>
    <w:rsid w:val="00007235"/>
    <w:rsid w:val="00007434"/>
    <w:rsid w:val="00007A64"/>
    <w:rsid w:val="0001134B"/>
    <w:rsid w:val="0001191E"/>
    <w:rsid w:val="00012C6F"/>
    <w:rsid w:val="00012E92"/>
    <w:rsid w:val="00016D7C"/>
    <w:rsid w:val="00022326"/>
    <w:rsid w:val="000235A1"/>
    <w:rsid w:val="00032D68"/>
    <w:rsid w:val="000335F6"/>
    <w:rsid w:val="00036D0D"/>
    <w:rsid w:val="00037659"/>
    <w:rsid w:val="00041BD6"/>
    <w:rsid w:val="0004414C"/>
    <w:rsid w:val="00045A41"/>
    <w:rsid w:val="00051230"/>
    <w:rsid w:val="00053C4F"/>
    <w:rsid w:val="00053E02"/>
    <w:rsid w:val="000649C3"/>
    <w:rsid w:val="00067C1E"/>
    <w:rsid w:val="0007293B"/>
    <w:rsid w:val="0007604F"/>
    <w:rsid w:val="00081817"/>
    <w:rsid w:val="00082349"/>
    <w:rsid w:val="00082551"/>
    <w:rsid w:val="000846EC"/>
    <w:rsid w:val="0009127C"/>
    <w:rsid w:val="00094F01"/>
    <w:rsid w:val="00096388"/>
    <w:rsid w:val="000963FF"/>
    <w:rsid w:val="000A17B7"/>
    <w:rsid w:val="000A58E2"/>
    <w:rsid w:val="000A6856"/>
    <w:rsid w:val="000A74FD"/>
    <w:rsid w:val="000B0A61"/>
    <w:rsid w:val="000B609D"/>
    <w:rsid w:val="000B773C"/>
    <w:rsid w:val="000C4258"/>
    <w:rsid w:val="000D0E7C"/>
    <w:rsid w:val="000D29EC"/>
    <w:rsid w:val="000E7241"/>
    <w:rsid w:val="00100FB7"/>
    <w:rsid w:val="00101154"/>
    <w:rsid w:val="00103433"/>
    <w:rsid w:val="00105146"/>
    <w:rsid w:val="00106892"/>
    <w:rsid w:val="001123B3"/>
    <w:rsid w:val="00113756"/>
    <w:rsid w:val="00116D3A"/>
    <w:rsid w:val="00120DE0"/>
    <w:rsid w:val="001254C0"/>
    <w:rsid w:val="00126989"/>
    <w:rsid w:val="001277E3"/>
    <w:rsid w:val="00132274"/>
    <w:rsid w:val="00134783"/>
    <w:rsid w:val="00136249"/>
    <w:rsid w:val="00136A3B"/>
    <w:rsid w:val="00140353"/>
    <w:rsid w:val="00141F83"/>
    <w:rsid w:val="0014748C"/>
    <w:rsid w:val="00163F1B"/>
    <w:rsid w:val="00164245"/>
    <w:rsid w:val="00164FB8"/>
    <w:rsid w:val="001662AD"/>
    <w:rsid w:val="00171AC7"/>
    <w:rsid w:val="00174E5B"/>
    <w:rsid w:val="00174EF1"/>
    <w:rsid w:val="001752A3"/>
    <w:rsid w:val="0018028C"/>
    <w:rsid w:val="00180911"/>
    <w:rsid w:val="00182218"/>
    <w:rsid w:val="001828EB"/>
    <w:rsid w:val="001A5A36"/>
    <w:rsid w:val="001C2898"/>
    <w:rsid w:val="001C6B27"/>
    <w:rsid w:val="001C6DC4"/>
    <w:rsid w:val="001F4725"/>
    <w:rsid w:val="0020530A"/>
    <w:rsid w:val="00206444"/>
    <w:rsid w:val="002137E2"/>
    <w:rsid w:val="00221372"/>
    <w:rsid w:val="00223416"/>
    <w:rsid w:val="002264AA"/>
    <w:rsid w:val="002310E6"/>
    <w:rsid w:val="00234AB0"/>
    <w:rsid w:val="0024025A"/>
    <w:rsid w:val="00241ED6"/>
    <w:rsid w:val="00244464"/>
    <w:rsid w:val="00245D35"/>
    <w:rsid w:val="00246516"/>
    <w:rsid w:val="00256CBC"/>
    <w:rsid w:val="002629C2"/>
    <w:rsid w:val="002633B7"/>
    <w:rsid w:val="00270A0C"/>
    <w:rsid w:val="002713D9"/>
    <w:rsid w:val="002726DF"/>
    <w:rsid w:val="002749ED"/>
    <w:rsid w:val="00274A37"/>
    <w:rsid w:val="00281C82"/>
    <w:rsid w:val="00290376"/>
    <w:rsid w:val="002910E9"/>
    <w:rsid w:val="00292646"/>
    <w:rsid w:val="002932A1"/>
    <w:rsid w:val="00293E74"/>
    <w:rsid w:val="002941F4"/>
    <w:rsid w:val="002A5EDA"/>
    <w:rsid w:val="002B0986"/>
    <w:rsid w:val="002B0EC6"/>
    <w:rsid w:val="002B2BC2"/>
    <w:rsid w:val="002B7BC0"/>
    <w:rsid w:val="002C249C"/>
    <w:rsid w:val="002C2A88"/>
    <w:rsid w:val="002C654B"/>
    <w:rsid w:val="002D602B"/>
    <w:rsid w:val="002D60DE"/>
    <w:rsid w:val="002D7AAC"/>
    <w:rsid w:val="002E2D6C"/>
    <w:rsid w:val="002F5A23"/>
    <w:rsid w:val="003017A7"/>
    <w:rsid w:val="0031160F"/>
    <w:rsid w:val="00312019"/>
    <w:rsid w:val="00316A4E"/>
    <w:rsid w:val="0031756E"/>
    <w:rsid w:val="003219A5"/>
    <w:rsid w:val="00322B99"/>
    <w:rsid w:val="0032623B"/>
    <w:rsid w:val="0032749B"/>
    <w:rsid w:val="003338A1"/>
    <w:rsid w:val="00335037"/>
    <w:rsid w:val="00337232"/>
    <w:rsid w:val="00337761"/>
    <w:rsid w:val="0034225E"/>
    <w:rsid w:val="00350008"/>
    <w:rsid w:val="00350D24"/>
    <w:rsid w:val="00354F44"/>
    <w:rsid w:val="00363A31"/>
    <w:rsid w:val="00364CA4"/>
    <w:rsid w:val="00366D14"/>
    <w:rsid w:val="00370EE6"/>
    <w:rsid w:val="003711B6"/>
    <w:rsid w:val="00385380"/>
    <w:rsid w:val="0039042B"/>
    <w:rsid w:val="00392310"/>
    <w:rsid w:val="003A0346"/>
    <w:rsid w:val="003A0A09"/>
    <w:rsid w:val="003A4BC5"/>
    <w:rsid w:val="003A6AD9"/>
    <w:rsid w:val="003B678A"/>
    <w:rsid w:val="003C23EA"/>
    <w:rsid w:val="003D0B0D"/>
    <w:rsid w:val="003E6CF9"/>
    <w:rsid w:val="003F018A"/>
    <w:rsid w:val="003F1AE1"/>
    <w:rsid w:val="00402CC2"/>
    <w:rsid w:val="00407621"/>
    <w:rsid w:val="004104ED"/>
    <w:rsid w:val="00411AE3"/>
    <w:rsid w:val="00413163"/>
    <w:rsid w:val="004135E4"/>
    <w:rsid w:val="00415E89"/>
    <w:rsid w:val="00416724"/>
    <w:rsid w:val="00421CAC"/>
    <w:rsid w:val="00422D27"/>
    <w:rsid w:val="00425B10"/>
    <w:rsid w:val="004401A3"/>
    <w:rsid w:val="004422C1"/>
    <w:rsid w:val="0044659F"/>
    <w:rsid w:val="0044774A"/>
    <w:rsid w:val="00450FAA"/>
    <w:rsid w:val="004511AD"/>
    <w:rsid w:val="004549D0"/>
    <w:rsid w:val="00455D77"/>
    <w:rsid w:val="00455F69"/>
    <w:rsid w:val="00456D1D"/>
    <w:rsid w:val="00460EFB"/>
    <w:rsid w:val="00462A84"/>
    <w:rsid w:val="0046364D"/>
    <w:rsid w:val="00474CEB"/>
    <w:rsid w:val="00474F28"/>
    <w:rsid w:val="004777AC"/>
    <w:rsid w:val="004973D8"/>
    <w:rsid w:val="004A0EBC"/>
    <w:rsid w:val="004A7ECB"/>
    <w:rsid w:val="004C1E59"/>
    <w:rsid w:val="004C1E78"/>
    <w:rsid w:val="004C2DA2"/>
    <w:rsid w:val="004C4573"/>
    <w:rsid w:val="004C57EA"/>
    <w:rsid w:val="004D0004"/>
    <w:rsid w:val="004D2728"/>
    <w:rsid w:val="004D7CC8"/>
    <w:rsid w:val="004E073A"/>
    <w:rsid w:val="004F3751"/>
    <w:rsid w:val="004F605B"/>
    <w:rsid w:val="00502D46"/>
    <w:rsid w:val="00506085"/>
    <w:rsid w:val="00507B3C"/>
    <w:rsid w:val="00511DA7"/>
    <w:rsid w:val="00526844"/>
    <w:rsid w:val="0053174A"/>
    <w:rsid w:val="00532440"/>
    <w:rsid w:val="0053397E"/>
    <w:rsid w:val="005341CB"/>
    <w:rsid w:val="00543F76"/>
    <w:rsid w:val="00550615"/>
    <w:rsid w:val="0055128B"/>
    <w:rsid w:val="00551555"/>
    <w:rsid w:val="00563647"/>
    <w:rsid w:val="00566FB6"/>
    <w:rsid w:val="005715D1"/>
    <w:rsid w:val="00573AD1"/>
    <w:rsid w:val="005764D3"/>
    <w:rsid w:val="00581321"/>
    <w:rsid w:val="0058391D"/>
    <w:rsid w:val="005A171A"/>
    <w:rsid w:val="005A427A"/>
    <w:rsid w:val="005A4790"/>
    <w:rsid w:val="005B33AF"/>
    <w:rsid w:val="005B5582"/>
    <w:rsid w:val="005B6EB0"/>
    <w:rsid w:val="005C1331"/>
    <w:rsid w:val="005C1B38"/>
    <w:rsid w:val="005C385B"/>
    <w:rsid w:val="005C7F55"/>
    <w:rsid w:val="005E11B8"/>
    <w:rsid w:val="005E46BC"/>
    <w:rsid w:val="005E5055"/>
    <w:rsid w:val="005F06D4"/>
    <w:rsid w:val="005F080A"/>
    <w:rsid w:val="005F46D2"/>
    <w:rsid w:val="00601EB3"/>
    <w:rsid w:val="00606691"/>
    <w:rsid w:val="006222E6"/>
    <w:rsid w:val="006319A8"/>
    <w:rsid w:val="00633E3A"/>
    <w:rsid w:val="006635C4"/>
    <w:rsid w:val="00663B2C"/>
    <w:rsid w:val="00664FB0"/>
    <w:rsid w:val="00674522"/>
    <w:rsid w:val="00686773"/>
    <w:rsid w:val="00691AD0"/>
    <w:rsid w:val="006946AA"/>
    <w:rsid w:val="006A4AF2"/>
    <w:rsid w:val="006A4C78"/>
    <w:rsid w:val="006A52E0"/>
    <w:rsid w:val="006A6F3C"/>
    <w:rsid w:val="006B12B3"/>
    <w:rsid w:val="006C1C0E"/>
    <w:rsid w:val="006C21D6"/>
    <w:rsid w:val="006D42A9"/>
    <w:rsid w:val="006D59F1"/>
    <w:rsid w:val="006E18AA"/>
    <w:rsid w:val="006E417F"/>
    <w:rsid w:val="006F05CE"/>
    <w:rsid w:val="006F3FA6"/>
    <w:rsid w:val="006F7BF9"/>
    <w:rsid w:val="0070033E"/>
    <w:rsid w:val="00702A79"/>
    <w:rsid w:val="00702C6E"/>
    <w:rsid w:val="00704870"/>
    <w:rsid w:val="00705E75"/>
    <w:rsid w:val="007072C2"/>
    <w:rsid w:val="0070751F"/>
    <w:rsid w:val="00717633"/>
    <w:rsid w:val="00722173"/>
    <w:rsid w:val="00727BEB"/>
    <w:rsid w:val="00727C04"/>
    <w:rsid w:val="00730C0E"/>
    <w:rsid w:val="00731B59"/>
    <w:rsid w:val="0073572A"/>
    <w:rsid w:val="00736485"/>
    <w:rsid w:val="00741124"/>
    <w:rsid w:val="00741968"/>
    <w:rsid w:val="007455B6"/>
    <w:rsid w:val="00746AA1"/>
    <w:rsid w:val="0075192F"/>
    <w:rsid w:val="0076447D"/>
    <w:rsid w:val="007743C4"/>
    <w:rsid w:val="0078004C"/>
    <w:rsid w:val="007821B2"/>
    <w:rsid w:val="00792DD2"/>
    <w:rsid w:val="007933A1"/>
    <w:rsid w:val="007A5C4A"/>
    <w:rsid w:val="007A72BE"/>
    <w:rsid w:val="007B4627"/>
    <w:rsid w:val="007B6540"/>
    <w:rsid w:val="007B76EC"/>
    <w:rsid w:val="007C56EE"/>
    <w:rsid w:val="007D4640"/>
    <w:rsid w:val="007D4C43"/>
    <w:rsid w:val="007E0E61"/>
    <w:rsid w:val="007E49F6"/>
    <w:rsid w:val="007E7623"/>
    <w:rsid w:val="007F1797"/>
    <w:rsid w:val="007F21BB"/>
    <w:rsid w:val="007F6CCE"/>
    <w:rsid w:val="008034E4"/>
    <w:rsid w:val="00806D6E"/>
    <w:rsid w:val="00812A63"/>
    <w:rsid w:val="00812B86"/>
    <w:rsid w:val="00814A9F"/>
    <w:rsid w:val="00815A2B"/>
    <w:rsid w:val="00816D5A"/>
    <w:rsid w:val="00820892"/>
    <w:rsid w:val="00822259"/>
    <w:rsid w:val="00825D5E"/>
    <w:rsid w:val="00826D25"/>
    <w:rsid w:val="00835A7C"/>
    <w:rsid w:val="00836A1B"/>
    <w:rsid w:val="0084293A"/>
    <w:rsid w:val="00844EF8"/>
    <w:rsid w:val="00845C72"/>
    <w:rsid w:val="00847AFF"/>
    <w:rsid w:val="00847C3F"/>
    <w:rsid w:val="00852F8B"/>
    <w:rsid w:val="00871A26"/>
    <w:rsid w:val="00883D42"/>
    <w:rsid w:val="0088506B"/>
    <w:rsid w:val="008A13EF"/>
    <w:rsid w:val="008A2B24"/>
    <w:rsid w:val="008B17CB"/>
    <w:rsid w:val="008B199E"/>
    <w:rsid w:val="008B460B"/>
    <w:rsid w:val="008C175B"/>
    <w:rsid w:val="008C2CC0"/>
    <w:rsid w:val="008C4AE6"/>
    <w:rsid w:val="008C6760"/>
    <w:rsid w:val="008E1538"/>
    <w:rsid w:val="008E246B"/>
    <w:rsid w:val="008E2BFB"/>
    <w:rsid w:val="008E6C37"/>
    <w:rsid w:val="008E76FF"/>
    <w:rsid w:val="008F3177"/>
    <w:rsid w:val="008F70F5"/>
    <w:rsid w:val="008F7B36"/>
    <w:rsid w:val="008F7B85"/>
    <w:rsid w:val="00900C17"/>
    <w:rsid w:val="009027A1"/>
    <w:rsid w:val="009027BF"/>
    <w:rsid w:val="00907CB2"/>
    <w:rsid w:val="009204B8"/>
    <w:rsid w:val="00924D44"/>
    <w:rsid w:val="00925922"/>
    <w:rsid w:val="0092631A"/>
    <w:rsid w:val="0092787D"/>
    <w:rsid w:val="00931F4C"/>
    <w:rsid w:val="00932A6C"/>
    <w:rsid w:val="00941380"/>
    <w:rsid w:val="00943C49"/>
    <w:rsid w:val="00943D37"/>
    <w:rsid w:val="00943E94"/>
    <w:rsid w:val="0095733F"/>
    <w:rsid w:val="00957AB8"/>
    <w:rsid w:val="00960BBD"/>
    <w:rsid w:val="0096570B"/>
    <w:rsid w:val="00971A60"/>
    <w:rsid w:val="0098523C"/>
    <w:rsid w:val="00986394"/>
    <w:rsid w:val="00990D6F"/>
    <w:rsid w:val="0099139F"/>
    <w:rsid w:val="00997C6B"/>
    <w:rsid w:val="009A2BDB"/>
    <w:rsid w:val="009A6271"/>
    <w:rsid w:val="009A64A5"/>
    <w:rsid w:val="009B1061"/>
    <w:rsid w:val="009B5973"/>
    <w:rsid w:val="009B7165"/>
    <w:rsid w:val="009C04F4"/>
    <w:rsid w:val="009C0B5A"/>
    <w:rsid w:val="009C1A3F"/>
    <w:rsid w:val="009C4384"/>
    <w:rsid w:val="009C50BB"/>
    <w:rsid w:val="009C5485"/>
    <w:rsid w:val="009D0B5E"/>
    <w:rsid w:val="009D11B8"/>
    <w:rsid w:val="009D2D7D"/>
    <w:rsid w:val="009D36B6"/>
    <w:rsid w:val="009D5F85"/>
    <w:rsid w:val="009E0AD4"/>
    <w:rsid w:val="009E1DF1"/>
    <w:rsid w:val="009E2DA5"/>
    <w:rsid w:val="009E52FD"/>
    <w:rsid w:val="009E5989"/>
    <w:rsid w:val="009E68F0"/>
    <w:rsid w:val="009E7DE3"/>
    <w:rsid w:val="009F518A"/>
    <w:rsid w:val="009F68B1"/>
    <w:rsid w:val="00A02A37"/>
    <w:rsid w:val="00A02E16"/>
    <w:rsid w:val="00A055EA"/>
    <w:rsid w:val="00A0744B"/>
    <w:rsid w:val="00A113FC"/>
    <w:rsid w:val="00A11C23"/>
    <w:rsid w:val="00A2270E"/>
    <w:rsid w:val="00A30CC8"/>
    <w:rsid w:val="00A34FDF"/>
    <w:rsid w:val="00A422F1"/>
    <w:rsid w:val="00A57249"/>
    <w:rsid w:val="00A60105"/>
    <w:rsid w:val="00A64ABE"/>
    <w:rsid w:val="00A7441E"/>
    <w:rsid w:val="00A7584E"/>
    <w:rsid w:val="00A8080D"/>
    <w:rsid w:val="00A85814"/>
    <w:rsid w:val="00A879F6"/>
    <w:rsid w:val="00A92AD4"/>
    <w:rsid w:val="00A931C5"/>
    <w:rsid w:val="00AA0E54"/>
    <w:rsid w:val="00AA1E47"/>
    <w:rsid w:val="00AA7CF7"/>
    <w:rsid w:val="00AB6086"/>
    <w:rsid w:val="00AB6A01"/>
    <w:rsid w:val="00AC09A1"/>
    <w:rsid w:val="00AD3B24"/>
    <w:rsid w:val="00AD4C75"/>
    <w:rsid w:val="00AD58AA"/>
    <w:rsid w:val="00AD6000"/>
    <w:rsid w:val="00AD6B60"/>
    <w:rsid w:val="00AE43FA"/>
    <w:rsid w:val="00AE7BA9"/>
    <w:rsid w:val="00AE7FF6"/>
    <w:rsid w:val="00AF3D92"/>
    <w:rsid w:val="00AF5ACA"/>
    <w:rsid w:val="00AF6565"/>
    <w:rsid w:val="00AF666E"/>
    <w:rsid w:val="00AF6F58"/>
    <w:rsid w:val="00B00CDE"/>
    <w:rsid w:val="00B11A28"/>
    <w:rsid w:val="00B1421C"/>
    <w:rsid w:val="00B15BDE"/>
    <w:rsid w:val="00B22472"/>
    <w:rsid w:val="00B22933"/>
    <w:rsid w:val="00B246C1"/>
    <w:rsid w:val="00B32754"/>
    <w:rsid w:val="00B37BD0"/>
    <w:rsid w:val="00B37DDB"/>
    <w:rsid w:val="00B40F71"/>
    <w:rsid w:val="00B418F0"/>
    <w:rsid w:val="00B45FBA"/>
    <w:rsid w:val="00B529A8"/>
    <w:rsid w:val="00B52A9F"/>
    <w:rsid w:val="00B555E5"/>
    <w:rsid w:val="00B559A3"/>
    <w:rsid w:val="00B55C02"/>
    <w:rsid w:val="00B60626"/>
    <w:rsid w:val="00B6377C"/>
    <w:rsid w:val="00B64417"/>
    <w:rsid w:val="00B651B3"/>
    <w:rsid w:val="00B670AC"/>
    <w:rsid w:val="00B734E1"/>
    <w:rsid w:val="00B7797E"/>
    <w:rsid w:val="00B853DC"/>
    <w:rsid w:val="00B85DA8"/>
    <w:rsid w:val="00B87599"/>
    <w:rsid w:val="00B9062B"/>
    <w:rsid w:val="00B90BC3"/>
    <w:rsid w:val="00B949AE"/>
    <w:rsid w:val="00B9681C"/>
    <w:rsid w:val="00B97B4D"/>
    <w:rsid w:val="00BA3205"/>
    <w:rsid w:val="00BA4C78"/>
    <w:rsid w:val="00BA73F6"/>
    <w:rsid w:val="00BB211E"/>
    <w:rsid w:val="00BB2769"/>
    <w:rsid w:val="00BB2DB5"/>
    <w:rsid w:val="00BB3B5B"/>
    <w:rsid w:val="00BB47EF"/>
    <w:rsid w:val="00BB7D88"/>
    <w:rsid w:val="00BC6CE8"/>
    <w:rsid w:val="00BC7406"/>
    <w:rsid w:val="00BD0664"/>
    <w:rsid w:val="00BD3A3D"/>
    <w:rsid w:val="00BD6362"/>
    <w:rsid w:val="00BE1B08"/>
    <w:rsid w:val="00BE4D98"/>
    <w:rsid w:val="00BF1090"/>
    <w:rsid w:val="00C04DF9"/>
    <w:rsid w:val="00C10A1C"/>
    <w:rsid w:val="00C11C7A"/>
    <w:rsid w:val="00C16473"/>
    <w:rsid w:val="00C21412"/>
    <w:rsid w:val="00C225EA"/>
    <w:rsid w:val="00C250B4"/>
    <w:rsid w:val="00C25D36"/>
    <w:rsid w:val="00C30B8F"/>
    <w:rsid w:val="00C320A4"/>
    <w:rsid w:val="00C347AF"/>
    <w:rsid w:val="00C35433"/>
    <w:rsid w:val="00C36D80"/>
    <w:rsid w:val="00C447C1"/>
    <w:rsid w:val="00C45E19"/>
    <w:rsid w:val="00C534F0"/>
    <w:rsid w:val="00C62A4A"/>
    <w:rsid w:val="00C64189"/>
    <w:rsid w:val="00C67634"/>
    <w:rsid w:val="00C676E7"/>
    <w:rsid w:val="00C82970"/>
    <w:rsid w:val="00C840C7"/>
    <w:rsid w:val="00C842DA"/>
    <w:rsid w:val="00C91263"/>
    <w:rsid w:val="00C94A59"/>
    <w:rsid w:val="00C95694"/>
    <w:rsid w:val="00CA6204"/>
    <w:rsid w:val="00CA774D"/>
    <w:rsid w:val="00CB6397"/>
    <w:rsid w:val="00CC352C"/>
    <w:rsid w:val="00CC47CB"/>
    <w:rsid w:val="00CC5FE1"/>
    <w:rsid w:val="00CD03F9"/>
    <w:rsid w:val="00CD386F"/>
    <w:rsid w:val="00CE1111"/>
    <w:rsid w:val="00CE3A25"/>
    <w:rsid w:val="00CE3BE3"/>
    <w:rsid w:val="00CF4C2C"/>
    <w:rsid w:val="00D004CF"/>
    <w:rsid w:val="00D00C24"/>
    <w:rsid w:val="00D0244F"/>
    <w:rsid w:val="00D20834"/>
    <w:rsid w:val="00D21270"/>
    <w:rsid w:val="00D21866"/>
    <w:rsid w:val="00D2384F"/>
    <w:rsid w:val="00D27407"/>
    <w:rsid w:val="00D305D4"/>
    <w:rsid w:val="00D310AF"/>
    <w:rsid w:val="00D3704D"/>
    <w:rsid w:val="00D37F0C"/>
    <w:rsid w:val="00D44DCC"/>
    <w:rsid w:val="00D51919"/>
    <w:rsid w:val="00D5243A"/>
    <w:rsid w:val="00D54F98"/>
    <w:rsid w:val="00D57055"/>
    <w:rsid w:val="00D654EC"/>
    <w:rsid w:val="00D66C56"/>
    <w:rsid w:val="00D74783"/>
    <w:rsid w:val="00D75691"/>
    <w:rsid w:val="00D7611B"/>
    <w:rsid w:val="00D84CE9"/>
    <w:rsid w:val="00D9280E"/>
    <w:rsid w:val="00D92AB4"/>
    <w:rsid w:val="00D934AE"/>
    <w:rsid w:val="00D95CA3"/>
    <w:rsid w:val="00DA1279"/>
    <w:rsid w:val="00DA2DE9"/>
    <w:rsid w:val="00DA3D9B"/>
    <w:rsid w:val="00DA48B4"/>
    <w:rsid w:val="00DA6B6B"/>
    <w:rsid w:val="00DA72F8"/>
    <w:rsid w:val="00DB0B87"/>
    <w:rsid w:val="00DC1EC0"/>
    <w:rsid w:val="00DC3E35"/>
    <w:rsid w:val="00DC6488"/>
    <w:rsid w:val="00DD2DE3"/>
    <w:rsid w:val="00DD3235"/>
    <w:rsid w:val="00DD3F2F"/>
    <w:rsid w:val="00DD5274"/>
    <w:rsid w:val="00DD553E"/>
    <w:rsid w:val="00DE1483"/>
    <w:rsid w:val="00DE56A1"/>
    <w:rsid w:val="00DF0E3E"/>
    <w:rsid w:val="00DF172E"/>
    <w:rsid w:val="00E05343"/>
    <w:rsid w:val="00E17720"/>
    <w:rsid w:val="00E22801"/>
    <w:rsid w:val="00E23AE5"/>
    <w:rsid w:val="00E272B5"/>
    <w:rsid w:val="00E3771B"/>
    <w:rsid w:val="00E41DBA"/>
    <w:rsid w:val="00E425C7"/>
    <w:rsid w:val="00E542BE"/>
    <w:rsid w:val="00E573F5"/>
    <w:rsid w:val="00E62CC4"/>
    <w:rsid w:val="00E67912"/>
    <w:rsid w:val="00E73989"/>
    <w:rsid w:val="00E772E3"/>
    <w:rsid w:val="00E80235"/>
    <w:rsid w:val="00E83A63"/>
    <w:rsid w:val="00E9753B"/>
    <w:rsid w:val="00E97CB9"/>
    <w:rsid w:val="00EA759E"/>
    <w:rsid w:val="00EA7DC4"/>
    <w:rsid w:val="00EB7D20"/>
    <w:rsid w:val="00EC1D56"/>
    <w:rsid w:val="00EC4BAE"/>
    <w:rsid w:val="00ED5BD7"/>
    <w:rsid w:val="00EE62D5"/>
    <w:rsid w:val="00EF3B7D"/>
    <w:rsid w:val="00F019FE"/>
    <w:rsid w:val="00F01A7F"/>
    <w:rsid w:val="00F02620"/>
    <w:rsid w:val="00F05779"/>
    <w:rsid w:val="00F06CF7"/>
    <w:rsid w:val="00F07361"/>
    <w:rsid w:val="00F10609"/>
    <w:rsid w:val="00F20095"/>
    <w:rsid w:val="00F20482"/>
    <w:rsid w:val="00F22C6B"/>
    <w:rsid w:val="00F22E84"/>
    <w:rsid w:val="00F313A6"/>
    <w:rsid w:val="00F317EE"/>
    <w:rsid w:val="00F32670"/>
    <w:rsid w:val="00F355CA"/>
    <w:rsid w:val="00F37F6E"/>
    <w:rsid w:val="00F37FC8"/>
    <w:rsid w:val="00F42686"/>
    <w:rsid w:val="00F439F1"/>
    <w:rsid w:val="00F56F9A"/>
    <w:rsid w:val="00F575CB"/>
    <w:rsid w:val="00F6410B"/>
    <w:rsid w:val="00F668D8"/>
    <w:rsid w:val="00F67693"/>
    <w:rsid w:val="00F7659E"/>
    <w:rsid w:val="00F8703D"/>
    <w:rsid w:val="00F87518"/>
    <w:rsid w:val="00F91AFD"/>
    <w:rsid w:val="00F95DD9"/>
    <w:rsid w:val="00F97B2F"/>
    <w:rsid w:val="00FA21B0"/>
    <w:rsid w:val="00FA5F54"/>
    <w:rsid w:val="00FB2066"/>
    <w:rsid w:val="00FB20BD"/>
    <w:rsid w:val="00FB2E26"/>
    <w:rsid w:val="00FB739E"/>
    <w:rsid w:val="00FC0A2D"/>
    <w:rsid w:val="00FD064F"/>
    <w:rsid w:val="00FD1CCC"/>
    <w:rsid w:val="00FD7484"/>
    <w:rsid w:val="00FE13FA"/>
    <w:rsid w:val="00FE33A7"/>
    <w:rsid w:val="00FE5F79"/>
    <w:rsid w:val="00FE669E"/>
    <w:rsid w:val="00FE75A7"/>
    <w:rsid w:val="00FF11B5"/>
    <w:rsid w:val="00FF30CB"/>
    <w:rsid w:val="00FF6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72319A-D240-4674-A8B9-94414C5E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04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0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704D"/>
    <w:rPr>
      <w:sz w:val="18"/>
      <w:szCs w:val="18"/>
    </w:rPr>
  </w:style>
  <w:style w:type="paragraph" w:styleId="a5">
    <w:name w:val="footer"/>
    <w:basedOn w:val="a"/>
    <w:link w:val="a6"/>
    <w:uiPriority w:val="99"/>
    <w:unhideWhenUsed/>
    <w:rsid w:val="00D370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3704D"/>
    <w:rPr>
      <w:sz w:val="18"/>
      <w:szCs w:val="18"/>
    </w:rPr>
  </w:style>
  <w:style w:type="paragraph" w:customStyle="1" w:styleId="Default">
    <w:name w:val="Default"/>
    <w:rsid w:val="00B246C1"/>
    <w:pPr>
      <w:widowControl w:val="0"/>
      <w:autoSpaceDE w:val="0"/>
      <w:autoSpaceDN w:val="0"/>
      <w:adjustRightInd w:val="0"/>
    </w:pPr>
    <w:rPr>
      <w:rFonts w:ascii="宋体" w:eastAsia="宋体" w:cs="宋体"/>
      <w:color w:val="000000"/>
      <w:kern w:val="0"/>
      <w:sz w:val="24"/>
      <w:szCs w:val="24"/>
    </w:rPr>
  </w:style>
  <w:style w:type="character" w:styleId="a7">
    <w:name w:val="annotation reference"/>
    <w:basedOn w:val="a0"/>
    <w:uiPriority w:val="99"/>
    <w:semiHidden/>
    <w:unhideWhenUsed/>
    <w:rsid w:val="00941380"/>
    <w:rPr>
      <w:sz w:val="21"/>
      <w:szCs w:val="21"/>
    </w:rPr>
  </w:style>
  <w:style w:type="paragraph" w:styleId="a8">
    <w:name w:val="annotation text"/>
    <w:basedOn w:val="a"/>
    <w:link w:val="a9"/>
    <w:uiPriority w:val="99"/>
    <w:semiHidden/>
    <w:unhideWhenUsed/>
    <w:rsid w:val="00941380"/>
    <w:pPr>
      <w:jc w:val="left"/>
    </w:pPr>
  </w:style>
  <w:style w:type="character" w:customStyle="1" w:styleId="a9">
    <w:name w:val="批注文字 字符"/>
    <w:basedOn w:val="a0"/>
    <w:link w:val="a8"/>
    <w:uiPriority w:val="99"/>
    <w:semiHidden/>
    <w:rsid w:val="00941380"/>
    <w:rPr>
      <w:rFonts w:ascii="Times New Roman" w:eastAsia="宋体" w:hAnsi="Times New Roman" w:cs="Times New Roman"/>
      <w:szCs w:val="20"/>
    </w:rPr>
  </w:style>
  <w:style w:type="paragraph" w:styleId="aa">
    <w:name w:val="annotation subject"/>
    <w:basedOn w:val="a8"/>
    <w:next w:val="a8"/>
    <w:link w:val="ab"/>
    <w:uiPriority w:val="99"/>
    <w:semiHidden/>
    <w:unhideWhenUsed/>
    <w:rsid w:val="00941380"/>
    <w:rPr>
      <w:b/>
      <w:bCs/>
    </w:rPr>
  </w:style>
  <w:style w:type="character" w:customStyle="1" w:styleId="ab">
    <w:name w:val="批注主题 字符"/>
    <w:basedOn w:val="a9"/>
    <w:link w:val="aa"/>
    <w:uiPriority w:val="99"/>
    <w:semiHidden/>
    <w:rsid w:val="00941380"/>
    <w:rPr>
      <w:rFonts w:ascii="Times New Roman" w:eastAsia="宋体" w:hAnsi="Times New Roman" w:cs="Times New Roman"/>
      <w:b/>
      <w:bCs/>
      <w:szCs w:val="20"/>
    </w:rPr>
  </w:style>
  <w:style w:type="paragraph" w:styleId="ac">
    <w:name w:val="Balloon Text"/>
    <w:basedOn w:val="a"/>
    <w:link w:val="ad"/>
    <w:uiPriority w:val="99"/>
    <w:semiHidden/>
    <w:unhideWhenUsed/>
    <w:rsid w:val="00941380"/>
    <w:rPr>
      <w:sz w:val="18"/>
      <w:szCs w:val="18"/>
    </w:rPr>
  </w:style>
  <w:style w:type="character" w:customStyle="1" w:styleId="ad">
    <w:name w:val="批注框文本 字符"/>
    <w:basedOn w:val="a0"/>
    <w:link w:val="ac"/>
    <w:uiPriority w:val="99"/>
    <w:semiHidden/>
    <w:rsid w:val="00941380"/>
    <w:rPr>
      <w:rFonts w:ascii="Times New Roman" w:eastAsia="宋体" w:hAnsi="Times New Roman" w:cs="Times New Roman"/>
      <w:sz w:val="18"/>
      <w:szCs w:val="18"/>
    </w:rPr>
  </w:style>
  <w:style w:type="character" w:customStyle="1" w:styleId="hrefstyle">
    <w:name w:val="hrefstyle"/>
    <w:basedOn w:val="a0"/>
    <w:rsid w:val="00A30CC8"/>
  </w:style>
  <w:style w:type="character" w:styleId="ae">
    <w:name w:val="Emphasis"/>
    <w:basedOn w:val="a0"/>
    <w:uiPriority w:val="20"/>
    <w:qFormat/>
    <w:rsid w:val="000A6856"/>
    <w:rPr>
      <w:i/>
      <w:iCs/>
    </w:rPr>
  </w:style>
  <w:style w:type="paragraph" w:styleId="af">
    <w:name w:val="Normal (Web)"/>
    <w:basedOn w:val="a"/>
    <w:uiPriority w:val="99"/>
    <w:unhideWhenUsed/>
    <w:rsid w:val="007933A1"/>
    <w:pPr>
      <w:widowControl/>
      <w:spacing w:before="100" w:beforeAutospacing="1" w:after="100" w:afterAutospacing="1"/>
      <w:jc w:val="left"/>
    </w:pPr>
    <w:rPr>
      <w:rFonts w:ascii="宋体" w:hAnsi="宋体" w:cs="宋体"/>
      <w:kern w:val="0"/>
      <w:sz w:val="24"/>
      <w:szCs w:val="24"/>
    </w:rPr>
  </w:style>
  <w:style w:type="paragraph" w:styleId="af0">
    <w:name w:val="List Paragraph"/>
    <w:basedOn w:val="a"/>
    <w:uiPriority w:val="34"/>
    <w:qFormat/>
    <w:rsid w:val="00134783"/>
    <w:pPr>
      <w:ind w:firstLineChars="200" w:firstLine="420"/>
    </w:pPr>
    <w:rPr>
      <w:rFonts w:asciiTheme="minorHAnsi" w:eastAsiaTheme="minorEastAsia" w:hAnsiTheme="minorHAnsi" w:cstheme="minorBidi"/>
      <w:szCs w:val="22"/>
    </w:rPr>
  </w:style>
  <w:style w:type="character" w:customStyle="1" w:styleId="highlight">
    <w:name w:val="highlight"/>
    <w:basedOn w:val="a0"/>
    <w:rsid w:val="008A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7925">
      <w:bodyDiv w:val="1"/>
      <w:marLeft w:val="0"/>
      <w:marRight w:val="0"/>
      <w:marTop w:val="0"/>
      <w:marBottom w:val="0"/>
      <w:divBdr>
        <w:top w:val="none" w:sz="0" w:space="0" w:color="auto"/>
        <w:left w:val="none" w:sz="0" w:space="0" w:color="auto"/>
        <w:bottom w:val="none" w:sz="0" w:space="0" w:color="auto"/>
        <w:right w:val="none" w:sz="0" w:space="0" w:color="auto"/>
      </w:divBdr>
    </w:div>
    <w:div w:id="745565829">
      <w:bodyDiv w:val="1"/>
      <w:marLeft w:val="0"/>
      <w:marRight w:val="0"/>
      <w:marTop w:val="0"/>
      <w:marBottom w:val="0"/>
      <w:divBdr>
        <w:top w:val="none" w:sz="0" w:space="0" w:color="auto"/>
        <w:left w:val="none" w:sz="0" w:space="0" w:color="auto"/>
        <w:bottom w:val="none" w:sz="0" w:space="0" w:color="auto"/>
        <w:right w:val="none" w:sz="0" w:space="0" w:color="auto"/>
      </w:divBdr>
    </w:div>
    <w:div w:id="1316764688">
      <w:bodyDiv w:val="1"/>
      <w:marLeft w:val="0"/>
      <w:marRight w:val="0"/>
      <w:marTop w:val="0"/>
      <w:marBottom w:val="0"/>
      <w:divBdr>
        <w:top w:val="none" w:sz="0" w:space="0" w:color="auto"/>
        <w:left w:val="none" w:sz="0" w:space="0" w:color="auto"/>
        <w:bottom w:val="none" w:sz="0" w:space="0" w:color="auto"/>
        <w:right w:val="none" w:sz="0" w:space="0" w:color="auto"/>
      </w:divBdr>
    </w:div>
    <w:div w:id="1557274453">
      <w:bodyDiv w:val="1"/>
      <w:marLeft w:val="0"/>
      <w:marRight w:val="0"/>
      <w:marTop w:val="0"/>
      <w:marBottom w:val="0"/>
      <w:divBdr>
        <w:top w:val="none" w:sz="0" w:space="0" w:color="auto"/>
        <w:left w:val="none" w:sz="0" w:space="0" w:color="auto"/>
        <w:bottom w:val="none" w:sz="0" w:space="0" w:color="auto"/>
        <w:right w:val="none" w:sz="0" w:space="0" w:color="auto"/>
      </w:divBdr>
    </w:div>
    <w:div w:id="1635869168">
      <w:bodyDiv w:val="1"/>
      <w:marLeft w:val="0"/>
      <w:marRight w:val="0"/>
      <w:marTop w:val="0"/>
      <w:marBottom w:val="0"/>
      <w:divBdr>
        <w:top w:val="none" w:sz="0" w:space="0" w:color="auto"/>
        <w:left w:val="none" w:sz="0" w:space="0" w:color="auto"/>
        <w:bottom w:val="none" w:sz="0" w:space="0" w:color="auto"/>
        <w:right w:val="none" w:sz="0" w:space="0" w:color="auto"/>
      </w:divBdr>
    </w:div>
    <w:div w:id="1639677147">
      <w:bodyDiv w:val="1"/>
      <w:marLeft w:val="0"/>
      <w:marRight w:val="0"/>
      <w:marTop w:val="0"/>
      <w:marBottom w:val="0"/>
      <w:divBdr>
        <w:top w:val="none" w:sz="0" w:space="0" w:color="auto"/>
        <w:left w:val="none" w:sz="0" w:space="0" w:color="auto"/>
        <w:bottom w:val="none" w:sz="0" w:space="0" w:color="auto"/>
        <w:right w:val="none" w:sz="0" w:space="0" w:color="auto"/>
      </w:divBdr>
    </w:div>
    <w:div w:id="1822116309">
      <w:bodyDiv w:val="1"/>
      <w:marLeft w:val="0"/>
      <w:marRight w:val="0"/>
      <w:marTop w:val="0"/>
      <w:marBottom w:val="0"/>
      <w:divBdr>
        <w:top w:val="none" w:sz="0" w:space="0" w:color="auto"/>
        <w:left w:val="none" w:sz="0" w:space="0" w:color="auto"/>
        <w:bottom w:val="none" w:sz="0" w:space="0" w:color="auto"/>
        <w:right w:val="none" w:sz="0" w:space="0" w:color="auto"/>
      </w:divBdr>
    </w:div>
    <w:div w:id="1875918309">
      <w:bodyDiv w:val="1"/>
      <w:marLeft w:val="0"/>
      <w:marRight w:val="0"/>
      <w:marTop w:val="0"/>
      <w:marBottom w:val="0"/>
      <w:divBdr>
        <w:top w:val="none" w:sz="0" w:space="0" w:color="auto"/>
        <w:left w:val="none" w:sz="0" w:space="0" w:color="auto"/>
        <w:bottom w:val="none" w:sz="0" w:space="0" w:color="auto"/>
        <w:right w:val="none" w:sz="0" w:space="0" w:color="auto"/>
      </w:divBdr>
    </w:div>
    <w:div w:id="1885673827">
      <w:bodyDiv w:val="1"/>
      <w:marLeft w:val="0"/>
      <w:marRight w:val="0"/>
      <w:marTop w:val="0"/>
      <w:marBottom w:val="0"/>
      <w:divBdr>
        <w:top w:val="none" w:sz="0" w:space="0" w:color="auto"/>
        <w:left w:val="none" w:sz="0" w:space="0" w:color="auto"/>
        <w:bottom w:val="none" w:sz="0" w:space="0" w:color="auto"/>
        <w:right w:val="none" w:sz="0" w:space="0" w:color="auto"/>
      </w:divBdr>
    </w:div>
    <w:div w:id="1913733952">
      <w:bodyDiv w:val="1"/>
      <w:marLeft w:val="0"/>
      <w:marRight w:val="0"/>
      <w:marTop w:val="0"/>
      <w:marBottom w:val="0"/>
      <w:divBdr>
        <w:top w:val="none" w:sz="0" w:space="0" w:color="auto"/>
        <w:left w:val="none" w:sz="0" w:space="0" w:color="auto"/>
        <w:bottom w:val="none" w:sz="0" w:space="0" w:color="auto"/>
        <w:right w:val="none" w:sz="0" w:space="0" w:color="auto"/>
      </w:divBdr>
    </w:div>
    <w:div w:id="2074422941">
      <w:bodyDiv w:val="1"/>
      <w:marLeft w:val="0"/>
      <w:marRight w:val="0"/>
      <w:marTop w:val="0"/>
      <w:marBottom w:val="0"/>
      <w:divBdr>
        <w:top w:val="none" w:sz="0" w:space="0" w:color="auto"/>
        <w:left w:val="none" w:sz="0" w:space="0" w:color="auto"/>
        <w:bottom w:val="none" w:sz="0" w:space="0" w:color="auto"/>
        <w:right w:val="none" w:sz="0" w:space="0" w:color="auto"/>
      </w:divBdr>
    </w:div>
    <w:div w:id="21462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1831-9FA7-4B8B-95BE-11E4F6BE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4017</TotalTime>
  <Pages>7</Pages>
  <Words>771</Words>
  <Characters>4396</Characters>
  <Application>Microsoft Office Word</Application>
  <DocSecurity>0</DocSecurity>
  <Lines>36</Lines>
  <Paragraphs>10</Paragraphs>
  <ScaleCrop>false</ScaleCrop>
  <Company>Microsoft</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yuanyuzhu</dc:creator>
  <cp:lastModifiedBy>Lyric</cp:lastModifiedBy>
  <cp:revision>135</cp:revision>
  <cp:lastPrinted>2024-07-15T03:11:00Z</cp:lastPrinted>
  <dcterms:created xsi:type="dcterms:W3CDTF">2022-04-09T08:03:00Z</dcterms:created>
  <dcterms:modified xsi:type="dcterms:W3CDTF">2025-07-01T03:45:00Z</dcterms:modified>
</cp:coreProperties>
</file>