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6D609">
      <w:pPr>
        <w:jc w:val="right"/>
        <w:rPr>
          <w:rFonts w:ascii="宋体" w:hAnsi="宋体" w:eastAsia="宋体" w:cs="宋体"/>
          <w:sz w:val="24"/>
        </w:rPr>
      </w:pPr>
      <w:r>
        <w:rPr>
          <w:rFonts w:hint="eastAsia" w:ascii="宋体" w:hAnsi="宋体" w:eastAsia="宋体" w:cs="宋体"/>
          <w:sz w:val="24"/>
        </w:rPr>
        <w:t xml:space="preserve">证券代码：688388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证券简称：嘉元科技</w:t>
      </w:r>
    </w:p>
    <w:p w14:paraId="2C13F363">
      <w:pPr>
        <w:rPr>
          <w:rFonts w:ascii="宋体" w:hAnsi="宋体" w:eastAsia="宋体" w:cs="宋体"/>
        </w:rPr>
      </w:pPr>
    </w:p>
    <w:p w14:paraId="3DFA6C5C">
      <w:pPr>
        <w:jc w:val="center"/>
        <w:rPr>
          <w:rFonts w:ascii="宋体" w:hAnsi="宋体" w:eastAsia="宋体" w:cs="宋体"/>
          <w:b/>
          <w:bCs/>
          <w:sz w:val="30"/>
          <w:szCs w:val="30"/>
        </w:rPr>
      </w:pPr>
      <w:r>
        <w:rPr>
          <w:rFonts w:hint="eastAsia" w:ascii="宋体" w:hAnsi="宋体" w:eastAsia="宋体" w:cs="宋体"/>
          <w:b/>
          <w:bCs/>
          <w:sz w:val="30"/>
          <w:szCs w:val="30"/>
        </w:rPr>
        <w:t>广东嘉元科技股份有限公司投资者关系活动记录表</w:t>
      </w:r>
    </w:p>
    <w:tbl>
      <w:tblPr>
        <w:tblStyle w:val="3"/>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6850"/>
      </w:tblGrid>
      <w:tr w14:paraId="6DB5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661" w:type="dxa"/>
            <w:vAlign w:val="center"/>
          </w:tcPr>
          <w:p w14:paraId="7A52B37E">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投资者关系</w:t>
            </w:r>
          </w:p>
          <w:p w14:paraId="4498730B">
            <w:pPr>
              <w:spacing w:line="360" w:lineRule="auto"/>
              <w:jc w:val="center"/>
              <w:rPr>
                <w:rFonts w:ascii="宋体" w:hAnsi="宋体" w:eastAsia="宋体" w:cs="宋体"/>
                <w:b/>
                <w:bCs/>
                <w:color w:val="auto"/>
                <w:sz w:val="30"/>
                <w:szCs w:val="30"/>
                <w:highlight w:val="none"/>
              </w:rPr>
            </w:pPr>
            <w:r>
              <w:rPr>
                <w:rFonts w:hint="eastAsia" w:ascii="宋体" w:hAnsi="宋体" w:eastAsia="宋体" w:cs="宋体"/>
                <w:color w:val="auto"/>
                <w:sz w:val="24"/>
                <w:highlight w:val="none"/>
              </w:rPr>
              <w:t>活动类别</w:t>
            </w:r>
          </w:p>
        </w:tc>
        <w:tc>
          <w:tcPr>
            <w:tcW w:w="6850" w:type="dxa"/>
            <w:vAlign w:val="center"/>
          </w:tcPr>
          <w:p w14:paraId="0C11FC5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 xml:space="preserve">特定对象调研      </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分析师会议</w:t>
            </w:r>
          </w:p>
          <w:p w14:paraId="1D8A5E7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 xml:space="preserve">媒体采访          </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业绩说明会</w:t>
            </w:r>
          </w:p>
          <w:p w14:paraId="5DE3C77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 xml:space="preserve">新闻发布会        </w:t>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路演活动</w:t>
            </w:r>
          </w:p>
          <w:p w14:paraId="48F1639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现场参观</w:t>
            </w:r>
          </w:p>
          <w:p w14:paraId="6DE5BDFC">
            <w:pPr>
              <w:spacing w:line="360" w:lineRule="auto"/>
              <w:jc w:val="left"/>
              <w:rPr>
                <w:rFonts w:ascii="宋体" w:hAnsi="宋体" w:eastAsia="宋体" w:cs="宋体"/>
                <w:b/>
                <w:bCs/>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线上交流</w:t>
            </w:r>
          </w:p>
        </w:tc>
      </w:tr>
      <w:tr w14:paraId="55B8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61" w:type="dxa"/>
            <w:vAlign w:val="center"/>
          </w:tcPr>
          <w:p w14:paraId="348DA540">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参与活动</w:t>
            </w:r>
          </w:p>
          <w:p w14:paraId="43632CD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6850" w:type="dxa"/>
            <w:vAlign w:val="center"/>
          </w:tcPr>
          <w:p w14:paraId="3D3E63C2">
            <w:pPr>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国海证券、招商证券、国信证券、山西证券、龙腾资产、长城基金、榕树投资等110家机构的调研员及投资者约140人</w:t>
            </w:r>
          </w:p>
        </w:tc>
      </w:tr>
      <w:tr w14:paraId="2F22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661" w:type="dxa"/>
            <w:vAlign w:val="center"/>
          </w:tcPr>
          <w:p w14:paraId="42E3D4D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上市公司</w:t>
            </w:r>
          </w:p>
          <w:p w14:paraId="374CE96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接待人员</w:t>
            </w:r>
          </w:p>
        </w:tc>
        <w:tc>
          <w:tcPr>
            <w:tcW w:w="6850" w:type="dxa"/>
            <w:vAlign w:val="center"/>
          </w:tcPr>
          <w:p w14:paraId="1DDD0A93">
            <w:pPr>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董事长</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廖平元</w:t>
            </w:r>
          </w:p>
          <w:p w14:paraId="1B57967C">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董事、总裁（总经理）：杨剑文</w:t>
            </w:r>
          </w:p>
          <w:p w14:paraId="1872A0B2">
            <w:pPr>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董事、常务副总裁：李建国</w:t>
            </w:r>
          </w:p>
          <w:p w14:paraId="1B422EA6">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董事会秘书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副总裁：李恒宏</w:t>
            </w:r>
          </w:p>
          <w:p w14:paraId="4E98E64D">
            <w:pPr>
              <w:spacing w:line="360" w:lineRule="auto"/>
              <w:jc w:val="both"/>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财务</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rPr>
              <w:t>廖国颂</w:t>
            </w:r>
          </w:p>
          <w:p w14:paraId="622AAD3B">
            <w:pPr>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总工程师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王俊锋</w:t>
            </w:r>
          </w:p>
          <w:p w14:paraId="593BC62C">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副总裁：肖建斌</w:t>
            </w:r>
          </w:p>
          <w:p w14:paraId="27EB1F1B">
            <w:pPr>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证券事务代表：杜京宣</w:t>
            </w:r>
          </w:p>
        </w:tc>
      </w:tr>
      <w:tr w14:paraId="7CB5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661" w:type="dxa"/>
            <w:vAlign w:val="center"/>
          </w:tcPr>
          <w:p w14:paraId="60DB7C3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6850" w:type="dxa"/>
            <w:vAlign w:val="center"/>
          </w:tcPr>
          <w:p w14:paraId="41F4EB90">
            <w:pPr>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default"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w:t>
            </w:r>
            <w:r>
              <w:rPr>
                <w:rFonts w:hint="default"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en-US" w:eastAsia="zh-CN"/>
              </w:rPr>
              <w:t>0-17:</w:t>
            </w:r>
            <w:r>
              <w:rPr>
                <w:rFonts w:hint="default"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en-US" w:eastAsia="zh-CN"/>
              </w:rPr>
              <w:t>0</w:t>
            </w:r>
          </w:p>
        </w:tc>
      </w:tr>
      <w:tr w14:paraId="5400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61" w:type="dxa"/>
            <w:vAlign w:val="center"/>
          </w:tcPr>
          <w:p w14:paraId="322757E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地点</w:t>
            </w:r>
          </w:p>
        </w:tc>
        <w:tc>
          <w:tcPr>
            <w:tcW w:w="6850" w:type="dxa"/>
            <w:vAlign w:val="center"/>
          </w:tcPr>
          <w:p w14:paraId="11BC142B">
            <w:pPr>
              <w:spacing w:line="360" w:lineRule="auto"/>
              <w:jc w:val="both"/>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rPr>
              <w:t>深圳证券交易所西广场36楼上海证券报路演中心</w:t>
            </w:r>
            <w:r>
              <w:rPr>
                <w:rFonts w:hint="eastAsia" w:ascii="宋体" w:hAnsi="宋体" w:eastAsia="宋体" w:cs="宋体"/>
                <w:color w:val="auto"/>
                <w:sz w:val="24"/>
                <w:highlight w:val="none"/>
                <w:lang w:val="en-US" w:eastAsia="zh-CN"/>
              </w:rPr>
              <w:t>及线上会议</w:t>
            </w:r>
          </w:p>
        </w:tc>
      </w:tr>
      <w:tr w14:paraId="50A9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61" w:type="dxa"/>
            <w:vAlign w:val="center"/>
          </w:tcPr>
          <w:p w14:paraId="4E9A27F2">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投资者关系</w:t>
            </w:r>
          </w:p>
          <w:p w14:paraId="5C8586E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活动主要</w:t>
            </w:r>
          </w:p>
          <w:p w14:paraId="1A99FF20">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内容介绍</w:t>
            </w:r>
          </w:p>
        </w:tc>
        <w:tc>
          <w:tcPr>
            <w:tcW w:w="6850" w:type="dxa"/>
            <w:vAlign w:val="center"/>
          </w:tcPr>
          <w:p w14:paraId="166E21AE">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投资者关系活动的主要内容如下：</w:t>
            </w:r>
          </w:p>
          <w:p w14:paraId="313637F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交流会议采取问答的形式，公司参会人员就机构投资者关注的问题给予解答，帮助投资者更全面地了解公司的经营情况，公司参会人员在会议过程中遵循了投资者关系管理规定、上市公司信息披露等规定。</w:t>
            </w:r>
          </w:p>
        </w:tc>
      </w:tr>
      <w:tr w14:paraId="57C0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61" w:type="dxa"/>
            <w:vAlign w:val="center"/>
          </w:tcPr>
          <w:p w14:paraId="712678F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附件清单</w:t>
            </w:r>
          </w:p>
          <w:p w14:paraId="6E71418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（如有）</w:t>
            </w:r>
          </w:p>
        </w:tc>
        <w:tc>
          <w:tcPr>
            <w:tcW w:w="6850" w:type="dxa"/>
            <w:vAlign w:val="center"/>
          </w:tcPr>
          <w:p w14:paraId="77E65D7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董事长致辞</w:t>
            </w:r>
          </w:p>
          <w:p w14:paraId="0BCDEE7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播放公司宣传视频</w:t>
            </w:r>
          </w:p>
          <w:p w14:paraId="394301D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董事会秘书介绍公司主营业务</w:t>
            </w:r>
          </w:p>
          <w:p w14:paraId="3E8417F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问答交流</w:t>
            </w:r>
          </w:p>
          <w:p w14:paraId="1FBE09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highlight w:val="none"/>
              </w:rPr>
              <w:t>我们关注到公司是行业内少数在固态电池领域取得商业化进展的公司，请公司再详细介绍下固态电池铜箔业务现状以及未来的预期？</w:t>
            </w:r>
          </w:p>
          <w:p w14:paraId="2D5F48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回复：</w:t>
            </w:r>
            <w:r>
              <w:rPr>
                <w:rFonts w:hint="eastAsia" w:ascii="宋体" w:hAnsi="宋体" w:eastAsia="宋体" w:cs="宋体"/>
                <w:color w:val="auto"/>
                <w:sz w:val="24"/>
                <w:highlight w:val="none"/>
              </w:rPr>
              <w:t>公司目前所储备的技术已基本满足所有固态电池技术路线的需求，公司已开发了高比表面拓界铜箔、双面镀镍铜箔等产品，解决固态电池负极集流体的界面接触和耐腐蚀问题，提升电池性能，基本满足所有固态电池技术路线的需求。针对未来固态电池技术的发展趋势，公司联动下游企业同步进行新一代电池不同技术路线所需新型负极集流体产品的相关研究及送样工作，未来将根据固态电池用铜箔的市场需求和客户要求进行相关产品的生产和销售。</w:t>
            </w:r>
          </w:p>
          <w:p w14:paraId="719E111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rPr>
              <w:t>公司在固态电池用铜箔研发方面取得了哪些突破</w:t>
            </w:r>
            <w:r>
              <w:rPr>
                <w:rFonts w:hint="eastAsia" w:ascii="宋体" w:hAnsi="宋体" w:eastAsia="宋体" w:cs="宋体"/>
                <w:b/>
                <w:bCs/>
                <w:color w:val="auto"/>
                <w:sz w:val="24"/>
                <w:szCs w:val="24"/>
                <w:highlight w:val="none"/>
                <w:lang w:val="en-US" w:eastAsia="zh-CN"/>
              </w:rPr>
              <w:t>？</w:t>
            </w:r>
          </w:p>
          <w:p w14:paraId="0B243D5F">
            <w:pPr>
              <w:numPr>
                <w:ilvl w:val="0"/>
                <w:numId w:val="0"/>
              </w:numPr>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回复：</w:t>
            </w:r>
            <w:r>
              <w:rPr>
                <w:rFonts w:hint="eastAsia" w:ascii="宋体" w:hAnsi="宋体" w:eastAsia="宋体" w:cs="宋体"/>
                <w:color w:val="auto"/>
                <w:sz w:val="24"/>
                <w:highlight w:val="none"/>
              </w:rPr>
              <w:t>公司时刻关注全固态电池发展动向，联动下游企业和同步进行全固态电池不同技术路线所需新型负极集流体产品的相关研究及送样工作。</w:t>
            </w:r>
          </w:p>
          <w:p w14:paraId="4E785D5C">
            <w:pPr>
              <w:numPr>
                <w:ilvl w:val="0"/>
                <w:numId w:val="0"/>
              </w:numPr>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2024年公司推出高比表面拓界铜箔，针对性解决了固态电池负极集流体固固界面接触面积不足与界面阻抗难题；同年推出特种合金铜箔采用多元金属复合技术，攻克固态电池集流体高能量密度下在高温、高电压下的结构失稳与界面失效难题；2025年公司推出双面镀镍铜箔，针对性解决固态电池中负极集流体不耐高温、不耐腐蚀的难题，目前已适配半固态/固态电池技术。</w:t>
            </w:r>
          </w:p>
          <w:p w14:paraId="2F674C46">
            <w:pPr>
              <w:numPr>
                <w:ilvl w:val="0"/>
                <w:numId w:val="0"/>
              </w:numPr>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公司自2017研发出多孔铜箔，从第一代的机械冲孔、第二代的激光打孔、目前已进入到第三代。通过三维多孔骨架结构，解决固态电池负极锂金属沉积不均匀与枝晶穿透风险。2023年推出的复合铜箔，采用高分子基膜-金属镀层复合结构，可解决固态电池轻量化与本质安全的协同难题，为高安全、长寿命固态电池金属负极体系产业化提供核心材料支撑。</w:t>
            </w:r>
          </w:p>
          <w:p w14:paraId="08B9B2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目前，公司是少数在固态电池领域取得商业化进展的公司，公司的铜箔产品已覆盖半固态电池和全固态电池所需铜箔。目前，公司已向五家企业批量及小批量供货，同时也已向多家企业送样测试并取得阶段性成果。公司的固态电池铜箔产品，除了用于新能源车，还用于低空经济。其中，耐高温铜箔在固态电池中运用并搭载于头部厂商发布的eVTOL（电动垂直起降飞行器）。</w:t>
            </w:r>
          </w:p>
          <w:p w14:paraId="5B248C3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rPr>
              <w:t>关于在固态电池中铜箔的出货情况如何</w:t>
            </w:r>
            <w:r>
              <w:rPr>
                <w:rFonts w:hint="eastAsia" w:ascii="宋体" w:hAnsi="宋体" w:eastAsia="宋体" w:cs="宋体"/>
                <w:b/>
                <w:bCs/>
                <w:color w:val="auto"/>
                <w:sz w:val="24"/>
                <w:szCs w:val="24"/>
                <w:highlight w:val="none"/>
                <w:lang w:val="en-US" w:eastAsia="zh-CN"/>
              </w:rPr>
              <w:t>？</w:t>
            </w:r>
          </w:p>
          <w:p w14:paraId="1E21AF6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回复：</w:t>
            </w:r>
            <w:r>
              <w:rPr>
                <w:rFonts w:hint="eastAsia" w:ascii="宋体" w:hAnsi="宋体" w:eastAsia="宋体" w:cs="宋体"/>
                <w:color w:val="auto"/>
                <w:sz w:val="24"/>
                <w:highlight w:val="none"/>
              </w:rPr>
              <w:t>针对半/全固态电池，公司已研发出高比表面拓界铜箔、双面镀镍铜箔等产品，部分产品已实现批量及小批量供货。同时，公司相关用于固态电池的铜箔产品也已向多家企业送样测试并取得阶段性成果。2025年公司固态电池铜箔出货量预计为100吨左右，约占公司整体出货量的1‰。此外，除批量供货与测试送样客户外，公司还与多家客户达成战略协议，共同开发下一代固</w:t>
            </w:r>
            <w:r>
              <w:rPr>
                <w:rFonts w:hint="eastAsia" w:ascii="宋体" w:hAnsi="宋体" w:eastAsia="宋体" w:cs="宋体"/>
                <w:color w:val="auto"/>
                <w:sz w:val="24"/>
                <w:highlight w:val="none"/>
                <w:lang w:val="en-US" w:eastAsia="zh-CN"/>
              </w:rPr>
              <w:t>态</w:t>
            </w:r>
            <w:r>
              <w:rPr>
                <w:rFonts w:hint="eastAsia" w:ascii="宋体" w:hAnsi="宋体" w:eastAsia="宋体" w:cs="宋体"/>
                <w:color w:val="auto"/>
                <w:sz w:val="24"/>
                <w:highlight w:val="none"/>
              </w:rPr>
              <w:t>电池用铜箔产品。</w:t>
            </w:r>
          </w:p>
          <w:p w14:paraId="37018CD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rPr>
              <w:t>目前公司产品结构情况？新产品开发情况</w:t>
            </w:r>
            <w:r>
              <w:rPr>
                <w:rFonts w:hint="eastAsia" w:ascii="宋体" w:hAnsi="宋体" w:eastAsia="宋体" w:cs="宋体"/>
                <w:b/>
                <w:bCs/>
                <w:color w:val="auto"/>
                <w:sz w:val="24"/>
                <w:highlight w:val="none"/>
                <w:lang w:val="en-US" w:eastAsia="zh-CN"/>
              </w:rPr>
              <w:t>？</w:t>
            </w:r>
          </w:p>
          <w:p w14:paraId="2C3D2749">
            <w:pPr>
              <w:numPr>
                <w:ilvl w:val="0"/>
                <w:numId w:val="0"/>
              </w:numPr>
              <w:adjustRightInd w:val="0"/>
              <w:snapToGrid/>
              <w:spacing w:beforeAutospacing="0" w:afterAutospacing="0" w:line="360" w:lineRule="auto"/>
              <w:ind w:left="0" w:leftChars="0" w:right="0" w:rightChars="0" w:firstLine="480" w:firstLineChars="200"/>
              <w:jc w:val="both"/>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回复：</w:t>
            </w:r>
            <w:r>
              <w:rPr>
                <w:rFonts w:hint="eastAsia" w:ascii="宋体" w:hAnsi="宋体" w:eastAsia="宋体" w:cs="宋体"/>
                <w:color w:val="auto"/>
                <w:sz w:val="24"/>
                <w:highlight w:val="none"/>
              </w:rPr>
              <w:t>锂电铜箔方面，公司锂电铜箔产线高效运转，稼动率达到95%，充分释放产能优势。高端锂电铜箔产品市场竞争力强劲，市占率达50%，稳居行业前列。公司锂电铜箔产品矩阵丰富，覆盖极薄、中高强、超高强、特高强等全系列产品。在极薄铜箔领域，4.5微米、4微米产品已实现大批量稳定供货，3.5微米产品进入小批量供应阶段，3微米产品更率先具备量产实力。中高强铜箔出货量占比超50%，已成为主力产品；超高强铜箔已实现规模化供应，特高强铜箔也通过客户的测试通过，已开始批量供应。</w:t>
            </w:r>
          </w:p>
          <w:p w14:paraId="301CDEC9">
            <w:pPr>
              <w:numPr>
                <w:ilvl w:val="0"/>
                <w:numId w:val="0"/>
              </w:numPr>
              <w:adjustRightInd w:val="0"/>
              <w:snapToGrid/>
              <w:spacing w:beforeAutospacing="0" w:afterAutospacing="0" w:line="360" w:lineRule="auto"/>
              <w:ind w:left="0" w:leftChars="0" w:right="0" w:rightChars="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电子电路铜箔方面，公司推动高端电子电路铜箔的国产替代进程，取得了高阶RTF（反转铜箔）、HTE（高温高延伸铜箔）、HVLP（极低轮廓铜箔）、IC封装极薄铜箔和高密度互连电路（HDI）铜箔等高性能电子电路铜箔的技术突破，PCB用超薄铜箔（UTF）已批量生产，高频高速电路和IC封装应用的RTF/HVLP等电子电路铜箔产品的开发方面取得了积极进展，其中RTF已通过头部企业认证测试并具备量产能力，其他产品也已通过实验室验证阶段并与下游客户进行测试。</w:t>
            </w:r>
          </w:p>
          <w:p w14:paraId="747BEBEC">
            <w:pPr>
              <w:numPr>
                <w:ilvl w:val="0"/>
                <w:numId w:val="0"/>
              </w:numPr>
              <w:adjustRightInd w:val="0"/>
              <w:snapToGrid/>
              <w:spacing w:beforeAutospacing="0" w:afterAutospacing="0" w:line="360" w:lineRule="auto"/>
              <w:ind w:left="0" w:leftChars="0" w:right="0" w:rightChars="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精密铜线方面，公司以全球化视野持续深耕国内外高端市场，依托技术与产能优势，加速扩大高端精密铜线产能规模。目前已经与海外重要客户达成合作意向。</w:t>
            </w:r>
          </w:p>
          <w:p w14:paraId="6CDE8F94">
            <w:pPr>
              <w:numPr>
                <w:ilvl w:val="0"/>
                <w:numId w:val="0"/>
              </w:numPr>
              <w:adjustRightInd w:val="0"/>
              <w:snapToGrid/>
              <w:spacing w:beforeAutospacing="0" w:afterAutospacing="0" w:line="360" w:lineRule="auto"/>
              <w:ind w:left="0" w:leftChars="0" w:right="0" w:rightChars="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此外，公司开展固态电池所需相关铜箔、复合铜箔、微孔铜箔、单晶铜箔、载体铜箔和新型特种铜箔等前沿新技术研发，极大丰富了公司的产品结构</w:t>
            </w:r>
            <w:r>
              <w:rPr>
                <w:rFonts w:hint="eastAsia" w:ascii="宋体" w:hAnsi="宋体" w:eastAsia="宋体" w:cs="宋体"/>
                <w:color w:val="auto"/>
                <w:sz w:val="24"/>
                <w:szCs w:val="24"/>
                <w:highlight w:val="none"/>
                <w:lang w:val="en-US" w:eastAsia="zh-CN"/>
              </w:rPr>
              <w:t>。</w:t>
            </w:r>
          </w:p>
          <w:p w14:paraId="158D3B5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rPr>
              <w:t>公司的产能设计规模多少吨？目前的产能利用率如何</w:t>
            </w:r>
            <w:r>
              <w:rPr>
                <w:rFonts w:hint="eastAsia" w:ascii="宋体" w:hAnsi="宋体" w:eastAsia="宋体" w:cs="宋体"/>
                <w:b/>
                <w:bCs/>
                <w:color w:val="auto"/>
                <w:sz w:val="24"/>
                <w:szCs w:val="24"/>
                <w:highlight w:val="none"/>
                <w:lang w:val="en-US" w:eastAsia="zh-CN"/>
              </w:rPr>
              <w:t>？</w:t>
            </w:r>
          </w:p>
          <w:p w14:paraId="56629A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回复：</w:t>
            </w:r>
            <w:r>
              <w:rPr>
                <w:rFonts w:hint="eastAsia" w:ascii="宋体" w:hAnsi="宋体" w:eastAsia="宋体" w:cs="宋体"/>
                <w:color w:val="auto"/>
                <w:sz w:val="24"/>
                <w:highlight w:val="none"/>
              </w:rPr>
              <w:t>公司已建成六个生产基地，规划产能约25万吨，目前年产能达12万吨以上，位居国内铜箔企业产能规模前列。目前，公司产能利用率超90%，随着三季度订单量的提升，公司的产能利用率相应逐步提升。公司也将把握市场机遇，根据下游市场需求和自身资金储备等情况，合理规划产能扩建计划。公司2025年预计实现总产能达13万吨以上，产量和销量均突破9万吨</w:t>
            </w:r>
            <w:r>
              <w:rPr>
                <w:rFonts w:hint="eastAsia" w:ascii="宋体" w:hAnsi="宋体" w:eastAsia="宋体" w:cs="宋体"/>
                <w:color w:val="auto"/>
                <w:sz w:val="24"/>
                <w:highlight w:val="none"/>
                <w:lang w:eastAsia="zh-CN"/>
              </w:rPr>
              <w:t>。</w:t>
            </w:r>
          </w:p>
          <w:p w14:paraId="2C69A36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rPr>
              <w:t>铜箔行业供需与竞争情况如何？未来价格走势怎样看待</w:t>
            </w:r>
            <w:r>
              <w:rPr>
                <w:rFonts w:hint="eastAsia" w:ascii="宋体" w:hAnsi="宋体" w:eastAsia="宋体" w:cs="宋体"/>
                <w:b/>
                <w:bCs/>
                <w:color w:val="auto"/>
                <w:sz w:val="24"/>
                <w:szCs w:val="24"/>
                <w:highlight w:val="none"/>
                <w:lang w:val="en-US" w:eastAsia="zh-CN"/>
              </w:rPr>
              <w:t>？</w:t>
            </w:r>
          </w:p>
          <w:p w14:paraId="28532B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回复：</w:t>
            </w:r>
            <w:r>
              <w:rPr>
                <w:rFonts w:hint="eastAsia" w:ascii="宋体" w:hAnsi="宋体" w:eastAsia="宋体" w:cs="宋体"/>
                <w:color w:val="auto"/>
                <w:sz w:val="24"/>
                <w:highlight w:val="none"/>
              </w:rPr>
              <w:t>近几年铜箔行业快速扩产，内卷严重，出现产能过剩、供过于求和价格激烈竞争等情况，导致铜箔加工费大幅下降，铜箔企业整体毛利率偏低，去年加工费已经进入底部，目前部分产品加工费已有所回升，需求增长驱动，锂电池行业复苏迹象明显，处于逐步向好的态势，电动重卡和电动船舶需求增长开始放量。同时行业协会已发出号召，避免恶性竞争和盲目扩产。2025-2030年预计年增长率保持20%以上。固态电池在低温环境、商务车等场景的应用将进一步扩大市场需求。</w:t>
            </w:r>
          </w:p>
          <w:p w14:paraId="2C5C69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公司预计今年部分高端定制化产品的加工费仍有上涨空间，涨幅情况需结合下半年市场供需情况、客户订单情况等因素综合判断。公司将持续加强与客户的沟通合作，提升公司的竞争力和盈利能力。同时，公司也将不断优化产品结构，提高产品质量和服务水平。今年下半年，随着高附加值产品占比的提升、海外客户的导入及销售的放量，将为公司带来更多的盈利增长点，不断提升公司盈利能力和市场竞争力。</w:t>
            </w:r>
          </w:p>
          <w:p w14:paraId="54A9697A">
            <w:pPr>
              <w:keepNext w:val="0"/>
              <w:keepLines w:val="0"/>
              <w:pageBreakBefore w:val="0"/>
              <w:widowControl w:val="0"/>
              <w:numPr>
                <w:ilvl w:val="0"/>
                <w:numId w:val="2"/>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公司未来盈利增长点和主要驱动因素是哪些</w:t>
            </w:r>
            <w:r>
              <w:rPr>
                <w:rFonts w:hint="eastAsia" w:ascii="宋体" w:hAnsi="宋体" w:eastAsia="宋体" w:cs="宋体"/>
                <w:b/>
                <w:bCs/>
                <w:color w:val="auto"/>
                <w:sz w:val="24"/>
                <w:szCs w:val="24"/>
                <w:highlight w:val="none"/>
              </w:rPr>
              <w:t>？</w:t>
            </w:r>
          </w:p>
          <w:p w14:paraId="59EF144B">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回复：</w:t>
            </w:r>
            <w:r>
              <w:rPr>
                <w:rFonts w:hint="eastAsia" w:ascii="宋体" w:hAnsi="宋体"/>
                <w:sz w:val="24"/>
                <w:szCs w:val="24"/>
                <w:highlight w:val="none"/>
              </w:rPr>
              <w:t>公司未来盈利增长的主要驱动因素主要体现在以下几个方面：</w:t>
            </w:r>
          </w:p>
          <w:p w14:paraId="1B600EF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（1）加速新产品研发与迭代。公司</w:t>
            </w:r>
            <w:r>
              <w:rPr>
                <w:rFonts w:hint="eastAsia" w:ascii="宋体" w:hAnsi="宋体"/>
                <w:sz w:val="24"/>
                <w:szCs w:val="24"/>
                <w:highlight w:val="none"/>
                <w:lang w:val="en-US" w:eastAsia="zh-CN"/>
              </w:rPr>
              <w:t>将</w:t>
            </w:r>
            <w:r>
              <w:rPr>
                <w:rFonts w:hint="eastAsia" w:ascii="宋体" w:hAnsi="宋体"/>
                <w:sz w:val="24"/>
                <w:szCs w:val="24"/>
                <w:highlight w:val="none"/>
              </w:rPr>
              <w:t>进一步加快各类高性能电解铜箔产品的研发和制造，推动高端电子电路铜箔的国产替代进程，开发契合市场趋势的新产品，不断丰富和优化产品结构，逐步提升高抗拉强度、高延伸率锂电铜箔和高端电子电路铜箔等高附加值产品的占比，有效提升产品品质，以技术创新提升产品竞争力与市场份额；</w:t>
            </w:r>
          </w:p>
          <w:p w14:paraId="6CE35C29">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2）拓展海外市场客户群体。积极开拓海外新兴市场，挖掘优质海外客户资源，扩大业务覆盖范围，提高产品市场占有率，加快导入中国台湾、日本、韩国及东南亚地区的战略客户，针对海外市场需求调整产品结构，提升批量交付能力。</w:t>
            </w:r>
          </w:p>
          <w:p w14:paraId="39338630">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（3）聚焦优质客户合作深化。加大对信用良好、采购需求稳定的优质客户的服务投入，通过定制化解决方案、供应链协同优化等方式，提升</w:t>
            </w:r>
            <w:r>
              <w:rPr>
                <w:rFonts w:hint="eastAsia" w:ascii="宋体" w:hAnsi="宋体"/>
                <w:sz w:val="24"/>
                <w:szCs w:val="24"/>
                <w:highlight w:val="none"/>
                <w:lang w:eastAsia="zh-CN"/>
              </w:rPr>
              <w:t>客户黏性</w:t>
            </w:r>
            <w:r>
              <w:rPr>
                <w:rFonts w:hint="eastAsia" w:ascii="宋体" w:hAnsi="宋体"/>
                <w:sz w:val="24"/>
                <w:szCs w:val="24"/>
                <w:highlight w:val="none"/>
              </w:rPr>
              <w:t>与订单规模，加强与锂电池、新能源汽车、储能等领域大客户的合作关系，争取更多高附加值订单。主动邀请行业龙头前来参观、洽谈，力争与全球领先的锂电池制造商签订长期合作协议；</w:t>
            </w:r>
          </w:p>
          <w:p w14:paraId="17E8229E">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4）在巩固铜箔主业行业地位的基础上，公司深入落实国家“双碳”和绿色能源可持续发展的政策，认真贯彻落实地方政府战略部署，探索开展高性能精密铜线和光伏发电、储能业务，力求公司在激烈的市场竞争中保持领先地位；</w:t>
            </w:r>
          </w:p>
          <w:p w14:paraId="3AE2C97B">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rPr>
              <w:t>（5）公司还将积极响应国家政策，寻找与主业具有协同效应的新质生产力，通过并购或合作方式延链补链，提升公司综合竞争力，提高盈利水平，开辟新的效益增长点</w:t>
            </w:r>
            <w:r>
              <w:rPr>
                <w:rFonts w:hint="eastAsia" w:ascii="宋体" w:hAnsi="宋体"/>
                <w:sz w:val="24"/>
                <w:szCs w:val="24"/>
                <w:highlight w:val="none"/>
                <w:lang w:val="en-US" w:eastAsia="zh-CN"/>
              </w:rPr>
              <w:t>。</w:t>
            </w:r>
          </w:p>
          <w:p w14:paraId="249198B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rPr>
              <w:t>公司海外市场拓展情况怎样</w:t>
            </w:r>
            <w:r>
              <w:rPr>
                <w:rFonts w:hint="eastAsia" w:ascii="宋体" w:hAnsi="宋体" w:eastAsia="宋体" w:cs="宋体"/>
                <w:b/>
                <w:bCs/>
                <w:color w:val="auto"/>
                <w:sz w:val="24"/>
                <w:szCs w:val="24"/>
                <w:highlight w:val="none"/>
                <w:lang w:val="en-US" w:eastAsia="zh-CN"/>
              </w:rPr>
              <w:t>？</w:t>
            </w:r>
          </w:p>
          <w:p w14:paraId="2D03BC5C">
            <w:pPr>
              <w:numPr>
                <w:ilvl w:val="0"/>
                <w:numId w:val="0"/>
              </w:numPr>
              <w:snapToGrid/>
              <w:spacing w:beforeAutospacing="0" w:afterAutospacing="0" w:line="360" w:lineRule="auto"/>
              <w:ind w:right="0" w:rightChars="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回复：</w:t>
            </w:r>
            <w:r>
              <w:rPr>
                <w:rFonts w:hint="eastAsia" w:ascii="宋体" w:hAnsi="宋体" w:eastAsia="宋体" w:cs="宋体"/>
                <w:color w:val="auto"/>
                <w:sz w:val="24"/>
                <w:highlight w:val="none"/>
              </w:rPr>
              <w:t>公司已开发的海外国际顶尖电池企业客户自今年开始放量，产品毛利率优于国内。今年公司将积极进军海外新兴市场，持续挖掘优质的海外客户资源，拓宽业务覆盖范围，提升产品的海外市场占有率。目前公司已导入日本、韩国及欧美等海外客户，下一步将加快导入东南亚地区的战略客户。公司将不断针对海外市场需求调整产品结构，提升批量交付能力</w:t>
            </w:r>
            <w:r>
              <w:rPr>
                <w:rFonts w:hint="eastAsia" w:ascii="宋体" w:hAnsi="宋体" w:eastAsia="宋体" w:cs="宋体"/>
                <w:color w:val="auto"/>
                <w:sz w:val="24"/>
                <w:highlight w:val="none"/>
                <w:lang w:val="en-US" w:eastAsia="zh-CN"/>
              </w:rPr>
              <w:t>。</w:t>
            </w:r>
          </w:p>
          <w:p w14:paraId="2C1177D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rPr>
              <w:t>公司是否有并购重组计划</w:t>
            </w:r>
            <w:r>
              <w:rPr>
                <w:rFonts w:hint="eastAsia" w:ascii="宋体" w:hAnsi="宋体" w:eastAsia="宋体" w:cs="宋体"/>
                <w:b/>
                <w:bCs/>
                <w:color w:val="auto"/>
                <w:sz w:val="24"/>
                <w:szCs w:val="24"/>
                <w:highlight w:val="none"/>
                <w:lang w:val="en-US" w:eastAsia="zh-CN"/>
              </w:rPr>
              <w:t>？</w:t>
            </w:r>
          </w:p>
          <w:p w14:paraId="1CBB8A49">
            <w:pPr>
              <w:numPr>
                <w:ilvl w:val="0"/>
                <w:numId w:val="0"/>
              </w:numPr>
              <w:snapToGrid/>
              <w:spacing w:beforeAutospacing="0" w:afterAutospacing="0" w:line="360" w:lineRule="auto"/>
              <w:ind w:right="0" w:rightChars="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回复：</w:t>
            </w:r>
            <w:r>
              <w:rPr>
                <w:rFonts w:hint="eastAsia" w:ascii="宋体" w:hAnsi="宋体" w:eastAsia="宋体" w:cs="宋体"/>
                <w:color w:val="auto"/>
                <w:sz w:val="24"/>
                <w:highlight w:val="none"/>
              </w:rPr>
              <w:t>鉴于铜箔主业行业周期性特征显著，为筑牢公司稳健发展根基，公司积极推进能与主业协同发展的第二增长曲线，通过多元化布局，为公司长期稳定发展提供新的动力与支撑。公司将重点聚焦AI算力、半导体、机器人、低空经济等新质生产力赛道，实现主业的延链补链并协同发展，不断提升公司内在价值，为公司股东创造更大价值。未来公司如有相关计划，将会严格按照法律法规的规定及时履行信息披露义务</w:t>
            </w:r>
            <w:r>
              <w:rPr>
                <w:rFonts w:hint="eastAsia" w:ascii="宋体" w:hAnsi="宋体" w:eastAsia="宋体" w:cs="宋体"/>
                <w:color w:val="auto"/>
                <w:sz w:val="24"/>
                <w:highlight w:val="none"/>
                <w:lang w:val="en-US" w:eastAsia="zh-CN"/>
              </w:rPr>
              <w:t>。</w:t>
            </w:r>
          </w:p>
          <w:p w14:paraId="580E241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rPr>
              <w:t>公司转债的后续安排？为何一直不下调</w:t>
            </w:r>
            <w:r>
              <w:rPr>
                <w:rFonts w:hint="eastAsia" w:ascii="宋体" w:hAnsi="宋体" w:eastAsia="宋体" w:cs="宋体"/>
                <w:b/>
                <w:bCs/>
                <w:color w:val="auto"/>
                <w:sz w:val="24"/>
                <w:szCs w:val="24"/>
                <w:highlight w:val="none"/>
                <w:lang w:val="en-US" w:eastAsia="zh-CN"/>
              </w:rPr>
              <w:t>？</w:t>
            </w:r>
          </w:p>
          <w:p w14:paraId="63F845C7">
            <w:pPr>
              <w:numPr>
                <w:ilvl w:val="0"/>
                <w:numId w:val="0"/>
              </w:numPr>
              <w:snapToGrid/>
              <w:spacing w:beforeAutospacing="0" w:afterAutospacing="0" w:line="360" w:lineRule="auto"/>
              <w:ind w:right="0" w:rightChars="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回复：</w:t>
            </w:r>
            <w:r>
              <w:rPr>
                <w:rFonts w:hint="eastAsia" w:ascii="宋体" w:hAnsi="宋体" w:eastAsia="宋体" w:cs="宋体"/>
                <w:color w:val="auto"/>
                <w:sz w:val="24"/>
                <w:highlight w:val="none"/>
              </w:rPr>
              <w:t>公司董事会和管理层将会紧密围绕公司战略和经营目标，积极推动可转债转股。现有可转债余额约10亿元，到期时间为一年半，目前公司生产经营正常，现金流稳健，资信情况良好，具备较强的偿还能力。在可转债存续期间，公司持续做好经营管理夯实转股基础，做好生产经营管理，积极推进战略落地，加强市场沟通，进一步提升市场对公司价值的认同，维护广大投资者利益。公司股价受宏观经济、市场情绪、所在的行业发展、公司业绩等多种因素影响，当前公司股价未能正确体现公司长远发展的内在价值，公司将持续做好经营管理工作，增强核心竞争力，努力实现更好的业绩回报股东</w:t>
            </w:r>
            <w:r>
              <w:rPr>
                <w:rFonts w:hint="eastAsia" w:ascii="宋体" w:hAnsi="宋体" w:eastAsia="宋体" w:cs="宋体"/>
                <w:color w:val="auto"/>
                <w:sz w:val="24"/>
                <w:highlight w:val="none"/>
                <w:lang w:val="en-US" w:eastAsia="zh-CN"/>
              </w:rPr>
              <w:t>。</w:t>
            </w:r>
          </w:p>
          <w:p w14:paraId="3B6D23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p>
        </w:tc>
      </w:tr>
      <w:tr w14:paraId="310C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61" w:type="dxa"/>
            <w:vAlign w:val="center"/>
          </w:tcPr>
          <w:p w14:paraId="4B033EB1">
            <w:pPr>
              <w:spacing w:line="420" w:lineRule="exact"/>
              <w:rPr>
                <w:rFonts w:hint="eastAsia" w:ascii="宋体" w:hAnsi="宋体" w:eastAsia="宋体" w:cs="宋体"/>
                <w:color w:val="auto"/>
                <w:sz w:val="24"/>
                <w:highlight w:val="none"/>
              </w:rPr>
            </w:pPr>
            <w:r>
              <w:rPr>
                <w:rFonts w:hAnsi="宋体"/>
                <w:bCs/>
                <w:iCs/>
                <w:color w:val="000000"/>
                <w:kern w:val="0"/>
                <w:sz w:val="24"/>
                <w:highlight w:val="none"/>
              </w:rPr>
              <w:t>附件清单（如有）</w:t>
            </w:r>
          </w:p>
        </w:tc>
        <w:tc>
          <w:tcPr>
            <w:tcW w:w="6850" w:type="dxa"/>
            <w:vAlign w:val="top"/>
          </w:tcPr>
          <w:p w14:paraId="273CF797">
            <w:pPr>
              <w:spacing w:line="420" w:lineRule="exact"/>
              <w:rPr>
                <w:rFonts w:hint="eastAsia" w:ascii="宋体" w:hAnsi="宋体" w:eastAsia="宋体" w:cs="宋体"/>
                <w:color w:val="auto"/>
                <w:sz w:val="24"/>
                <w:szCs w:val="24"/>
                <w:highlight w:val="none"/>
                <w:lang w:val="en-US" w:eastAsia="zh-CN"/>
              </w:rPr>
            </w:pPr>
            <w:bookmarkStart w:id="0" w:name="_GoBack"/>
            <w:bookmarkEnd w:id="0"/>
          </w:p>
        </w:tc>
      </w:tr>
      <w:tr w14:paraId="3A4C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661" w:type="dxa"/>
            <w:vAlign w:val="center"/>
          </w:tcPr>
          <w:p w14:paraId="1AE3CF6D">
            <w:pPr>
              <w:spacing w:line="420" w:lineRule="exact"/>
              <w:rPr>
                <w:rFonts w:hint="eastAsia" w:ascii="宋体" w:hAnsi="宋体" w:eastAsia="宋体" w:cs="宋体"/>
                <w:color w:val="auto"/>
                <w:sz w:val="24"/>
                <w:highlight w:val="none"/>
              </w:rPr>
            </w:pPr>
            <w:r>
              <w:rPr>
                <w:rFonts w:hAnsi="宋体"/>
                <w:bCs/>
                <w:iCs/>
                <w:color w:val="000000"/>
                <w:kern w:val="0"/>
                <w:sz w:val="24"/>
                <w:highlight w:val="none"/>
              </w:rPr>
              <w:t>日期</w:t>
            </w:r>
          </w:p>
        </w:tc>
        <w:tc>
          <w:tcPr>
            <w:tcW w:w="6850" w:type="dxa"/>
            <w:vAlign w:val="top"/>
          </w:tcPr>
          <w:p w14:paraId="595A181D">
            <w:pPr>
              <w:spacing w:line="420" w:lineRule="exact"/>
              <w:rPr>
                <w:rFonts w:hint="eastAsia" w:ascii="宋体" w:hAnsi="宋体" w:eastAsia="宋体" w:cs="宋体"/>
                <w:color w:val="auto"/>
                <w:sz w:val="24"/>
                <w:szCs w:val="24"/>
                <w:highlight w:val="none"/>
                <w:lang w:val="en-US" w:eastAsia="zh-CN"/>
              </w:rPr>
            </w:pPr>
            <w:r>
              <w:rPr>
                <w:bCs/>
                <w:iCs/>
                <w:color w:val="000000"/>
                <w:sz w:val="24"/>
                <w:highlight w:val="none"/>
              </w:rPr>
              <w:t>202</w:t>
            </w:r>
            <w:r>
              <w:rPr>
                <w:rFonts w:hint="eastAsia"/>
                <w:bCs/>
                <w:iCs/>
                <w:color w:val="000000"/>
                <w:sz w:val="24"/>
                <w:highlight w:val="none"/>
                <w:lang w:val="en-US" w:eastAsia="zh-CN"/>
              </w:rPr>
              <w:t>5年7月8日</w:t>
            </w:r>
          </w:p>
        </w:tc>
      </w:tr>
    </w:tbl>
    <w:p w14:paraId="2C80436B">
      <w:pPr>
        <w:spacing w:line="240" w:lineRule="auto"/>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76FC8"/>
    <w:multiLevelType w:val="singleLevel"/>
    <w:tmpl w:val="FB676FC8"/>
    <w:lvl w:ilvl="0" w:tentative="0">
      <w:start w:val="1"/>
      <w:numFmt w:val="chineseCounting"/>
      <w:suff w:val="nothing"/>
      <w:lvlText w:val="%1、"/>
      <w:lvlJc w:val="left"/>
      <w:rPr>
        <w:rFonts w:hint="eastAsia"/>
      </w:rPr>
    </w:lvl>
  </w:abstractNum>
  <w:abstractNum w:abstractNumId="1">
    <w:nsid w:val="68B25FBD"/>
    <w:multiLevelType w:val="singleLevel"/>
    <w:tmpl w:val="68B25FB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M2UwZTkxN2VjNjc3YTUwYjMzMTQyNTdiYjZlZmMifQ=="/>
  </w:docVars>
  <w:rsids>
    <w:rsidRoot w:val="00000000"/>
    <w:rsid w:val="01D874C6"/>
    <w:rsid w:val="01F40AAB"/>
    <w:rsid w:val="04333F49"/>
    <w:rsid w:val="045A0192"/>
    <w:rsid w:val="05104806"/>
    <w:rsid w:val="062044AD"/>
    <w:rsid w:val="06F04B2A"/>
    <w:rsid w:val="0CA33DF9"/>
    <w:rsid w:val="0F171F8B"/>
    <w:rsid w:val="10196628"/>
    <w:rsid w:val="14717E92"/>
    <w:rsid w:val="181F6F25"/>
    <w:rsid w:val="18813AA5"/>
    <w:rsid w:val="1C8B64BF"/>
    <w:rsid w:val="1CE7733B"/>
    <w:rsid w:val="1EE03BDB"/>
    <w:rsid w:val="1FA1230A"/>
    <w:rsid w:val="2349532D"/>
    <w:rsid w:val="253C7A68"/>
    <w:rsid w:val="259D46E7"/>
    <w:rsid w:val="29076C49"/>
    <w:rsid w:val="2C5D3188"/>
    <w:rsid w:val="2CCA574A"/>
    <w:rsid w:val="2CD91D6D"/>
    <w:rsid w:val="2E095034"/>
    <w:rsid w:val="2E774256"/>
    <w:rsid w:val="32903052"/>
    <w:rsid w:val="329F5AFA"/>
    <w:rsid w:val="37CF2BBC"/>
    <w:rsid w:val="38573E87"/>
    <w:rsid w:val="387955AC"/>
    <w:rsid w:val="39930ABA"/>
    <w:rsid w:val="3A0C06D3"/>
    <w:rsid w:val="3DAE02C2"/>
    <w:rsid w:val="3E905C6C"/>
    <w:rsid w:val="439B42FB"/>
    <w:rsid w:val="44F302BB"/>
    <w:rsid w:val="46590C50"/>
    <w:rsid w:val="46E06318"/>
    <w:rsid w:val="49784A79"/>
    <w:rsid w:val="4E1A32FD"/>
    <w:rsid w:val="51B701B5"/>
    <w:rsid w:val="51DC353F"/>
    <w:rsid w:val="543D7EA7"/>
    <w:rsid w:val="54813FB3"/>
    <w:rsid w:val="55101C6D"/>
    <w:rsid w:val="553A39F3"/>
    <w:rsid w:val="557E51FF"/>
    <w:rsid w:val="573423FF"/>
    <w:rsid w:val="57FE0B64"/>
    <w:rsid w:val="588E1023"/>
    <w:rsid w:val="5BC3578B"/>
    <w:rsid w:val="5BD1184C"/>
    <w:rsid w:val="5C3E2328"/>
    <w:rsid w:val="60125EE4"/>
    <w:rsid w:val="645F37F6"/>
    <w:rsid w:val="65AD65E2"/>
    <w:rsid w:val="6AD86714"/>
    <w:rsid w:val="6BD95285"/>
    <w:rsid w:val="6F832C9C"/>
    <w:rsid w:val="712166FE"/>
    <w:rsid w:val="71705441"/>
    <w:rsid w:val="73A04F5F"/>
    <w:rsid w:val="75F9231A"/>
    <w:rsid w:val="76B9655B"/>
    <w:rsid w:val="77274219"/>
    <w:rsid w:val="774E7D8C"/>
    <w:rsid w:val="77D96D63"/>
    <w:rsid w:val="7E0A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paragraph" w:customStyle="1" w:styleId="6">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3923</Words>
  <Characters>4024</Characters>
  <Lines>0</Lines>
  <Paragraphs>0</Paragraphs>
  <TotalTime>34</TotalTime>
  <ScaleCrop>false</ScaleCrop>
  <LinksUpToDate>false</LinksUpToDate>
  <CharactersWithSpaces>4083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2024-05-11T07:39:00Z</dcterms:created>
  <dc:creator>Attitude</dc:creator>
  <cp:lastModifiedBy>ZH</cp:lastModifiedBy>
  <dcterms:modified xsi:type="dcterms:W3CDTF">2025-07-08T09:01:35Z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A8E5EF5DA6AB41BC94D20A85DD3EF98A_13</vt:lpwstr>
  </property>
  <property fmtid="{D5CDD505-2E9C-101B-9397-08002B2CF9AE}" pid="4" name="KSOTemplateDocerSaveRecord">
    <vt:lpwstr>eyJoZGlkIjoiNzA0OTdiYWZkNWY5OTVjZTk4MjUwZTk5NmNiZTQxYzgiLCJ1c2VySWQiOiIyMTgwODMyNzQifQ==</vt:lpwstr>
  </property>
</Properties>
</file>