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B52CD" w14:textId="26426587" w:rsidR="005100C9" w:rsidRPr="008F2EE2" w:rsidRDefault="005100C9" w:rsidP="005100C9">
      <w:pPr>
        <w:adjustRightInd w:val="0"/>
        <w:snapToGrid w:val="0"/>
        <w:spacing w:line="600" w:lineRule="exact"/>
        <w:rPr>
          <w:rFonts w:ascii="Times New Roman" w:eastAsia="宋体" w:hAnsi="Times New Roman" w:cs="Times New Roman"/>
          <w:szCs w:val="21"/>
          <w14:ligatures w14:val="none"/>
        </w:rPr>
      </w:pPr>
      <w:r w:rsidRPr="008F2EE2">
        <w:rPr>
          <w:rFonts w:ascii="Times New Roman" w:eastAsia="宋体" w:hAnsi="Times New Roman" w:cs="Times New Roman"/>
          <w:szCs w:val="21"/>
          <w14:ligatures w14:val="none"/>
        </w:rPr>
        <w:t>A</w:t>
      </w:r>
      <w:r w:rsidRPr="008F2EE2">
        <w:rPr>
          <w:rFonts w:ascii="Times New Roman" w:eastAsia="宋体" w:hAnsi="Times New Roman" w:cs="Times New Roman"/>
          <w:szCs w:val="21"/>
          <w14:ligatures w14:val="none"/>
        </w:rPr>
        <w:t>股代码：</w:t>
      </w:r>
      <w:r w:rsidRPr="008F2EE2">
        <w:rPr>
          <w:rFonts w:ascii="Times New Roman" w:eastAsia="宋体" w:hAnsi="Times New Roman" w:cs="Times New Roman"/>
          <w:szCs w:val="21"/>
          <w14:ligatures w14:val="none"/>
        </w:rPr>
        <w:t xml:space="preserve">688235 </w:t>
      </w:r>
      <w:r w:rsidRPr="008F2EE2">
        <w:rPr>
          <w:rFonts w:ascii="Times New Roman" w:eastAsia="宋体" w:hAnsi="Times New Roman" w:cs="Times New Roman"/>
          <w:szCs w:val="21"/>
          <w14:ligatures w14:val="none"/>
        </w:rPr>
        <w:tab/>
      </w:r>
      <w:r w:rsidRPr="008F2EE2">
        <w:rPr>
          <w:rFonts w:ascii="Times New Roman" w:eastAsia="宋体" w:hAnsi="Times New Roman" w:cs="Times New Roman"/>
          <w:szCs w:val="21"/>
          <w14:ligatures w14:val="none"/>
        </w:rPr>
        <w:tab/>
      </w:r>
      <w:r w:rsidRPr="008F2EE2">
        <w:rPr>
          <w:rFonts w:ascii="Times New Roman" w:eastAsia="宋体" w:hAnsi="Times New Roman" w:cs="Times New Roman"/>
          <w:szCs w:val="21"/>
          <w14:ligatures w14:val="none"/>
        </w:rPr>
        <w:tab/>
      </w:r>
      <w:r w:rsidRPr="008F2EE2">
        <w:rPr>
          <w:rFonts w:ascii="Times New Roman" w:eastAsia="宋体" w:hAnsi="Times New Roman" w:cs="Times New Roman"/>
          <w:szCs w:val="21"/>
          <w14:ligatures w14:val="none"/>
        </w:rPr>
        <w:tab/>
      </w:r>
      <w:r w:rsidRPr="008F2EE2">
        <w:rPr>
          <w:rFonts w:ascii="Times New Roman" w:eastAsia="宋体" w:hAnsi="Times New Roman" w:cs="Times New Roman"/>
          <w:szCs w:val="21"/>
          <w14:ligatures w14:val="none"/>
        </w:rPr>
        <w:tab/>
      </w:r>
      <w:r w:rsidRPr="008F2EE2">
        <w:rPr>
          <w:rFonts w:ascii="Times New Roman" w:eastAsia="宋体" w:hAnsi="Times New Roman" w:cs="Times New Roman"/>
          <w:szCs w:val="21"/>
          <w14:ligatures w14:val="none"/>
        </w:rPr>
        <w:tab/>
      </w:r>
      <w:r w:rsidRPr="008F2EE2">
        <w:rPr>
          <w:rFonts w:ascii="Times New Roman" w:eastAsia="宋体" w:hAnsi="Times New Roman" w:cs="Times New Roman"/>
          <w:szCs w:val="21"/>
          <w14:ligatures w14:val="none"/>
        </w:rPr>
        <w:tab/>
      </w:r>
      <w:r w:rsidRPr="008F2EE2">
        <w:rPr>
          <w:rFonts w:ascii="Times New Roman" w:eastAsia="宋体" w:hAnsi="Times New Roman" w:cs="Times New Roman"/>
          <w:szCs w:val="21"/>
          <w14:ligatures w14:val="none"/>
        </w:rPr>
        <w:tab/>
      </w:r>
      <w:r w:rsidRPr="008F2EE2">
        <w:rPr>
          <w:rFonts w:ascii="Times New Roman" w:eastAsia="宋体" w:hAnsi="Times New Roman" w:cs="Times New Roman"/>
          <w:szCs w:val="21"/>
          <w14:ligatures w14:val="none"/>
        </w:rPr>
        <w:tab/>
      </w:r>
      <w:r w:rsidRPr="008F2EE2">
        <w:rPr>
          <w:rFonts w:ascii="Times New Roman" w:eastAsia="宋体" w:hAnsi="Times New Roman" w:cs="Times New Roman"/>
          <w:szCs w:val="21"/>
          <w14:ligatures w14:val="none"/>
        </w:rPr>
        <w:tab/>
        <w:t>A</w:t>
      </w:r>
      <w:r w:rsidRPr="008F2EE2">
        <w:rPr>
          <w:rFonts w:ascii="Times New Roman" w:eastAsia="宋体" w:hAnsi="Times New Roman" w:cs="Times New Roman"/>
          <w:szCs w:val="21"/>
          <w14:ligatures w14:val="none"/>
        </w:rPr>
        <w:t>股简称：百济神州</w:t>
      </w:r>
    </w:p>
    <w:p w14:paraId="63643E57" w14:textId="77777777" w:rsidR="005100C9" w:rsidRPr="008F2EE2" w:rsidRDefault="005100C9" w:rsidP="005100C9">
      <w:pPr>
        <w:adjustRightInd w:val="0"/>
        <w:snapToGrid w:val="0"/>
        <w:spacing w:line="600" w:lineRule="exact"/>
        <w:rPr>
          <w:rFonts w:ascii="Times New Roman" w:eastAsia="宋体" w:hAnsi="Times New Roman" w:cs="Times New Roman"/>
          <w:szCs w:val="21"/>
          <w14:ligatures w14:val="none"/>
        </w:rPr>
      </w:pPr>
      <w:r w:rsidRPr="008F2EE2">
        <w:rPr>
          <w:rFonts w:ascii="Times New Roman" w:eastAsia="宋体" w:hAnsi="Times New Roman" w:cs="Times New Roman"/>
          <w:szCs w:val="21"/>
          <w14:ligatures w14:val="none"/>
        </w:rPr>
        <w:t>港股代码：</w:t>
      </w:r>
      <w:r w:rsidRPr="008F2EE2">
        <w:rPr>
          <w:rFonts w:ascii="Times New Roman" w:eastAsia="宋体" w:hAnsi="Times New Roman" w:cs="Times New Roman"/>
          <w:szCs w:val="21"/>
          <w14:ligatures w14:val="none"/>
        </w:rPr>
        <w:t xml:space="preserve">06160 </w:t>
      </w:r>
      <w:r w:rsidRPr="008F2EE2">
        <w:rPr>
          <w:rFonts w:ascii="Times New Roman" w:eastAsia="宋体" w:hAnsi="Times New Roman" w:cs="Times New Roman"/>
          <w:szCs w:val="21"/>
          <w14:ligatures w14:val="none"/>
        </w:rPr>
        <w:tab/>
      </w:r>
      <w:r w:rsidRPr="008F2EE2">
        <w:rPr>
          <w:rFonts w:ascii="Times New Roman" w:eastAsia="宋体" w:hAnsi="Times New Roman" w:cs="Times New Roman"/>
          <w:szCs w:val="21"/>
          <w14:ligatures w14:val="none"/>
        </w:rPr>
        <w:tab/>
      </w:r>
      <w:r w:rsidRPr="008F2EE2">
        <w:rPr>
          <w:rFonts w:ascii="Times New Roman" w:eastAsia="宋体" w:hAnsi="Times New Roman" w:cs="Times New Roman"/>
          <w:szCs w:val="21"/>
          <w14:ligatures w14:val="none"/>
        </w:rPr>
        <w:tab/>
      </w:r>
      <w:r w:rsidRPr="008F2EE2">
        <w:rPr>
          <w:rFonts w:ascii="Times New Roman" w:eastAsia="宋体" w:hAnsi="Times New Roman" w:cs="Times New Roman"/>
          <w:szCs w:val="21"/>
          <w14:ligatures w14:val="none"/>
        </w:rPr>
        <w:tab/>
      </w:r>
      <w:r w:rsidRPr="008F2EE2">
        <w:rPr>
          <w:rFonts w:ascii="Times New Roman" w:eastAsia="宋体" w:hAnsi="Times New Roman" w:cs="Times New Roman"/>
          <w:szCs w:val="21"/>
          <w14:ligatures w14:val="none"/>
        </w:rPr>
        <w:tab/>
      </w:r>
      <w:r w:rsidRPr="008F2EE2">
        <w:rPr>
          <w:rFonts w:ascii="Times New Roman" w:eastAsia="宋体" w:hAnsi="Times New Roman" w:cs="Times New Roman"/>
          <w:szCs w:val="21"/>
          <w14:ligatures w14:val="none"/>
        </w:rPr>
        <w:tab/>
      </w:r>
      <w:r w:rsidRPr="008F2EE2">
        <w:rPr>
          <w:rFonts w:ascii="Times New Roman" w:eastAsia="宋体" w:hAnsi="Times New Roman" w:cs="Times New Roman"/>
          <w:szCs w:val="21"/>
          <w14:ligatures w14:val="none"/>
        </w:rPr>
        <w:tab/>
      </w:r>
      <w:r w:rsidRPr="008F2EE2">
        <w:rPr>
          <w:rFonts w:ascii="Times New Roman" w:eastAsia="宋体" w:hAnsi="Times New Roman" w:cs="Times New Roman"/>
          <w:szCs w:val="21"/>
          <w14:ligatures w14:val="none"/>
        </w:rPr>
        <w:tab/>
      </w:r>
      <w:r w:rsidRPr="008F2EE2">
        <w:rPr>
          <w:rFonts w:ascii="Times New Roman" w:eastAsia="宋体" w:hAnsi="Times New Roman" w:cs="Times New Roman"/>
          <w:szCs w:val="21"/>
          <w14:ligatures w14:val="none"/>
        </w:rPr>
        <w:tab/>
      </w:r>
      <w:r w:rsidRPr="008F2EE2">
        <w:rPr>
          <w:rFonts w:ascii="Times New Roman" w:eastAsia="宋体" w:hAnsi="Times New Roman" w:cs="Times New Roman"/>
          <w:szCs w:val="21"/>
          <w14:ligatures w14:val="none"/>
        </w:rPr>
        <w:tab/>
      </w:r>
      <w:r w:rsidRPr="008F2EE2">
        <w:rPr>
          <w:rFonts w:ascii="Times New Roman" w:eastAsia="宋体" w:hAnsi="Times New Roman" w:cs="Times New Roman"/>
          <w:szCs w:val="21"/>
          <w14:ligatures w14:val="none"/>
        </w:rPr>
        <w:tab/>
      </w:r>
      <w:r w:rsidRPr="008F2EE2">
        <w:rPr>
          <w:rFonts w:ascii="Times New Roman" w:eastAsia="宋体" w:hAnsi="Times New Roman" w:cs="Times New Roman"/>
          <w:szCs w:val="21"/>
          <w14:ligatures w14:val="none"/>
        </w:rPr>
        <w:t>港股简称：百济神州</w:t>
      </w:r>
    </w:p>
    <w:p w14:paraId="17B86E78" w14:textId="77777777" w:rsidR="005100C9" w:rsidRPr="008F2EE2" w:rsidRDefault="005100C9" w:rsidP="005100C9">
      <w:pPr>
        <w:adjustRightInd w:val="0"/>
        <w:snapToGrid w:val="0"/>
        <w:spacing w:line="600" w:lineRule="exact"/>
        <w:rPr>
          <w:rFonts w:ascii="Times New Roman" w:eastAsia="宋体" w:hAnsi="Times New Roman" w:cs="Times New Roman"/>
          <w:szCs w:val="21"/>
          <w14:ligatures w14:val="none"/>
        </w:rPr>
      </w:pPr>
      <w:r w:rsidRPr="008F2EE2">
        <w:rPr>
          <w:rFonts w:ascii="Times New Roman" w:eastAsia="宋体" w:hAnsi="Times New Roman" w:cs="Times New Roman"/>
          <w:szCs w:val="21"/>
          <w14:ligatures w14:val="none"/>
        </w:rPr>
        <w:t>美股代码：</w:t>
      </w:r>
      <w:r w:rsidRPr="008F2EE2">
        <w:rPr>
          <w:rFonts w:ascii="Times New Roman" w:eastAsia="宋体" w:hAnsi="Times New Roman" w:cs="Times New Roman" w:hint="eastAsia"/>
          <w:szCs w:val="21"/>
          <w14:ligatures w14:val="none"/>
        </w:rPr>
        <w:t>ONC</w:t>
      </w:r>
    </w:p>
    <w:p w14:paraId="1972A36C" w14:textId="77777777" w:rsidR="005100C9" w:rsidRPr="008F2EE2" w:rsidRDefault="005100C9" w:rsidP="005100C9">
      <w:pPr>
        <w:adjustRightInd w:val="0"/>
        <w:snapToGrid w:val="0"/>
        <w:spacing w:beforeLines="50" w:before="156" w:line="600" w:lineRule="exact"/>
        <w:jc w:val="center"/>
        <w:rPr>
          <w:rFonts w:ascii="Times New Roman" w:eastAsia="宋体" w:hAnsi="Times New Roman" w:cs="Times New Roman"/>
          <w:b/>
          <w:szCs w:val="21"/>
          <w14:ligatures w14:val="none"/>
        </w:rPr>
      </w:pPr>
      <w:r w:rsidRPr="008F2EE2">
        <w:rPr>
          <w:rFonts w:ascii="Times New Roman" w:eastAsia="宋体" w:hAnsi="Times New Roman" w:cs="Times New Roman"/>
          <w:b/>
          <w:szCs w:val="21"/>
          <w14:ligatures w14:val="none"/>
        </w:rPr>
        <w:t>百济神州有限公司</w:t>
      </w:r>
    </w:p>
    <w:p w14:paraId="5DF4380E" w14:textId="77777777" w:rsidR="005100C9" w:rsidRPr="008F2EE2" w:rsidRDefault="005100C9" w:rsidP="005100C9">
      <w:pPr>
        <w:adjustRightInd w:val="0"/>
        <w:snapToGrid w:val="0"/>
        <w:spacing w:line="500" w:lineRule="exact"/>
        <w:jc w:val="center"/>
        <w:rPr>
          <w:rFonts w:ascii="Times New Roman" w:eastAsia="宋体" w:hAnsi="Times New Roman" w:cs="Times New Roman"/>
          <w:b/>
          <w:szCs w:val="21"/>
          <w14:ligatures w14:val="none"/>
        </w:rPr>
      </w:pPr>
      <w:r w:rsidRPr="008F2EE2">
        <w:rPr>
          <w:rFonts w:ascii="Times New Roman" w:eastAsia="宋体" w:hAnsi="Times New Roman" w:cs="Times New Roman"/>
          <w:b/>
          <w:szCs w:val="21"/>
          <w14:ligatures w14:val="none"/>
        </w:rPr>
        <w:t>投资者关系活动记录表</w:t>
      </w:r>
    </w:p>
    <w:p w14:paraId="7D175869" w14:textId="493FC8AB" w:rsidR="005100C9" w:rsidRPr="008F2EE2" w:rsidRDefault="005100C9" w:rsidP="005100C9">
      <w:pPr>
        <w:adjustRightInd w:val="0"/>
        <w:snapToGrid w:val="0"/>
        <w:spacing w:line="500" w:lineRule="exact"/>
        <w:jc w:val="center"/>
        <w:rPr>
          <w:rFonts w:ascii="Times New Roman" w:eastAsia="宋体" w:hAnsi="Times New Roman" w:cs="Times New Roman"/>
          <w:szCs w:val="21"/>
          <w14:ligatures w14:val="none"/>
        </w:rPr>
      </w:pPr>
      <w:r w:rsidRPr="008F2EE2">
        <w:rPr>
          <w:rFonts w:ascii="Times New Roman" w:eastAsia="宋体" w:hAnsi="Times New Roman" w:cs="Times New Roman"/>
          <w:szCs w:val="21"/>
          <w14:ligatures w14:val="none"/>
        </w:rPr>
        <w:t>（</w:t>
      </w:r>
      <w:r w:rsidRPr="008F2EE2">
        <w:rPr>
          <w:rFonts w:ascii="Times New Roman" w:eastAsia="宋体" w:hAnsi="Times New Roman" w:cs="Times New Roman"/>
          <w:szCs w:val="21"/>
          <w14:ligatures w14:val="none"/>
        </w:rPr>
        <w:t>202</w:t>
      </w:r>
      <w:r w:rsidRPr="008F2EE2">
        <w:rPr>
          <w:rFonts w:ascii="Times New Roman" w:eastAsia="宋体" w:hAnsi="Times New Roman" w:cs="Times New Roman" w:hint="eastAsia"/>
          <w:szCs w:val="21"/>
          <w14:ligatures w14:val="none"/>
        </w:rPr>
        <w:t>5</w:t>
      </w:r>
      <w:r w:rsidRPr="008F2EE2">
        <w:rPr>
          <w:rFonts w:ascii="Times New Roman" w:eastAsia="宋体" w:hAnsi="Times New Roman" w:cs="Times New Roman"/>
          <w:szCs w:val="21"/>
          <w14:ligatures w14:val="none"/>
        </w:rPr>
        <w:t>年</w:t>
      </w:r>
      <w:r w:rsidR="00CA64EA" w:rsidRPr="008F2EE2">
        <w:rPr>
          <w:rFonts w:ascii="Times New Roman" w:eastAsia="宋体" w:hAnsi="Times New Roman" w:cs="Times New Roman" w:hint="eastAsia"/>
          <w:szCs w:val="21"/>
          <w14:ligatures w14:val="none"/>
        </w:rPr>
        <w:t>8</w:t>
      </w:r>
      <w:r w:rsidRPr="008F2EE2">
        <w:rPr>
          <w:rFonts w:ascii="Times New Roman" w:eastAsia="宋体" w:hAnsi="Times New Roman" w:cs="Times New Roman"/>
          <w:szCs w:val="21"/>
          <w14:ligatures w14:val="none"/>
        </w:rPr>
        <w:t>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238"/>
      </w:tblGrid>
      <w:tr w:rsidR="005100C9" w:rsidRPr="005100C9" w14:paraId="104A91D2" w14:textId="77777777" w:rsidTr="3676609B">
        <w:trPr>
          <w:jc w:val="center"/>
        </w:trPr>
        <w:tc>
          <w:tcPr>
            <w:tcW w:w="1526" w:type="dxa"/>
          </w:tcPr>
          <w:p w14:paraId="03A7A07F" w14:textId="77777777" w:rsidR="005100C9" w:rsidRPr="008F2EE2" w:rsidRDefault="005100C9" w:rsidP="005100C9">
            <w:pPr>
              <w:adjustRightInd w:val="0"/>
              <w:spacing w:line="360" w:lineRule="auto"/>
              <w:contextualSpacing/>
              <w:rPr>
                <w:rFonts w:ascii="Times New Roman" w:eastAsia="宋体" w:hAnsi="Times New Roman" w:cs="Times New Roman"/>
                <w:szCs w:val="21"/>
                <w14:ligatures w14:val="none"/>
              </w:rPr>
            </w:pPr>
            <w:r w:rsidRPr="008F2EE2">
              <w:rPr>
                <w:rFonts w:ascii="Times New Roman" w:eastAsia="宋体" w:hAnsi="Times New Roman" w:cs="Times New Roman"/>
                <w:szCs w:val="21"/>
                <w14:ligatures w14:val="none"/>
              </w:rPr>
              <w:t>投资者关系活动类别</w:t>
            </w:r>
          </w:p>
        </w:tc>
        <w:tc>
          <w:tcPr>
            <w:tcW w:w="7238" w:type="dxa"/>
          </w:tcPr>
          <w:p w14:paraId="79436C74" w14:textId="77777777" w:rsidR="00725C9E" w:rsidRPr="008F2EE2" w:rsidRDefault="00725C9E" w:rsidP="00725C9E">
            <w:pPr>
              <w:adjustRightInd w:val="0"/>
              <w:spacing w:line="360" w:lineRule="auto"/>
              <w:contextualSpacing/>
              <w:rPr>
                <w:rFonts w:ascii="宋体" w:eastAsia="宋体" w:hAnsi="宋体" w:cs="Times New Roman"/>
                <w:szCs w:val="21"/>
                <w14:ligatures w14:val="none"/>
              </w:rPr>
            </w:pPr>
            <w:r w:rsidRPr="008F2EE2">
              <w:rPr>
                <w:rFonts w:ascii="宋体" w:eastAsia="宋体" w:hAnsi="宋体" w:cs="Times New Roman"/>
                <w:szCs w:val="21"/>
                <w14:ligatures w14:val="none"/>
              </w:rPr>
              <w:t>√特定对象调研             分析师会议</w:t>
            </w:r>
          </w:p>
          <w:p w14:paraId="2AA48A1D" w14:textId="77777777" w:rsidR="00725C9E" w:rsidRPr="008F2EE2" w:rsidRDefault="00725C9E" w:rsidP="00725C9E">
            <w:pPr>
              <w:adjustRightInd w:val="0"/>
              <w:spacing w:line="360" w:lineRule="auto"/>
              <w:contextualSpacing/>
              <w:rPr>
                <w:rFonts w:ascii="宋体" w:eastAsia="宋体" w:hAnsi="宋体" w:cs="Times New Roman"/>
                <w:szCs w:val="21"/>
                <w14:ligatures w14:val="none"/>
              </w:rPr>
            </w:pPr>
            <w:r w:rsidRPr="008F2EE2">
              <w:rPr>
                <w:rFonts w:ascii="宋体" w:eastAsia="宋体" w:hAnsi="宋体" w:cs="Times New Roman"/>
                <w:szCs w:val="21"/>
                <w14:ligatures w14:val="none"/>
              </w:rPr>
              <w:t>□媒体采访                 □业绩说明会</w:t>
            </w:r>
          </w:p>
          <w:p w14:paraId="05534AA3" w14:textId="77777777" w:rsidR="00725C9E" w:rsidRPr="008F2EE2" w:rsidRDefault="00725C9E" w:rsidP="00725C9E">
            <w:pPr>
              <w:adjustRightInd w:val="0"/>
              <w:spacing w:line="360" w:lineRule="auto"/>
              <w:contextualSpacing/>
              <w:rPr>
                <w:rFonts w:ascii="宋体" w:eastAsia="宋体" w:hAnsi="宋体" w:cs="Times New Roman"/>
                <w:szCs w:val="21"/>
                <w14:ligatures w14:val="none"/>
              </w:rPr>
            </w:pPr>
            <w:r w:rsidRPr="008F2EE2">
              <w:rPr>
                <w:rFonts w:ascii="宋体" w:eastAsia="宋体" w:hAnsi="宋体" w:cs="Times New Roman"/>
                <w:szCs w:val="21"/>
                <w14:ligatures w14:val="none"/>
              </w:rPr>
              <w:t>□新闻发布会               √路演活动</w:t>
            </w:r>
          </w:p>
          <w:p w14:paraId="6763095B" w14:textId="77777777" w:rsidR="00725C9E" w:rsidRPr="008F2EE2" w:rsidRDefault="00725C9E" w:rsidP="00725C9E">
            <w:pPr>
              <w:adjustRightInd w:val="0"/>
              <w:spacing w:line="360" w:lineRule="auto"/>
              <w:contextualSpacing/>
              <w:rPr>
                <w:rFonts w:ascii="宋体" w:eastAsia="宋体" w:hAnsi="宋体" w:cs="Times New Roman"/>
                <w:szCs w:val="21"/>
                <w14:ligatures w14:val="none"/>
              </w:rPr>
            </w:pPr>
            <w:r w:rsidRPr="008F2EE2">
              <w:rPr>
                <w:rFonts w:ascii="宋体" w:eastAsia="宋体" w:hAnsi="宋体" w:cs="Times New Roman"/>
                <w:szCs w:val="21"/>
                <w14:ligatures w14:val="none"/>
              </w:rPr>
              <w:t>□现场参观                 □一对一沟通</w:t>
            </w:r>
          </w:p>
          <w:p w14:paraId="30F3B3EE" w14:textId="677A8632" w:rsidR="005100C9" w:rsidRPr="008F2EE2" w:rsidRDefault="00725C9E" w:rsidP="005100C9">
            <w:pPr>
              <w:adjustRightInd w:val="0"/>
              <w:spacing w:line="360" w:lineRule="auto"/>
              <w:contextualSpacing/>
              <w:rPr>
                <w:rFonts w:ascii="Times New Roman" w:eastAsia="宋体" w:hAnsi="Times New Roman" w:cs="Times New Roman"/>
                <w:szCs w:val="21"/>
                <w14:ligatures w14:val="none"/>
              </w:rPr>
            </w:pPr>
            <w:r w:rsidRPr="008F2EE2">
              <w:rPr>
                <w:rFonts w:ascii="宋体" w:eastAsia="宋体" w:hAnsi="宋体" w:cs="Times New Roman"/>
                <w:szCs w:val="21"/>
                <w14:ligatures w14:val="none"/>
              </w:rPr>
              <w:t>√其他（</w:t>
            </w:r>
            <w:r w:rsidRPr="008F2EE2">
              <w:rPr>
                <w:rFonts w:ascii="宋体" w:eastAsia="宋体" w:hAnsi="宋体" w:cs="Times New Roman" w:hint="eastAsia"/>
                <w:szCs w:val="21"/>
                <w14:ligatures w14:val="none"/>
              </w:rPr>
              <w:t>电话会议</w:t>
            </w:r>
            <w:r w:rsidRPr="008F2EE2">
              <w:rPr>
                <w:rFonts w:ascii="宋体" w:eastAsia="宋体" w:hAnsi="宋体" w:cs="Times New Roman"/>
                <w:szCs w:val="21"/>
                <w14:ligatures w14:val="none"/>
              </w:rPr>
              <w:t>）</w:t>
            </w:r>
          </w:p>
        </w:tc>
      </w:tr>
      <w:tr w:rsidR="005100C9" w:rsidRPr="005100C9" w14:paraId="740534A9" w14:textId="77777777" w:rsidTr="3676609B">
        <w:trPr>
          <w:trHeight w:val="938"/>
          <w:jc w:val="center"/>
        </w:trPr>
        <w:tc>
          <w:tcPr>
            <w:tcW w:w="1526" w:type="dxa"/>
          </w:tcPr>
          <w:p w14:paraId="17C8EF65" w14:textId="77777777" w:rsidR="005100C9" w:rsidRPr="008F2EE2" w:rsidRDefault="005100C9" w:rsidP="005100C9">
            <w:pPr>
              <w:adjustRightInd w:val="0"/>
              <w:spacing w:line="360" w:lineRule="auto"/>
              <w:contextualSpacing/>
              <w:rPr>
                <w:rFonts w:ascii="Times New Roman" w:eastAsia="宋体" w:hAnsi="Times New Roman" w:cs="Times New Roman"/>
                <w:szCs w:val="21"/>
                <w14:ligatures w14:val="none"/>
              </w:rPr>
            </w:pPr>
            <w:r w:rsidRPr="008F2EE2">
              <w:rPr>
                <w:rFonts w:ascii="Times New Roman" w:eastAsia="宋体" w:hAnsi="Times New Roman" w:cs="Times New Roman"/>
                <w:szCs w:val="21"/>
                <w14:ligatures w14:val="none"/>
              </w:rPr>
              <w:t>参与单位</w:t>
            </w:r>
          </w:p>
          <w:p w14:paraId="1294C1D2" w14:textId="77777777" w:rsidR="005100C9" w:rsidRPr="008F2EE2" w:rsidRDefault="005100C9" w:rsidP="005100C9">
            <w:pPr>
              <w:adjustRightInd w:val="0"/>
              <w:spacing w:line="360" w:lineRule="auto"/>
              <w:contextualSpacing/>
              <w:rPr>
                <w:rFonts w:ascii="Times New Roman" w:eastAsia="宋体" w:hAnsi="Times New Roman" w:cs="Times New Roman"/>
                <w:szCs w:val="21"/>
                <w14:ligatures w14:val="none"/>
              </w:rPr>
            </w:pPr>
            <w:r w:rsidRPr="008F2EE2">
              <w:rPr>
                <w:rFonts w:ascii="Times New Roman" w:eastAsia="宋体" w:hAnsi="Times New Roman" w:cs="Times New Roman"/>
                <w:szCs w:val="21"/>
                <w14:ligatures w14:val="none"/>
              </w:rPr>
              <w:t>及人员</w:t>
            </w:r>
          </w:p>
        </w:tc>
        <w:tc>
          <w:tcPr>
            <w:tcW w:w="7238" w:type="dxa"/>
          </w:tcPr>
          <w:p w14:paraId="6FDC5DBE" w14:textId="4F7DC02D" w:rsidR="005100C9" w:rsidRPr="008F2EE2" w:rsidRDefault="00901CE6" w:rsidP="005100C9">
            <w:pPr>
              <w:tabs>
                <w:tab w:val="left" w:pos="1014"/>
                <w:tab w:val="left" w:pos="4360"/>
                <w:tab w:val="left" w:pos="5704"/>
              </w:tabs>
              <w:adjustRightInd w:val="0"/>
              <w:spacing w:line="312" w:lineRule="auto"/>
              <w:contextualSpacing/>
              <w:rPr>
                <w:rFonts w:ascii="Times New Roman" w:eastAsia="宋体" w:hAnsi="Times New Roman" w:cs="Times New Roman"/>
                <w:szCs w:val="21"/>
                <w14:ligatures w14:val="none"/>
              </w:rPr>
            </w:pPr>
            <w:r w:rsidRPr="008F2EE2">
              <w:rPr>
                <w:rFonts w:ascii="Times New Roman" w:eastAsia="宋体" w:hAnsi="Times New Roman" w:cs="Times New Roman" w:hint="eastAsia"/>
                <w:szCs w:val="21"/>
                <w14:ligatures w14:val="none"/>
              </w:rPr>
              <w:t>3w</w:t>
            </w:r>
            <w:r w:rsidRPr="008F2EE2">
              <w:rPr>
                <w:rFonts w:ascii="Times New Roman" w:eastAsia="宋体" w:hAnsi="Times New Roman" w:cs="Times New Roman" w:hint="eastAsia"/>
                <w:szCs w:val="21"/>
                <w14:ligatures w14:val="none"/>
              </w:rPr>
              <w:t>、</w:t>
            </w:r>
            <w:r w:rsidRPr="008F2EE2">
              <w:rPr>
                <w:rFonts w:ascii="Times New Roman" w:eastAsia="宋体" w:hAnsi="Times New Roman" w:cs="Times New Roman" w:hint="eastAsia"/>
                <w:szCs w:val="21"/>
                <w14:ligatures w14:val="none"/>
              </w:rPr>
              <w:t>Boyu Capital</w:t>
            </w:r>
            <w:r w:rsidRPr="008F2EE2">
              <w:rPr>
                <w:rFonts w:ascii="Times New Roman" w:eastAsia="宋体" w:hAnsi="Times New Roman" w:cs="Times New Roman" w:hint="eastAsia"/>
                <w:szCs w:val="21"/>
                <w14:ligatures w14:val="none"/>
              </w:rPr>
              <w:t>、</w:t>
            </w:r>
            <w:r w:rsidRPr="008F2EE2">
              <w:rPr>
                <w:rFonts w:ascii="Times New Roman" w:eastAsia="宋体" w:hAnsi="Times New Roman" w:cs="Times New Roman" w:hint="eastAsia"/>
                <w:szCs w:val="21"/>
                <w14:ligatures w14:val="none"/>
              </w:rPr>
              <w:t>Capital Group</w:t>
            </w:r>
            <w:r w:rsidRPr="008F2EE2">
              <w:rPr>
                <w:rFonts w:ascii="Times New Roman" w:eastAsia="宋体" w:hAnsi="Times New Roman" w:cs="Times New Roman" w:hint="eastAsia"/>
                <w:szCs w:val="21"/>
                <w14:ligatures w14:val="none"/>
              </w:rPr>
              <w:t>、</w:t>
            </w:r>
            <w:r w:rsidRPr="008F2EE2">
              <w:rPr>
                <w:rFonts w:ascii="Times New Roman" w:eastAsia="宋体" w:hAnsi="Times New Roman" w:cs="Times New Roman" w:hint="eastAsia"/>
                <w:szCs w:val="21"/>
                <w14:ligatures w14:val="none"/>
              </w:rPr>
              <w:t>Lake Bleu Capital</w:t>
            </w:r>
            <w:r w:rsidRPr="008F2EE2">
              <w:rPr>
                <w:rFonts w:ascii="Times New Roman" w:eastAsia="宋体" w:hAnsi="Times New Roman" w:cs="Times New Roman" w:hint="eastAsia"/>
                <w:szCs w:val="21"/>
                <w14:ligatures w14:val="none"/>
              </w:rPr>
              <w:t>、</w:t>
            </w:r>
            <w:r w:rsidRPr="008F2EE2">
              <w:rPr>
                <w:rFonts w:ascii="Times New Roman" w:eastAsia="宋体" w:hAnsi="Times New Roman" w:cs="Times New Roman" w:hint="eastAsia"/>
                <w:szCs w:val="21"/>
                <w14:ligatures w14:val="none"/>
              </w:rPr>
              <w:t>Marshall Wace</w:t>
            </w:r>
            <w:r w:rsidRPr="008F2EE2">
              <w:rPr>
                <w:rFonts w:ascii="Times New Roman" w:eastAsia="宋体" w:hAnsi="Times New Roman" w:cs="Times New Roman" w:hint="eastAsia"/>
                <w:szCs w:val="21"/>
                <w14:ligatures w14:val="none"/>
              </w:rPr>
              <w:t>、</w:t>
            </w:r>
            <w:r w:rsidRPr="008F2EE2">
              <w:rPr>
                <w:rFonts w:ascii="Times New Roman" w:eastAsia="宋体" w:hAnsi="Times New Roman" w:cs="Times New Roman" w:hint="eastAsia"/>
                <w:szCs w:val="21"/>
                <w14:ligatures w14:val="none"/>
              </w:rPr>
              <w:t>Millennium Management</w:t>
            </w:r>
            <w:r w:rsidRPr="008F2EE2">
              <w:rPr>
                <w:rFonts w:ascii="Times New Roman" w:eastAsia="宋体" w:hAnsi="Times New Roman" w:cs="Times New Roman" w:hint="eastAsia"/>
                <w:szCs w:val="21"/>
                <w14:ligatures w14:val="none"/>
              </w:rPr>
              <w:t>、</w:t>
            </w:r>
            <w:r w:rsidRPr="008F2EE2">
              <w:rPr>
                <w:rFonts w:ascii="Times New Roman" w:eastAsia="宋体" w:hAnsi="Times New Roman" w:cs="Times New Roman" w:hint="eastAsia"/>
                <w:szCs w:val="21"/>
                <w14:ligatures w14:val="none"/>
              </w:rPr>
              <w:t>Sage Partners</w:t>
            </w:r>
            <w:r w:rsidRPr="008F2EE2">
              <w:rPr>
                <w:rFonts w:ascii="Times New Roman" w:eastAsia="宋体" w:hAnsi="Times New Roman" w:cs="Times New Roman" w:hint="eastAsia"/>
                <w:szCs w:val="21"/>
                <w14:ligatures w14:val="none"/>
              </w:rPr>
              <w:t>、</w:t>
            </w:r>
            <w:r w:rsidRPr="008F2EE2">
              <w:rPr>
                <w:rFonts w:ascii="Times New Roman" w:eastAsia="宋体" w:hAnsi="Times New Roman" w:cs="Times New Roman" w:hint="eastAsia"/>
                <w:szCs w:val="21"/>
                <w14:ligatures w14:val="none"/>
              </w:rPr>
              <w:t>State Street</w:t>
            </w:r>
            <w:r w:rsidRPr="008F2EE2">
              <w:rPr>
                <w:rFonts w:ascii="Times New Roman" w:eastAsia="宋体" w:hAnsi="Times New Roman" w:cs="Times New Roman" w:hint="eastAsia"/>
                <w:szCs w:val="21"/>
                <w14:ligatures w14:val="none"/>
              </w:rPr>
              <w:t>、</w:t>
            </w:r>
            <w:proofErr w:type="gramStart"/>
            <w:r w:rsidRPr="008F2EE2">
              <w:rPr>
                <w:rFonts w:ascii="Times New Roman" w:eastAsia="宋体" w:hAnsi="Times New Roman" w:cs="Times New Roman" w:hint="eastAsia"/>
                <w:szCs w:val="21"/>
                <w14:ligatures w14:val="none"/>
              </w:rPr>
              <w:t>安揭投资</w:t>
            </w:r>
            <w:proofErr w:type="gramEnd"/>
            <w:r w:rsidRPr="008F2EE2">
              <w:rPr>
                <w:rFonts w:ascii="Times New Roman" w:eastAsia="宋体" w:hAnsi="Times New Roman" w:cs="Times New Roman" w:hint="eastAsia"/>
                <w:szCs w:val="21"/>
                <w14:ligatures w14:val="none"/>
              </w:rPr>
              <w:t>、安信基金、宝盈基金、北京诚旸投资、贝莱德基金、彼得明奇、</w:t>
            </w:r>
            <w:proofErr w:type="gramStart"/>
            <w:r w:rsidRPr="008F2EE2">
              <w:rPr>
                <w:rFonts w:ascii="Times New Roman" w:eastAsia="宋体" w:hAnsi="Times New Roman" w:cs="Times New Roman" w:hint="eastAsia"/>
                <w:szCs w:val="21"/>
                <w14:ligatures w14:val="none"/>
              </w:rPr>
              <w:t>彬</w:t>
            </w:r>
            <w:proofErr w:type="gramEnd"/>
            <w:r w:rsidRPr="008F2EE2">
              <w:rPr>
                <w:rFonts w:ascii="Times New Roman" w:eastAsia="宋体" w:hAnsi="Times New Roman" w:cs="Times New Roman" w:hint="eastAsia"/>
                <w:szCs w:val="21"/>
                <w14:ligatures w14:val="none"/>
              </w:rPr>
              <w:t>元资本、</w:t>
            </w:r>
            <w:proofErr w:type="gramStart"/>
            <w:r w:rsidRPr="008F2EE2">
              <w:rPr>
                <w:rFonts w:ascii="Times New Roman" w:eastAsia="宋体" w:hAnsi="Times New Roman" w:cs="Times New Roman" w:hint="eastAsia"/>
                <w:szCs w:val="21"/>
                <w14:ligatures w14:val="none"/>
              </w:rPr>
              <w:t>博奥资本</w:t>
            </w:r>
            <w:proofErr w:type="gramEnd"/>
            <w:r w:rsidRPr="008F2EE2">
              <w:rPr>
                <w:rFonts w:ascii="Times New Roman" w:eastAsia="宋体" w:hAnsi="Times New Roman" w:cs="Times New Roman" w:hint="eastAsia"/>
                <w:szCs w:val="21"/>
                <w14:ligatures w14:val="none"/>
              </w:rPr>
              <w:t>、博道基金、</w:t>
            </w:r>
            <w:proofErr w:type="gramStart"/>
            <w:r w:rsidRPr="008F2EE2">
              <w:rPr>
                <w:rFonts w:ascii="Times New Roman" w:eastAsia="宋体" w:hAnsi="Times New Roman" w:cs="Times New Roman" w:hint="eastAsia"/>
                <w:szCs w:val="21"/>
                <w14:ligatures w14:val="none"/>
              </w:rPr>
              <w:t>博衍基金</w:t>
            </w:r>
            <w:proofErr w:type="gramEnd"/>
            <w:r w:rsidRPr="008F2EE2">
              <w:rPr>
                <w:rFonts w:ascii="Times New Roman" w:eastAsia="宋体" w:hAnsi="Times New Roman" w:cs="Times New Roman" w:hint="eastAsia"/>
                <w:szCs w:val="21"/>
                <w14:ligatures w14:val="none"/>
              </w:rPr>
              <w:t>、财</w:t>
            </w:r>
            <w:proofErr w:type="gramStart"/>
            <w:r w:rsidRPr="008F2EE2">
              <w:rPr>
                <w:rFonts w:ascii="Times New Roman" w:eastAsia="宋体" w:hAnsi="Times New Roman" w:cs="Times New Roman" w:hint="eastAsia"/>
                <w:szCs w:val="21"/>
                <w14:ligatures w14:val="none"/>
              </w:rPr>
              <w:t>通资管、诚盛</w:t>
            </w:r>
            <w:proofErr w:type="gramEnd"/>
            <w:r w:rsidRPr="008F2EE2">
              <w:rPr>
                <w:rFonts w:ascii="Times New Roman" w:eastAsia="宋体" w:hAnsi="Times New Roman" w:cs="Times New Roman" w:hint="eastAsia"/>
                <w:szCs w:val="21"/>
                <w14:ligatures w14:val="none"/>
              </w:rPr>
              <w:t>投资、诚旸投资、崇山投资、</w:t>
            </w:r>
            <w:proofErr w:type="gramStart"/>
            <w:r w:rsidRPr="008F2EE2">
              <w:rPr>
                <w:rFonts w:ascii="Times New Roman" w:eastAsia="宋体" w:hAnsi="Times New Roman" w:cs="Times New Roman" w:hint="eastAsia"/>
                <w:szCs w:val="21"/>
                <w14:ligatures w14:val="none"/>
              </w:rPr>
              <w:t>创金合</w:t>
            </w:r>
            <w:proofErr w:type="gramEnd"/>
            <w:r w:rsidRPr="008F2EE2">
              <w:rPr>
                <w:rFonts w:ascii="Times New Roman" w:eastAsia="宋体" w:hAnsi="Times New Roman" w:cs="Times New Roman" w:hint="eastAsia"/>
                <w:szCs w:val="21"/>
                <w14:ligatures w14:val="none"/>
              </w:rPr>
              <w:t>信基金、淳厚基金、大成基金、大家资产、大朴资产、大湾区发展基金、丹羿投资、淡水泉投资、德福资本、东方阿尔法基金、东方红资管、东吴基金、法国巴黎资产管理、福泽源基金、高毅资产、</w:t>
            </w:r>
            <w:proofErr w:type="gramStart"/>
            <w:r w:rsidRPr="008F2EE2">
              <w:rPr>
                <w:rFonts w:ascii="Times New Roman" w:eastAsia="宋体" w:hAnsi="Times New Roman" w:cs="Times New Roman" w:hint="eastAsia"/>
                <w:szCs w:val="21"/>
                <w14:ligatures w14:val="none"/>
              </w:rPr>
              <w:t>亘</w:t>
            </w:r>
            <w:proofErr w:type="gramEnd"/>
            <w:r w:rsidRPr="008F2EE2">
              <w:rPr>
                <w:rFonts w:ascii="Times New Roman" w:eastAsia="宋体" w:hAnsi="Times New Roman" w:cs="Times New Roman" w:hint="eastAsia"/>
                <w:szCs w:val="21"/>
                <w14:ligatures w14:val="none"/>
              </w:rPr>
              <w:t>曦基金、</w:t>
            </w:r>
            <w:proofErr w:type="gramStart"/>
            <w:r w:rsidRPr="008F2EE2">
              <w:rPr>
                <w:rFonts w:ascii="Times New Roman" w:eastAsia="宋体" w:hAnsi="Times New Roman" w:cs="Times New Roman" w:hint="eastAsia"/>
                <w:szCs w:val="21"/>
                <w14:ligatures w14:val="none"/>
              </w:rPr>
              <w:t>光证资管</w:t>
            </w:r>
            <w:proofErr w:type="gramEnd"/>
            <w:r w:rsidRPr="008F2EE2">
              <w:rPr>
                <w:rFonts w:ascii="Times New Roman" w:eastAsia="宋体" w:hAnsi="Times New Roman" w:cs="Times New Roman" w:hint="eastAsia"/>
                <w:szCs w:val="21"/>
                <w14:ligatures w14:val="none"/>
              </w:rPr>
              <w:t>、国华人</w:t>
            </w:r>
            <w:proofErr w:type="gramStart"/>
            <w:r w:rsidRPr="008F2EE2">
              <w:rPr>
                <w:rFonts w:ascii="Times New Roman" w:eastAsia="宋体" w:hAnsi="Times New Roman" w:cs="Times New Roman" w:hint="eastAsia"/>
                <w:szCs w:val="21"/>
                <w14:ligatures w14:val="none"/>
              </w:rPr>
              <w:t>寿资管</w:t>
            </w:r>
            <w:proofErr w:type="gramEnd"/>
            <w:r w:rsidRPr="008F2EE2">
              <w:rPr>
                <w:rFonts w:ascii="Times New Roman" w:eastAsia="宋体" w:hAnsi="Times New Roman" w:cs="Times New Roman" w:hint="eastAsia"/>
                <w:szCs w:val="21"/>
                <w14:ligatures w14:val="none"/>
              </w:rPr>
              <w:t>、国联安基金、国泰海</w:t>
            </w:r>
            <w:proofErr w:type="gramStart"/>
            <w:r w:rsidRPr="008F2EE2">
              <w:rPr>
                <w:rFonts w:ascii="Times New Roman" w:eastAsia="宋体" w:hAnsi="Times New Roman" w:cs="Times New Roman" w:hint="eastAsia"/>
                <w:szCs w:val="21"/>
                <w14:ligatures w14:val="none"/>
              </w:rPr>
              <w:t>通资管</w:t>
            </w:r>
            <w:proofErr w:type="gramEnd"/>
            <w:r w:rsidRPr="008F2EE2">
              <w:rPr>
                <w:rFonts w:ascii="Times New Roman" w:eastAsia="宋体" w:hAnsi="Times New Roman" w:cs="Times New Roman" w:hint="eastAsia"/>
                <w:szCs w:val="21"/>
                <w14:ligatures w14:val="none"/>
              </w:rPr>
              <w:t>、</w:t>
            </w:r>
            <w:proofErr w:type="gramStart"/>
            <w:r w:rsidRPr="008F2EE2">
              <w:rPr>
                <w:rFonts w:ascii="Times New Roman" w:eastAsia="宋体" w:hAnsi="Times New Roman" w:cs="Times New Roman" w:hint="eastAsia"/>
                <w:szCs w:val="21"/>
                <w14:ligatures w14:val="none"/>
              </w:rPr>
              <w:t>国投瑞银</w:t>
            </w:r>
            <w:proofErr w:type="gramEnd"/>
            <w:r w:rsidRPr="008F2EE2">
              <w:rPr>
                <w:rFonts w:ascii="Times New Roman" w:eastAsia="宋体" w:hAnsi="Times New Roman" w:cs="Times New Roman" w:hint="eastAsia"/>
                <w:szCs w:val="21"/>
                <w14:ligatures w14:val="none"/>
              </w:rPr>
              <w:t>基金、</w:t>
            </w:r>
            <w:proofErr w:type="gramStart"/>
            <w:r w:rsidRPr="008F2EE2">
              <w:rPr>
                <w:rFonts w:ascii="Times New Roman" w:eastAsia="宋体" w:hAnsi="Times New Roman" w:cs="Times New Roman" w:hint="eastAsia"/>
                <w:szCs w:val="21"/>
                <w14:ligatures w14:val="none"/>
              </w:rPr>
              <w:t>国证资管</w:t>
            </w:r>
            <w:proofErr w:type="gramEnd"/>
            <w:r w:rsidRPr="008F2EE2">
              <w:rPr>
                <w:rFonts w:ascii="Times New Roman" w:eastAsia="宋体" w:hAnsi="Times New Roman" w:cs="Times New Roman" w:hint="eastAsia"/>
                <w:szCs w:val="21"/>
                <w14:ligatures w14:val="none"/>
              </w:rPr>
              <w:t>、韩国投信、</w:t>
            </w:r>
            <w:proofErr w:type="gramStart"/>
            <w:r w:rsidRPr="008F2EE2">
              <w:rPr>
                <w:rFonts w:ascii="Times New Roman" w:eastAsia="宋体" w:hAnsi="Times New Roman" w:cs="Times New Roman" w:hint="eastAsia"/>
                <w:szCs w:val="21"/>
                <w14:ligatures w14:val="none"/>
              </w:rPr>
              <w:t>汉康资本</w:t>
            </w:r>
            <w:proofErr w:type="gramEnd"/>
            <w:r w:rsidRPr="008F2EE2">
              <w:rPr>
                <w:rFonts w:ascii="Times New Roman" w:eastAsia="宋体" w:hAnsi="Times New Roman" w:cs="Times New Roman" w:hint="eastAsia"/>
                <w:szCs w:val="21"/>
                <w14:ligatures w14:val="none"/>
              </w:rPr>
              <w:t>、</w:t>
            </w:r>
            <w:proofErr w:type="gramStart"/>
            <w:r w:rsidRPr="008F2EE2">
              <w:rPr>
                <w:rFonts w:ascii="Times New Roman" w:eastAsia="宋体" w:hAnsi="Times New Roman" w:cs="Times New Roman" w:hint="eastAsia"/>
                <w:szCs w:val="21"/>
                <w14:ligatures w14:val="none"/>
              </w:rPr>
              <w:t>瀚</w:t>
            </w:r>
            <w:proofErr w:type="gramEnd"/>
            <w:r w:rsidRPr="008F2EE2">
              <w:rPr>
                <w:rFonts w:ascii="Times New Roman" w:eastAsia="宋体" w:hAnsi="Times New Roman" w:cs="Times New Roman" w:hint="eastAsia"/>
                <w:szCs w:val="21"/>
                <w14:ligatures w14:val="none"/>
              </w:rPr>
              <w:t>亚投资、</w:t>
            </w:r>
            <w:proofErr w:type="gramStart"/>
            <w:r w:rsidRPr="008F2EE2">
              <w:rPr>
                <w:rFonts w:ascii="Times New Roman" w:eastAsia="宋体" w:hAnsi="Times New Roman" w:cs="Times New Roman" w:hint="eastAsia"/>
                <w:szCs w:val="21"/>
                <w14:ligatures w14:val="none"/>
              </w:rPr>
              <w:t>和谐汇</w:t>
            </w:r>
            <w:proofErr w:type="gramEnd"/>
            <w:r w:rsidRPr="008F2EE2">
              <w:rPr>
                <w:rFonts w:ascii="Times New Roman" w:eastAsia="宋体" w:hAnsi="Times New Roman" w:cs="Times New Roman" w:hint="eastAsia"/>
                <w:szCs w:val="21"/>
                <w14:ligatures w14:val="none"/>
              </w:rPr>
              <w:t>一、</w:t>
            </w:r>
            <w:proofErr w:type="gramStart"/>
            <w:r w:rsidRPr="008F2EE2">
              <w:rPr>
                <w:rFonts w:ascii="Times New Roman" w:eastAsia="宋体" w:hAnsi="Times New Roman" w:cs="Times New Roman" w:hint="eastAsia"/>
                <w:szCs w:val="21"/>
                <w14:ligatures w14:val="none"/>
              </w:rPr>
              <w:t>泓德基金</w:t>
            </w:r>
            <w:proofErr w:type="gramEnd"/>
            <w:r w:rsidRPr="008F2EE2">
              <w:rPr>
                <w:rFonts w:ascii="Times New Roman" w:eastAsia="宋体" w:hAnsi="Times New Roman" w:cs="Times New Roman" w:hint="eastAsia"/>
                <w:szCs w:val="21"/>
                <w14:ligatures w14:val="none"/>
              </w:rPr>
              <w:t>、华安基金、华宝基金、华富基金、华夏基金、</w:t>
            </w:r>
            <w:proofErr w:type="gramStart"/>
            <w:r w:rsidRPr="008F2EE2">
              <w:rPr>
                <w:rFonts w:ascii="Times New Roman" w:eastAsia="宋体" w:hAnsi="Times New Roman" w:cs="Times New Roman" w:hint="eastAsia"/>
                <w:szCs w:val="21"/>
                <w14:ligatures w14:val="none"/>
              </w:rPr>
              <w:t>汇安基金</w:t>
            </w:r>
            <w:proofErr w:type="gramEnd"/>
            <w:r w:rsidRPr="008F2EE2">
              <w:rPr>
                <w:rFonts w:ascii="Times New Roman" w:eastAsia="宋体" w:hAnsi="Times New Roman" w:cs="Times New Roman" w:hint="eastAsia"/>
                <w:szCs w:val="21"/>
                <w14:ligatures w14:val="none"/>
              </w:rPr>
              <w:t>、</w:t>
            </w:r>
            <w:proofErr w:type="gramStart"/>
            <w:r w:rsidRPr="008F2EE2">
              <w:rPr>
                <w:rFonts w:ascii="Times New Roman" w:eastAsia="宋体" w:hAnsi="Times New Roman" w:cs="Times New Roman" w:hint="eastAsia"/>
                <w:szCs w:val="21"/>
                <w14:ligatures w14:val="none"/>
              </w:rPr>
              <w:t>汇添富</w:t>
            </w:r>
            <w:proofErr w:type="gramEnd"/>
            <w:r w:rsidRPr="008F2EE2">
              <w:rPr>
                <w:rFonts w:ascii="Times New Roman" w:eastAsia="宋体" w:hAnsi="Times New Roman" w:cs="Times New Roman" w:hint="eastAsia"/>
                <w:szCs w:val="21"/>
                <w14:ligatures w14:val="none"/>
              </w:rPr>
              <w:t>、惠理基金、混沌投资、嘉实基金、交银基金、</w:t>
            </w:r>
            <w:proofErr w:type="gramStart"/>
            <w:r w:rsidRPr="008F2EE2">
              <w:rPr>
                <w:rFonts w:ascii="Times New Roman" w:eastAsia="宋体" w:hAnsi="Times New Roman" w:cs="Times New Roman" w:hint="eastAsia"/>
                <w:szCs w:val="21"/>
                <w14:ligatures w14:val="none"/>
              </w:rPr>
              <w:t>交银施罗</w:t>
            </w:r>
            <w:proofErr w:type="gramEnd"/>
            <w:r w:rsidRPr="008F2EE2">
              <w:rPr>
                <w:rFonts w:ascii="Times New Roman" w:eastAsia="宋体" w:hAnsi="Times New Roman" w:cs="Times New Roman" w:hint="eastAsia"/>
                <w:szCs w:val="21"/>
                <w14:ligatures w14:val="none"/>
              </w:rPr>
              <w:t>德、金鹰基金、精硯私募基金、景泰资本、九霄投资、</w:t>
            </w:r>
            <w:proofErr w:type="gramStart"/>
            <w:r w:rsidRPr="008F2EE2">
              <w:rPr>
                <w:rFonts w:ascii="Times New Roman" w:eastAsia="宋体" w:hAnsi="Times New Roman" w:cs="Times New Roman" w:hint="eastAsia"/>
                <w:szCs w:val="21"/>
                <w14:ligatures w14:val="none"/>
              </w:rPr>
              <w:t>玖鹏资产</w:t>
            </w:r>
            <w:proofErr w:type="gramEnd"/>
            <w:r w:rsidRPr="008F2EE2">
              <w:rPr>
                <w:rFonts w:ascii="Times New Roman" w:eastAsia="宋体" w:hAnsi="Times New Roman" w:cs="Times New Roman" w:hint="eastAsia"/>
                <w:szCs w:val="21"/>
                <w14:ligatures w14:val="none"/>
              </w:rPr>
              <w:t>、君和资本、</w:t>
            </w:r>
            <w:proofErr w:type="gramStart"/>
            <w:r w:rsidRPr="008F2EE2">
              <w:rPr>
                <w:rFonts w:ascii="Times New Roman" w:eastAsia="宋体" w:hAnsi="Times New Roman" w:cs="Times New Roman" w:hint="eastAsia"/>
                <w:szCs w:val="21"/>
                <w14:ligatures w14:val="none"/>
              </w:rPr>
              <w:t>凯</w:t>
            </w:r>
            <w:proofErr w:type="gramEnd"/>
            <w:r w:rsidRPr="008F2EE2">
              <w:rPr>
                <w:rFonts w:ascii="Times New Roman" w:eastAsia="宋体" w:hAnsi="Times New Roman" w:cs="Times New Roman" w:hint="eastAsia"/>
                <w:szCs w:val="21"/>
                <w14:ligatures w14:val="none"/>
              </w:rPr>
              <w:t>联资本、康曼德资本、兰馨亚洲、领</w:t>
            </w:r>
            <w:proofErr w:type="gramStart"/>
            <w:r w:rsidRPr="008F2EE2">
              <w:rPr>
                <w:rFonts w:ascii="Times New Roman" w:eastAsia="宋体" w:hAnsi="Times New Roman" w:cs="Times New Roman" w:hint="eastAsia"/>
                <w:szCs w:val="21"/>
                <w14:ligatures w14:val="none"/>
              </w:rPr>
              <w:t>骥</w:t>
            </w:r>
            <w:proofErr w:type="gramEnd"/>
            <w:r w:rsidRPr="008F2EE2">
              <w:rPr>
                <w:rFonts w:ascii="Times New Roman" w:eastAsia="宋体" w:hAnsi="Times New Roman" w:cs="Times New Roman" w:hint="eastAsia"/>
                <w:szCs w:val="21"/>
                <w14:ligatures w14:val="none"/>
              </w:rPr>
              <w:t>资本、龙图投资、陆家嘴信托、民</w:t>
            </w:r>
            <w:proofErr w:type="gramStart"/>
            <w:r w:rsidRPr="008F2EE2">
              <w:rPr>
                <w:rFonts w:ascii="Times New Roman" w:eastAsia="宋体" w:hAnsi="Times New Roman" w:cs="Times New Roman" w:hint="eastAsia"/>
                <w:szCs w:val="21"/>
                <w14:ligatures w14:val="none"/>
              </w:rPr>
              <w:t>晟</w:t>
            </w:r>
            <w:proofErr w:type="gramEnd"/>
            <w:r w:rsidRPr="008F2EE2">
              <w:rPr>
                <w:rFonts w:ascii="Times New Roman" w:eastAsia="宋体" w:hAnsi="Times New Roman" w:cs="Times New Roman" w:hint="eastAsia"/>
                <w:szCs w:val="21"/>
                <w14:ligatures w14:val="none"/>
              </w:rPr>
              <w:t>资产、民生加银基金、</w:t>
            </w:r>
            <w:proofErr w:type="gramStart"/>
            <w:r w:rsidRPr="008F2EE2">
              <w:rPr>
                <w:rFonts w:ascii="Times New Roman" w:eastAsia="宋体" w:hAnsi="Times New Roman" w:cs="Times New Roman" w:hint="eastAsia"/>
                <w:szCs w:val="21"/>
                <w14:ligatures w14:val="none"/>
              </w:rPr>
              <w:t>名禹资产</w:t>
            </w:r>
            <w:proofErr w:type="gramEnd"/>
            <w:r w:rsidRPr="008F2EE2">
              <w:rPr>
                <w:rFonts w:ascii="Times New Roman" w:eastAsia="宋体" w:hAnsi="Times New Roman" w:cs="Times New Roman" w:hint="eastAsia"/>
                <w:szCs w:val="21"/>
                <w14:ligatures w14:val="none"/>
              </w:rPr>
              <w:t>、明</w:t>
            </w:r>
            <w:proofErr w:type="gramStart"/>
            <w:r w:rsidRPr="008F2EE2">
              <w:rPr>
                <w:rFonts w:ascii="Times New Roman" w:eastAsia="宋体" w:hAnsi="Times New Roman" w:cs="Times New Roman" w:hint="eastAsia"/>
                <w:szCs w:val="21"/>
                <w14:ligatures w14:val="none"/>
              </w:rPr>
              <w:t>世</w:t>
            </w:r>
            <w:proofErr w:type="gramEnd"/>
            <w:r w:rsidRPr="008F2EE2">
              <w:rPr>
                <w:rFonts w:ascii="Times New Roman" w:eastAsia="宋体" w:hAnsi="Times New Roman" w:cs="Times New Roman" w:hint="eastAsia"/>
                <w:szCs w:val="21"/>
                <w14:ligatures w14:val="none"/>
              </w:rPr>
              <w:t>伙伴基金、摩根士丹利基金、南方基金、农银汇理基金、农银人寿保险股份有限公司、鹏华基金、</w:t>
            </w:r>
            <w:proofErr w:type="gramStart"/>
            <w:r w:rsidRPr="008F2EE2">
              <w:rPr>
                <w:rFonts w:ascii="Times New Roman" w:eastAsia="宋体" w:hAnsi="Times New Roman" w:cs="Times New Roman" w:hint="eastAsia"/>
                <w:szCs w:val="21"/>
                <w14:ligatures w14:val="none"/>
              </w:rPr>
              <w:t>鹏扬基金</w:t>
            </w:r>
            <w:proofErr w:type="gramEnd"/>
            <w:r w:rsidRPr="008F2EE2">
              <w:rPr>
                <w:rFonts w:ascii="Times New Roman" w:eastAsia="宋体" w:hAnsi="Times New Roman" w:cs="Times New Roman" w:hint="eastAsia"/>
                <w:szCs w:val="21"/>
                <w14:ligatures w14:val="none"/>
              </w:rPr>
              <w:t>、平安养老、平安资管、朴锐资本、齐熙投资、</w:t>
            </w:r>
            <w:proofErr w:type="gramStart"/>
            <w:r w:rsidRPr="008F2EE2">
              <w:rPr>
                <w:rFonts w:ascii="Times New Roman" w:eastAsia="宋体" w:hAnsi="Times New Roman" w:cs="Times New Roman" w:hint="eastAsia"/>
                <w:szCs w:val="21"/>
                <w14:ligatures w14:val="none"/>
              </w:rPr>
              <w:t>青岛朋元资产</w:t>
            </w:r>
            <w:proofErr w:type="gramEnd"/>
            <w:r w:rsidRPr="008F2EE2">
              <w:rPr>
                <w:rFonts w:ascii="Times New Roman" w:eastAsia="宋体" w:hAnsi="Times New Roman" w:cs="Times New Roman" w:hint="eastAsia"/>
                <w:szCs w:val="21"/>
                <w14:ligatures w14:val="none"/>
              </w:rPr>
              <w:t>、青</w:t>
            </w:r>
            <w:proofErr w:type="gramStart"/>
            <w:r w:rsidRPr="008F2EE2">
              <w:rPr>
                <w:rFonts w:ascii="Times New Roman" w:eastAsia="宋体" w:hAnsi="Times New Roman" w:cs="Times New Roman" w:hint="eastAsia"/>
                <w:szCs w:val="21"/>
                <w14:ligatures w14:val="none"/>
              </w:rPr>
              <w:t>骊</w:t>
            </w:r>
            <w:proofErr w:type="gramEnd"/>
            <w:r w:rsidRPr="008F2EE2">
              <w:rPr>
                <w:rFonts w:ascii="Times New Roman" w:eastAsia="宋体" w:hAnsi="Times New Roman" w:cs="Times New Roman" w:hint="eastAsia"/>
                <w:szCs w:val="21"/>
                <w14:ligatures w14:val="none"/>
              </w:rPr>
              <w:t>投资、</w:t>
            </w:r>
            <w:proofErr w:type="gramStart"/>
            <w:r w:rsidRPr="008F2EE2">
              <w:rPr>
                <w:rFonts w:ascii="Times New Roman" w:eastAsia="宋体" w:hAnsi="Times New Roman" w:cs="Times New Roman" w:hint="eastAsia"/>
                <w:szCs w:val="21"/>
                <w14:ligatures w14:val="none"/>
              </w:rPr>
              <w:t>泉果基金</w:t>
            </w:r>
            <w:proofErr w:type="gramEnd"/>
            <w:r w:rsidRPr="008F2EE2">
              <w:rPr>
                <w:rFonts w:ascii="Times New Roman" w:eastAsia="宋体" w:hAnsi="Times New Roman" w:cs="Times New Roman" w:hint="eastAsia"/>
                <w:szCs w:val="21"/>
                <w14:ligatures w14:val="none"/>
              </w:rPr>
              <w:t>、人保养老、人保资产、日斗投资、容光投资、融通基金、</w:t>
            </w:r>
            <w:proofErr w:type="gramStart"/>
            <w:r w:rsidRPr="008F2EE2">
              <w:rPr>
                <w:rFonts w:ascii="Times New Roman" w:eastAsia="宋体" w:hAnsi="Times New Roman" w:cs="Times New Roman" w:hint="eastAsia"/>
                <w:szCs w:val="21"/>
                <w14:ligatures w14:val="none"/>
              </w:rPr>
              <w:t>睿</w:t>
            </w:r>
            <w:proofErr w:type="gramEnd"/>
            <w:r w:rsidRPr="008F2EE2">
              <w:rPr>
                <w:rFonts w:ascii="Times New Roman" w:eastAsia="宋体" w:hAnsi="Times New Roman" w:cs="Times New Roman" w:hint="eastAsia"/>
                <w:szCs w:val="21"/>
                <w14:ligatures w14:val="none"/>
              </w:rPr>
              <w:t>信投资、三井住友德</w:t>
            </w:r>
            <w:proofErr w:type="gramStart"/>
            <w:r w:rsidRPr="008F2EE2">
              <w:rPr>
                <w:rFonts w:ascii="Times New Roman" w:eastAsia="宋体" w:hAnsi="Times New Roman" w:cs="Times New Roman" w:hint="eastAsia"/>
                <w:szCs w:val="21"/>
                <w14:ligatures w14:val="none"/>
              </w:rPr>
              <w:t>思资管、森锦</w:t>
            </w:r>
            <w:proofErr w:type="gramEnd"/>
            <w:r w:rsidRPr="008F2EE2">
              <w:rPr>
                <w:rFonts w:ascii="Times New Roman" w:eastAsia="宋体" w:hAnsi="Times New Roman" w:cs="Times New Roman" w:hint="eastAsia"/>
                <w:szCs w:val="21"/>
                <w14:ligatures w14:val="none"/>
              </w:rPr>
              <w:t>投资、上银基金、尚雅投资、深圳</w:t>
            </w:r>
            <w:proofErr w:type="gramStart"/>
            <w:r w:rsidRPr="008F2EE2">
              <w:rPr>
                <w:rFonts w:ascii="Times New Roman" w:eastAsia="宋体" w:hAnsi="Times New Roman" w:cs="Times New Roman" w:hint="eastAsia"/>
                <w:szCs w:val="21"/>
                <w14:ligatures w14:val="none"/>
              </w:rPr>
              <w:t>国源信达</w:t>
            </w:r>
            <w:proofErr w:type="gramEnd"/>
            <w:r w:rsidRPr="008F2EE2">
              <w:rPr>
                <w:rFonts w:ascii="Times New Roman" w:eastAsia="宋体" w:hAnsi="Times New Roman" w:cs="Times New Roman" w:hint="eastAsia"/>
                <w:szCs w:val="21"/>
                <w14:ligatures w14:val="none"/>
              </w:rPr>
              <w:t>资本、深圳海雅金控、深圳前海无忧投资基金、深圳杉树资产、深圳市千榕资产管理有限公司、深圳市榕树投资管理有限公司、深圳市深汕特别合作区智汕引导基金投资有限公司、慎知资产、盛宇投资、拾贝投资、世诚投资、四川发展证券投资基金管理有限公司、松青私募、太保资产、太平基金、泰康资产、天风资管、天治基金、同犇投资、彤源投资、万家基金、伟星资本、西部信托、西部医药、新华基金、新华资产、鑫</w:t>
            </w:r>
            <w:r w:rsidRPr="008F2EE2">
              <w:rPr>
                <w:rFonts w:ascii="Times New Roman" w:eastAsia="宋体" w:hAnsi="Times New Roman" w:cs="Times New Roman" w:hint="eastAsia"/>
                <w:szCs w:val="21"/>
                <w14:ligatures w14:val="none"/>
              </w:rPr>
              <w:lastRenderedPageBreak/>
              <w:t>巢资本、鑫元基金、信见投资、兴合基金、兴全基金、兴业基金、兴银基金、阳光保险、易方达基金、英大基金、英大信托、永赢基金、圆信永丰基金、长城基金、长江资管、长盛基金、招商基金、招商资管、甄投投资、正奇资本、正心谷资本、知合基金、中国人保香港资产、中国人寿资产、中国银河证券、中海基金、中华保险、中加基金、中金公司、中生引领基金、中泰安和投资管理有限公司、中泰资管、中意资产、中银基金、中邮资管、重阳投资等。</w:t>
            </w:r>
          </w:p>
        </w:tc>
      </w:tr>
      <w:tr w:rsidR="005100C9" w:rsidRPr="005100C9" w14:paraId="0B6DD5B0" w14:textId="77777777" w:rsidTr="3676609B">
        <w:trPr>
          <w:trHeight w:val="544"/>
          <w:jc w:val="center"/>
        </w:trPr>
        <w:tc>
          <w:tcPr>
            <w:tcW w:w="1526" w:type="dxa"/>
          </w:tcPr>
          <w:p w14:paraId="06C2344E" w14:textId="77777777" w:rsidR="005100C9" w:rsidRPr="008F2EE2" w:rsidRDefault="005100C9" w:rsidP="005100C9">
            <w:pPr>
              <w:adjustRightInd w:val="0"/>
              <w:spacing w:line="360" w:lineRule="auto"/>
              <w:contextualSpacing/>
              <w:rPr>
                <w:rFonts w:ascii="Times New Roman" w:eastAsia="宋体" w:hAnsi="Times New Roman" w:cs="Times New Roman"/>
                <w:szCs w:val="21"/>
                <w14:ligatures w14:val="none"/>
              </w:rPr>
            </w:pPr>
            <w:r w:rsidRPr="008F2EE2">
              <w:rPr>
                <w:rFonts w:ascii="Times New Roman" w:eastAsia="宋体" w:hAnsi="Times New Roman" w:cs="Times New Roman"/>
                <w:szCs w:val="21"/>
                <w14:ligatures w14:val="none"/>
              </w:rPr>
              <w:lastRenderedPageBreak/>
              <w:t>时间</w:t>
            </w:r>
          </w:p>
        </w:tc>
        <w:tc>
          <w:tcPr>
            <w:tcW w:w="7238" w:type="dxa"/>
            <w:vAlign w:val="center"/>
          </w:tcPr>
          <w:p w14:paraId="635D4004" w14:textId="7F5C51DB" w:rsidR="005100C9" w:rsidRPr="008F2EE2" w:rsidRDefault="005100C9" w:rsidP="005100C9">
            <w:pPr>
              <w:tabs>
                <w:tab w:val="left" w:pos="1014"/>
                <w:tab w:val="left" w:pos="4360"/>
                <w:tab w:val="left" w:pos="5704"/>
              </w:tabs>
              <w:adjustRightInd w:val="0"/>
              <w:spacing w:line="312" w:lineRule="auto"/>
              <w:contextualSpacing/>
              <w:rPr>
                <w:rFonts w:ascii="Times New Roman" w:eastAsia="宋体" w:hAnsi="Times New Roman" w:cs="Times New Roman"/>
                <w:szCs w:val="21"/>
                <w14:ligatures w14:val="none"/>
              </w:rPr>
            </w:pPr>
            <w:r w:rsidRPr="008F2EE2">
              <w:rPr>
                <w:rFonts w:ascii="Times New Roman" w:eastAsia="宋体" w:hAnsi="Times New Roman" w:cs="Times New Roman"/>
                <w:szCs w:val="21"/>
                <w14:ligatures w14:val="none"/>
              </w:rPr>
              <w:t>202</w:t>
            </w:r>
            <w:r w:rsidRPr="008F2EE2">
              <w:rPr>
                <w:rFonts w:ascii="Times New Roman" w:eastAsia="宋体" w:hAnsi="Times New Roman" w:cs="Times New Roman" w:hint="eastAsia"/>
                <w:szCs w:val="21"/>
                <w14:ligatures w14:val="none"/>
              </w:rPr>
              <w:t>5</w:t>
            </w:r>
            <w:r w:rsidRPr="008F2EE2">
              <w:rPr>
                <w:rFonts w:ascii="Times New Roman" w:eastAsia="宋体" w:hAnsi="Times New Roman" w:cs="Times New Roman"/>
                <w:szCs w:val="21"/>
                <w14:ligatures w14:val="none"/>
              </w:rPr>
              <w:t>年</w:t>
            </w:r>
            <w:r w:rsidR="00CA64EA" w:rsidRPr="008F2EE2">
              <w:rPr>
                <w:rFonts w:ascii="Times New Roman" w:eastAsia="宋体" w:hAnsi="Times New Roman" w:cs="Times New Roman" w:hint="eastAsia"/>
                <w:szCs w:val="21"/>
                <w14:ligatures w14:val="none"/>
              </w:rPr>
              <w:t>8</w:t>
            </w:r>
            <w:r w:rsidRPr="008F2EE2">
              <w:rPr>
                <w:rFonts w:ascii="Times New Roman" w:eastAsia="宋体" w:hAnsi="Times New Roman" w:cs="Times New Roman"/>
                <w:szCs w:val="21"/>
                <w14:ligatures w14:val="none"/>
              </w:rPr>
              <w:t>月</w:t>
            </w:r>
            <w:r w:rsidR="00CA64EA" w:rsidRPr="008F2EE2">
              <w:rPr>
                <w:rFonts w:ascii="Times New Roman" w:eastAsia="宋体" w:hAnsi="Times New Roman" w:cs="Times New Roman" w:hint="eastAsia"/>
                <w:szCs w:val="21"/>
                <w14:ligatures w14:val="none"/>
              </w:rPr>
              <w:t>7</w:t>
            </w:r>
            <w:r w:rsidRPr="008F2EE2">
              <w:rPr>
                <w:rFonts w:ascii="Times New Roman" w:eastAsia="宋体" w:hAnsi="Times New Roman" w:cs="Times New Roman"/>
                <w:szCs w:val="21"/>
                <w14:ligatures w14:val="none"/>
              </w:rPr>
              <w:t>日</w:t>
            </w:r>
          </w:p>
        </w:tc>
      </w:tr>
      <w:tr w:rsidR="005100C9" w:rsidRPr="005100C9" w14:paraId="78092122" w14:textId="77777777" w:rsidTr="3676609B">
        <w:trPr>
          <w:jc w:val="center"/>
        </w:trPr>
        <w:tc>
          <w:tcPr>
            <w:tcW w:w="1526" w:type="dxa"/>
          </w:tcPr>
          <w:p w14:paraId="0FAB7A90" w14:textId="77777777" w:rsidR="005100C9" w:rsidRPr="008F2EE2" w:rsidRDefault="005100C9" w:rsidP="005100C9">
            <w:pPr>
              <w:adjustRightInd w:val="0"/>
              <w:spacing w:line="360" w:lineRule="auto"/>
              <w:contextualSpacing/>
              <w:rPr>
                <w:rFonts w:ascii="Times New Roman" w:eastAsia="宋体" w:hAnsi="Times New Roman" w:cs="Times New Roman"/>
                <w:szCs w:val="21"/>
                <w14:ligatures w14:val="none"/>
              </w:rPr>
            </w:pPr>
            <w:r w:rsidRPr="008F2EE2">
              <w:rPr>
                <w:rFonts w:ascii="Times New Roman" w:eastAsia="宋体" w:hAnsi="Times New Roman" w:cs="Times New Roman"/>
                <w:szCs w:val="21"/>
                <w14:ligatures w14:val="none"/>
              </w:rPr>
              <w:t>地点</w:t>
            </w:r>
          </w:p>
        </w:tc>
        <w:tc>
          <w:tcPr>
            <w:tcW w:w="7238" w:type="dxa"/>
          </w:tcPr>
          <w:p w14:paraId="40898D93" w14:textId="77777777" w:rsidR="005100C9" w:rsidRPr="008F2EE2" w:rsidRDefault="005100C9" w:rsidP="005100C9">
            <w:pPr>
              <w:tabs>
                <w:tab w:val="left" w:pos="1014"/>
                <w:tab w:val="left" w:pos="4360"/>
                <w:tab w:val="left" w:pos="5704"/>
              </w:tabs>
              <w:adjustRightInd w:val="0"/>
              <w:spacing w:line="360" w:lineRule="auto"/>
              <w:contextualSpacing/>
              <w:rPr>
                <w:rFonts w:ascii="Times New Roman" w:eastAsia="宋体" w:hAnsi="Times New Roman" w:cs="Times New Roman"/>
                <w:szCs w:val="21"/>
                <w14:ligatures w14:val="none"/>
              </w:rPr>
            </w:pPr>
            <w:r w:rsidRPr="008F2EE2">
              <w:rPr>
                <w:rFonts w:ascii="Times New Roman" w:eastAsia="宋体" w:hAnsi="Times New Roman" w:cs="Times New Roman"/>
                <w:szCs w:val="21"/>
                <w14:ligatures w14:val="none"/>
              </w:rPr>
              <w:t>电话会议</w:t>
            </w:r>
          </w:p>
        </w:tc>
      </w:tr>
      <w:tr w:rsidR="005100C9" w:rsidRPr="005100C9" w14:paraId="1CF5B540" w14:textId="77777777" w:rsidTr="3676609B">
        <w:trPr>
          <w:jc w:val="center"/>
        </w:trPr>
        <w:tc>
          <w:tcPr>
            <w:tcW w:w="1526" w:type="dxa"/>
          </w:tcPr>
          <w:p w14:paraId="1149024D" w14:textId="77777777" w:rsidR="005100C9" w:rsidRPr="008F2EE2" w:rsidRDefault="005100C9" w:rsidP="005100C9">
            <w:pPr>
              <w:adjustRightInd w:val="0"/>
              <w:spacing w:line="360" w:lineRule="auto"/>
              <w:contextualSpacing/>
              <w:rPr>
                <w:rFonts w:ascii="Times New Roman" w:eastAsia="宋体" w:hAnsi="Times New Roman" w:cs="Times New Roman"/>
                <w:szCs w:val="21"/>
                <w14:ligatures w14:val="none"/>
              </w:rPr>
            </w:pPr>
            <w:r w:rsidRPr="008F2EE2">
              <w:rPr>
                <w:rFonts w:ascii="Times New Roman" w:eastAsia="宋体" w:hAnsi="Times New Roman" w:cs="Times New Roman"/>
                <w:szCs w:val="21"/>
                <w14:ligatures w14:val="none"/>
              </w:rPr>
              <w:t>接待人员</w:t>
            </w:r>
          </w:p>
        </w:tc>
        <w:tc>
          <w:tcPr>
            <w:tcW w:w="7238" w:type="dxa"/>
          </w:tcPr>
          <w:p w14:paraId="25E49E9F" w14:textId="27C17313" w:rsidR="00FB1185" w:rsidRPr="008F2EE2" w:rsidRDefault="00940717" w:rsidP="005100C9">
            <w:pPr>
              <w:tabs>
                <w:tab w:val="left" w:pos="1014"/>
                <w:tab w:val="left" w:pos="4360"/>
                <w:tab w:val="left" w:pos="5704"/>
              </w:tabs>
              <w:adjustRightInd w:val="0"/>
              <w:spacing w:line="360" w:lineRule="auto"/>
              <w:contextualSpacing/>
              <w:rPr>
                <w:rFonts w:ascii="Times New Roman" w:eastAsia="宋体" w:hAnsi="Times New Roman" w:cs="Times New Roman"/>
                <w:szCs w:val="21"/>
                <w14:ligatures w14:val="none"/>
              </w:rPr>
            </w:pPr>
            <w:r w:rsidRPr="008F2EE2">
              <w:rPr>
                <w:rFonts w:ascii="Times New Roman" w:eastAsia="宋体" w:hAnsi="Times New Roman" w:cs="Times New Roman" w:hint="eastAsia"/>
                <w:szCs w:val="21"/>
                <w14:ligatures w14:val="none"/>
              </w:rPr>
              <w:t>总裁兼首席运营官：</w:t>
            </w:r>
            <w:r w:rsidR="004F6426" w:rsidRPr="008F2EE2">
              <w:rPr>
                <w:rFonts w:ascii="Times New Roman" w:eastAsia="宋体" w:hAnsi="Times New Roman" w:cs="Times New Roman" w:hint="eastAsia"/>
                <w:szCs w:val="21"/>
                <w14:ligatures w14:val="none"/>
              </w:rPr>
              <w:t>吴晓滨</w:t>
            </w:r>
          </w:p>
          <w:p w14:paraId="0367C136" w14:textId="4F9F1B3C" w:rsidR="005100C9" w:rsidRPr="008F2EE2" w:rsidRDefault="005100C9" w:rsidP="005100C9">
            <w:pPr>
              <w:tabs>
                <w:tab w:val="left" w:pos="1014"/>
                <w:tab w:val="left" w:pos="4360"/>
                <w:tab w:val="left" w:pos="5704"/>
              </w:tabs>
              <w:adjustRightInd w:val="0"/>
              <w:spacing w:line="360" w:lineRule="auto"/>
              <w:contextualSpacing/>
              <w:rPr>
                <w:rFonts w:ascii="Times New Roman" w:eastAsia="宋体" w:hAnsi="Times New Roman" w:cs="Times New Roman"/>
                <w:szCs w:val="21"/>
                <w14:ligatures w14:val="none"/>
              </w:rPr>
            </w:pPr>
            <w:r w:rsidRPr="008F2EE2">
              <w:rPr>
                <w:rFonts w:ascii="Times New Roman" w:eastAsia="宋体" w:hAnsi="Times New Roman" w:cs="Times New Roman" w:hint="eastAsia"/>
                <w:szCs w:val="21"/>
                <w14:ligatures w14:val="none"/>
              </w:rPr>
              <w:t>高级副总裁、全球研发负责人：汪来</w:t>
            </w:r>
          </w:p>
          <w:p w14:paraId="4C8B7433" w14:textId="19F960EE" w:rsidR="005100C9" w:rsidRPr="008F2EE2" w:rsidRDefault="00590BA4" w:rsidP="005100C9">
            <w:pPr>
              <w:tabs>
                <w:tab w:val="left" w:pos="1014"/>
                <w:tab w:val="left" w:pos="4360"/>
                <w:tab w:val="left" w:pos="5704"/>
              </w:tabs>
              <w:adjustRightInd w:val="0"/>
              <w:spacing w:line="360" w:lineRule="auto"/>
              <w:contextualSpacing/>
              <w:rPr>
                <w:rFonts w:ascii="Times New Roman" w:eastAsia="宋体" w:hAnsi="Times New Roman" w:cs="Times New Roman"/>
                <w:szCs w:val="21"/>
                <w14:ligatures w14:val="none"/>
              </w:rPr>
            </w:pPr>
            <w:r w:rsidRPr="008F2EE2">
              <w:rPr>
                <w:rFonts w:ascii="Times New Roman" w:eastAsia="宋体" w:hAnsi="Times New Roman" w:cs="Times New Roman" w:hint="eastAsia"/>
                <w:szCs w:val="21"/>
                <w14:ligatures w14:val="none"/>
              </w:rPr>
              <w:t>亚太区投资者关系负责人及信息披露境内代表：周密</w:t>
            </w:r>
          </w:p>
        </w:tc>
      </w:tr>
      <w:tr w:rsidR="005100C9" w:rsidRPr="005100C9" w14:paraId="7386E02C" w14:textId="77777777" w:rsidTr="3676609B">
        <w:trPr>
          <w:jc w:val="center"/>
        </w:trPr>
        <w:tc>
          <w:tcPr>
            <w:tcW w:w="1526" w:type="dxa"/>
          </w:tcPr>
          <w:p w14:paraId="1937213C" w14:textId="77777777" w:rsidR="005100C9" w:rsidRPr="008F2EE2" w:rsidRDefault="005100C9" w:rsidP="005100C9">
            <w:pPr>
              <w:adjustRightInd w:val="0"/>
              <w:spacing w:line="360" w:lineRule="auto"/>
              <w:contextualSpacing/>
              <w:jc w:val="left"/>
              <w:rPr>
                <w:rFonts w:ascii="Times New Roman" w:eastAsia="宋体" w:hAnsi="Times New Roman" w:cs="Times New Roman"/>
                <w:szCs w:val="21"/>
                <w14:ligatures w14:val="none"/>
              </w:rPr>
            </w:pPr>
            <w:r w:rsidRPr="008F2EE2">
              <w:rPr>
                <w:rFonts w:ascii="Times New Roman" w:eastAsia="宋体" w:hAnsi="Times New Roman" w:cs="Times New Roman"/>
                <w:szCs w:val="21"/>
                <w14:ligatures w14:val="none"/>
              </w:rPr>
              <w:t>投资者关系活动主要内容介绍</w:t>
            </w:r>
          </w:p>
        </w:tc>
        <w:tc>
          <w:tcPr>
            <w:tcW w:w="7238" w:type="dxa"/>
          </w:tcPr>
          <w:p w14:paraId="5D3F4BC8" w14:textId="652E08E3" w:rsidR="00612C8F" w:rsidRPr="008F2EE2" w:rsidRDefault="00612C8F" w:rsidP="00C258C8">
            <w:pPr>
              <w:spacing w:line="360" w:lineRule="auto"/>
              <w:ind w:firstLine="440"/>
              <w:rPr>
                <w:rFonts w:ascii="Times New Roman" w:eastAsia="宋体" w:hAnsi="Times New Roman" w:cs="Times New Roman"/>
                <w:szCs w:val="21"/>
              </w:rPr>
            </w:pPr>
            <w:r w:rsidRPr="008F2EE2">
              <w:rPr>
                <w:rFonts w:ascii="Times New Roman" w:eastAsia="宋体" w:hAnsi="Times New Roman" w:cs="Times New Roman" w:hint="eastAsia"/>
                <w:szCs w:val="21"/>
              </w:rPr>
              <w:t>公司管理层就近期业务进展与参会投资机构进行沟通，并就参会人员相关问题进行回复。</w:t>
            </w:r>
          </w:p>
          <w:p w14:paraId="3B3E630F" w14:textId="77777777" w:rsidR="00612C8F" w:rsidRPr="008F2EE2" w:rsidRDefault="00612C8F" w:rsidP="00C258C8">
            <w:pPr>
              <w:spacing w:after="160" w:line="259" w:lineRule="auto"/>
              <w:rPr>
                <w:rFonts w:ascii="Times New Roman" w:eastAsia="宋体" w:hAnsi="Times New Roman" w:cs="Times New Roman"/>
                <w:szCs w:val="21"/>
              </w:rPr>
            </w:pPr>
          </w:p>
          <w:p w14:paraId="26689636" w14:textId="604B13AB" w:rsidR="005953BB" w:rsidRPr="008F2EE2" w:rsidRDefault="005953BB" w:rsidP="00C258C8">
            <w:pPr>
              <w:spacing w:after="160" w:line="259" w:lineRule="auto"/>
              <w:rPr>
                <w:rFonts w:ascii="Times New Roman" w:eastAsia="宋体" w:hAnsi="Times New Roman" w:cs="Times New Roman"/>
                <w:b/>
                <w:szCs w:val="21"/>
              </w:rPr>
            </w:pPr>
            <w:r w:rsidRPr="008F2EE2">
              <w:rPr>
                <w:rFonts w:ascii="Times New Roman" w:eastAsia="宋体" w:hAnsi="Times New Roman" w:cs="Times New Roman" w:hint="eastAsia"/>
                <w:b/>
                <w:szCs w:val="21"/>
              </w:rPr>
              <w:t>公司总裁兼首席运营官吴晓滨博士介绍全球商业化进展：</w:t>
            </w:r>
          </w:p>
          <w:p w14:paraId="4DBB0D82" w14:textId="48F03C94" w:rsidR="00440A78" w:rsidRPr="008F2EE2" w:rsidRDefault="00440A78" w:rsidP="00C258C8">
            <w:pPr>
              <w:spacing w:line="360" w:lineRule="auto"/>
              <w:rPr>
                <w:rFonts w:ascii="Times New Roman" w:eastAsia="宋体" w:hAnsi="Times New Roman" w:cs="Times New Roman"/>
                <w:szCs w:val="21"/>
              </w:rPr>
            </w:pPr>
            <w:r w:rsidRPr="008F2EE2">
              <w:rPr>
                <w:rFonts w:ascii="Times New Roman" w:eastAsia="宋体" w:hAnsi="Times New Roman" w:cs="Times New Roman" w:hint="eastAsia"/>
                <w:szCs w:val="21"/>
              </w:rPr>
              <w:t>（</w:t>
            </w:r>
            <w:r w:rsidRPr="008F2EE2">
              <w:rPr>
                <w:rFonts w:ascii="Times New Roman" w:eastAsia="宋体" w:hAnsi="Times New Roman" w:cs="Times New Roman" w:hint="eastAsia"/>
                <w:szCs w:val="21"/>
              </w:rPr>
              <w:t>1</w:t>
            </w:r>
            <w:r w:rsidRPr="008F2EE2">
              <w:rPr>
                <w:rFonts w:ascii="Times New Roman" w:eastAsia="宋体" w:hAnsi="Times New Roman" w:cs="Times New Roman" w:hint="eastAsia"/>
                <w:szCs w:val="21"/>
              </w:rPr>
              <w:t>）公司第二季度取得出色业绩。总收入达到</w:t>
            </w:r>
            <w:r w:rsidRPr="008F2EE2">
              <w:rPr>
                <w:rFonts w:ascii="Times New Roman" w:eastAsia="宋体" w:hAnsi="Times New Roman" w:cs="Times New Roman" w:hint="eastAsia"/>
                <w:szCs w:val="21"/>
              </w:rPr>
              <w:t>13</w:t>
            </w:r>
            <w:r w:rsidRPr="008F2EE2">
              <w:rPr>
                <w:rFonts w:ascii="Times New Roman" w:eastAsia="宋体" w:hAnsi="Times New Roman" w:cs="Times New Roman" w:hint="eastAsia"/>
                <w:szCs w:val="21"/>
              </w:rPr>
              <w:t>亿美元，同比增长达到</w:t>
            </w:r>
            <w:r w:rsidRPr="008F2EE2">
              <w:rPr>
                <w:rFonts w:ascii="Times New Roman" w:eastAsia="宋体" w:hAnsi="Times New Roman" w:cs="Times New Roman" w:hint="eastAsia"/>
                <w:szCs w:val="21"/>
              </w:rPr>
              <w:t>42%</w:t>
            </w:r>
            <w:r w:rsidRPr="008F2EE2">
              <w:rPr>
                <w:rFonts w:ascii="Times New Roman" w:eastAsia="宋体" w:hAnsi="Times New Roman" w:cs="Times New Roman" w:hint="eastAsia"/>
                <w:szCs w:val="21"/>
              </w:rPr>
              <w:t>。</w:t>
            </w:r>
            <w:r w:rsidRPr="008F2EE2">
              <w:rPr>
                <w:rFonts w:ascii="Times New Roman" w:eastAsia="宋体" w:hAnsi="Times New Roman" w:cs="Times New Roman" w:hint="eastAsia"/>
                <w:szCs w:val="21"/>
              </w:rPr>
              <w:t>GAAP</w:t>
            </w:r>
            <w:r w:rsidRPr="008F2EE2">
              <w:rPr>
                <w:rFonts w:ascii="Times New Roman" w:eastAsia="宋体" w:hAnsi="Times New Roman" w:cs="Times New Roman" w:hint="eastAsia"/>
                <w:szCs w:val="21"/>
              </w:rPr>
              <w:t>每股</w:t>
            </w:r>
            <w:r w:rsidRPr="008F2EE2">
              <w:rPr>
                <w:rFonts w:ascii="Times New Roman" w:eastAsia="宋体" w:hAnsi="Times New Roman" w:cs="Times New Roman" w:hint="eastAsia"/>
                <w:szCs w:val="21"/>
              </w:rPr>
              <w:t>ADS</w:t>
            </w:r>
            <w:r w:rsidRPr="008F2EE2">
              <w:rPr>
                <w:rFonts w:ascii="Times New Roman" w:eastAsia="宋体" w:hAnsi="Times New Roman" w:cs="Times New Roman" w:hint="eastAsia"/>
                <w:szCs w:val="21"/>
              </w:rPr>
              <w:t>收益相比去年第二季度增长了</w:t>
            </w:r>
            <w:r w:rsidRPr="008F2EE2">
              <w:rPr>
                <w:rFonts w:ascii="Times New Roman" w:eastAsia="宋体" w:hAnsi="Times New Roman" w:cs="Times New Roman" w:hint="eastAsia"/>
                <w:szCs w:val="21"/>
              </w:rPr>
              <w:t>2</w:t>
            </w:r>
            <w:r w:rsidRPr="008F2EE2">
              <w:rPr>
                <w:rFonts w:ascii="Times New Roman" w:eastAsia="宋体" w:hAnsi="Times New Roman" w:cs="Times New Roman" w:hint="eastAsia"/>
                <w:szCs w:val="21"/>
              </w:rPr>
              <w:t>美元。而且公司在第二季度获得</w:t>
            </w:r>
            <w:r w:rsidRPr="008F2EE2">
              <w:rPr>
                <w:rFonts w:ascii="Times New Roman" w:eastAsia="宋体" w:hAnsi="Times New Roman" w:cs="Times New Roman" w:hint="eastAsia"/>
                <w:szCs w:val="21"/>
              </w:rPr>
              <w:t>2.2</w:t>
            </w:r>
            <w:r w:rsidRPr="008F2EE2">
              <w:rPr>
                <w:rFonts w:ascii="Times New Roman" w:eastAsia="宋体" w:hAnsi="Times New Roman" w:cs="Times New Roman" w:hint="eastAsia"/>
                <w:szCs w:val="21"/>
              </w:rPr>
              <w:t>亿美元自由现金流，绝对数字较去年增长超过</w:t>
            </w:r>
            <w:r w:rsidRPr="008F2EE2">
              <w:rPr>
                <w:rFonts w:ascii="Times New Roman" w:eastAsia="宋体" w:hAnsi="Times New Roman" w:cs="Times New Roman" w:hint="eastAsia"/>
                <w:szCs w:val="21"/>
              </w:rPr>
              <w:t>4</w:t>
            </w:r>
            <w:r w:rsidRPr="008F2EE2">
              <w:rPr>
                <w:rFonts w:ascii="Times New Roman" w:eastAsia="宋体" w:hAnsi="Times New Roman" w:cs="Times New Roman" w:hint="eastAsia"/>
                <w:szCs w:val="21"/>
              </w:rPr>
              <w:t>亿美元。商业化方面，百悦泽</w:t>
            </w:r>
            <w:r w:rsidRPr="008F2EE2">
              <w:rPr>
                <w:rFonts w:ascii="Times New Roman" w:eastAsia="宋体" w:hAnsi="Times New Roman" w:cs="Times New Roman" w:hint="eastAsia"/>
                <w:szCs w:val="21"/>
                <w:vertAlign w:val="superscript"/>
              </w:rPr>
              <w:t>®</w:t>
            </w:r>
            <w:r w:rsidRPr="008F2EE2">
              <w:rPr>
                <w:rFonts w:ascii="Times New Roman" w:eastAsia="宋体" w:hAnsi="Times New Roman" w:cs="Times New Roman" w:hint="eastAsia"/>
                <w:szCs w:val="21"/>
              </w:rPr>
              <w:t>已稳居美国和全球</w:t>
            </w:r>
            <w:r w:rsidRPr="008F2EE2">
              <w:rPr>
                <w:rFonts w:ascii="Times New Roman" w:eastAsia="宋体" w:hAnsi="Times New Roman" w:cs="Times New Roman" w:hint="eastAsia"/>
                <w:szCs w:val="21"/>
              </w:rPr>
              <w:t>BTK</w:t>
            </w:r>
            <w:r w:rsidRPr="008F2EE2">
              <w:rPr>
                <w:rFonts w:ascii="Times New Roman" w:eastAsia="宋体" w:hAnsi="Times New Roman" w:cs="Times New Roman" w:hint="eastAsia"/>
                <w:szCs w:val="21"/>
              </w:rPr>
              <w:t>抑制剂市场第一位。（</w:t>
            </w:r>
            <w:r w:rsidRPr="008F2EE2">
              <w:rPr>
                <w:rFonts w:ascii="Times New Roman" w:eastAsia="宋体" w:hAnsi="Times New Roman" w:cs="Times New Roman" w:hint="eastAsia"/>
                <w:szCs w:val="21"/>
              </w:rPr>
              <w:t>2</w:t>
            </w:r>
            <w:r w:rsidRPr="008F2EE2">
              <w:rPr>
                <w:rFonts w:ascii="Times New Roman" w:eastAsia="宋体" w:hAnsi="Times New Roman" w:cs="Times New Roman" w:hint="eastAsia"/>
                <w:szCs w:val="21"/>
              </w:rPr>
              <w:t>）百悦泽</w:t>
            </w:r>
            <w:r w:rsidR="00DC261A" w:rsidRPr="008F2EE2">
              <w:rPr>
                <w:rFonts w:ascii="Times New Roman" w:eastAsia="宋体" w:hAnsi="Times New Roman" w:cs="Times New Roman" w:hint="eastAsia"/>
                <w:szCs w:val="21"/>
                <w:vertAlign w:val="superscript"/>
              </w:rPr>
              <w:t>®</w:t>
            </w:r>
            <w:r w:rsidRPr="008F2EE2">
              <w:rPr>
                <w:rFonts w:ascii="Times New Roman" w:eastAsia="宋体" w:hAnsi="Times New Roman" w:cs="Times New Roman" w:hint="eastAsia"/>
                <w:szCs w:val="21"/>
              </w:rPr>
              <w:t>凭借同类最佳临床特征，迅速获得全美患者和医生采用。百悦泽</w:t>
            </w:r>
            <w:r w:rsidR="00DC261A" w:rsidRPr="008F2EE2">
              <w:rPr>
                <w:rFonts w:ascii="Times New Roman" w:eastAsia="宋体" w:hAnsi="Times New Roman" w:cs="Times New Roman" w:hint="eastAsia"/>
                <w:szCs w:val="21"/>
                <w:vertAlign w:val="superscript"/>
              </w:rPr>
              <w:t>®</w:t>
            </w:r>
            <w:r w:rsidRPr="008F2EE2">
              <w:rPr>
                <w:rFonts w:ascii="Times New Roman" w:eastAsia="宋体" w:hAnsi="Times New Roman" w:cs="Times New Roman" w:hint="eastAsia"/>
                <w:szCs w:val="21"/>
              </w:rPr>
              <w:t>既是</w:t>
            </w:r>
            <w:r w:rsidR="008A7D83" w:rsidRPr="008F2EE2">
              <w:rPr>
                <w:rFonts w:ascii="Times New Roman" w:eastAsia="宋体" w:hAnsi="Times New Roman" w:cs="Times New Roman"/>
                <w:szCs w:val="21"/>
              </w:rPr>
              <w:t>美国</w:t>
            </w:r>
            <w:r w:rsidRPr="008F2EE2">
              <w:rPr>
                <w:rFonts w:ascii="Times New Roman" w:eastAsia="宋体" w:hAnsi="Times New Roman" w:cs="Times New Roman" w:hint="eastAsia"/>
                <w:szCs w:val="21"/>
              </w:rPr>
              <w:t>市场份额最大的产品，同时也是增长最快的品牌产品。它也是唯一一款获</w:t>
            </w:r>
            <w:proofErr w:type="gramStart"/>
            <w:r w:rsidRPr="008F2EE2">
              <w:rPr>
                <w:rFonts w:ascii="Times New Roman" w:eastAsia="宋体" w:hAnsi="Times New Roman" w:cs="Times New Roman" w:hint="eastAsia"/>
                <w:szCs w:val="21"/>
              </w:rPr>
              <w:t>批用于</w:t>
            </w:r>
            <w:proofErr w:type="gramEnd"/>
            <w:r w:rsidRPr="008F2EE2">
              <w:rPr>
                <w:rFonts w:ascii="Times New Roman" w:eastAsia="宋体" w:hAnsi="Times New Roman" w:cs="Times New Roman" w:hint="eastAsia"/>
                <w:szCs w:val="21"/>
              </w:rPr>
              <w:t>5</w:t>
            </w:r>
            <w:r w:rsidRPr="008F2EE2">
              <w:rPr>
                <w:rFonts w:ascii="Times New Roman" w:eastAsia="宋体" w:hAnsi="Times New Roman" w:cs="Times New Roman" w:hint="eastAsia"/>
                <w:szCs w:val="21"/>
              </w:rPr>
              <w:t>项适应症的</w:t>
            </w:r>
            <w:r w:rsidRPr="008F2EE2">
              <w:rPr>
                <w:rFonts w:ascii="Times New Roman" w:eastAsia="宋体" w:hAnsi="Times New Roman" w:cs="Times New Roman" w:hint="eastAsia"/>
                <w:szCs w:val="21"/>
              </w:rPr>
              <w:t>BTK</w:t>
            </w:r>
            <w:r w:rsidRPr="008F2EE2">
              <w:rPr>
                <w:rFonts w:ascii="Times New Roman" w:eastAsia="宋体" w:hAnsi="Times New Roman" w:cs="Times New Roman" w:hint="eastAsia"/>
                <w:szCs w:val="21"/>
              </w:rPr>
              <w:t>抑制剂。百悦泽</w:t>
            </w:r>
            <w:r w:rsidR="00DC261A" w:rsidRPr="008F2EE2">
              <w:rPr>
                <w:rFonts w:ascii="Times New Roman" w:eastAsia="宋体" w:hAnsi="Times New Roman" w:cs="Times New Roman" w:hint="eastAsia"/>
                <w:szCs w:val="21"/>
                <w:vertAlign w:val="superscript"/>
              </w:rPr>
              <w:t>®</w:t>
            </w:r>
            <w:r w:rsidRPr="008F2EE2">
              <w:rPr>
                <w:rFonts w:ascii="Times New Roman" w:eastAsia="宋体" w:hAnsi="Times New Roman" w:cs="Times New Roman" w:hint="eastAsia"/>
                <w:szCs w:val="21"/>
              </w:rPr>
              <w:t>在每一个</w:t>
            </w:r>
            <w:proofErr w:type="gramStart"/>
            <w:r w:rsidRPr="008F2EE2">
              <w:rPr>
                <w:rFonts w:ascii="Times New Roman" w:eastAsia="宋体" w:hAnsi="Times New Roman" w:cs="Times New Roman" w:hint="eastAsia"/>
                <w:szCs w:val="21"/>
              </w:rPr>
              <w:t>环节都彰显</w:t>
            </w:r>
            <w:proofErr w:type="gramEnd"/>
            <w:r w:rsidRPr="008F2EE2">
              <w:rPr>
                <w:rFonts w:ascii="Times New Roman" w:eastAsia="宋体" w:hAnsi="Times New Roman" w:cs="Times New Roman" w:hint="eastAsia"/>
                <w:szCs w:val="21"/>
              </w:rPr>
              <w:t>了其独特之处，从人体药代动力学研究到临床缓解、再到无进展生存期，如今在市场上，它持续产生令人信服的真实世界数据。百悦泽</w:t>
            </w:r>
            <w:r w:rsidR="00DC261A" w:rsidRPr="008F2EE2">
              <w:rPr>
                <w:rFonts w:ascii="Times New Roman" w:eastAsia="宋体" w:hAnsi="Times New Roman" w:cs="Times New Roman" w:hint="eastAsia"/>
                <w:szCs w:val="21"/>
                <w:vertAlign w:val="superscript"/>
              </w:rPr>
              <w:t>®</w:t>
            </w:r>
            <w:r w:rsidRPr="008F2EE2">
              <w:rPr>
                <w:rFonts w:ascii="Times New Roman" w:eastAsia="宋体" w:hAnsi="Times New Roman" w:cs="Times New Roman" w:hint="eastAsia"/>
                <w:szCs w:val="21"/>
              </w:rPr>
              <w:t>是唯一一款可</w:t>
            </w:r>
            <w:r w:rsidR="008A7D83" w:rsidRPr="008F2EE2">
              <w:rPr>
                <w:rFonts w:ascii="Times New Roman" w:eastAsia="宋体" w:hAnsi="Times New Roman" w:cs="Times New Roman"/>
                <w:szCs w:val="21"/>
              </w:rPr>
              <w:t>诱导</w:t>
            </w:r>
            <w:r w:rsidRPr="008F2EE2">
              <w:rPr>
                <w:rFonts w:ascii="Times New Roman" w:eastAsia="宋体" w:hAnsi="Times New Roman" w:cs="Times New Roman" w:hint="eastAsia"/>
                <w:szCs w:val="21"/>
              </w:rPr>
              <w:t>完全且持续抑制</w:t>
            </w:r>
            <w:r w:rsidRPr="008F2EE2">
              <w:rPr>
                <w:rFonts w:ascii="Times New Roman" w:eastAsia="宋体" w:hAnsi="Times New Roman" w:cs="Times New Roman" w:hint="eastAsia"/>
                <w:szCs w:val="21"/>
              </w:rPr>
              <w:t>BTK</w:t>
            </w:r>
            <w:r w:rsidRPr="008F2EE2">
              <w:rPr>
                <w:rFonts w:ascii="Times New Roman" w:eastAsia="宋体" w:hAnsi="Times New Roman" w:cs="Times New Roman" w:hint="eastAsia"/>
                <w:szCs w:val="21"/>
              </w:rPr>
              <w:t>的</w:t>
            </w:r>
            <w:r w:rsidRPr="008F2EE2">
              <w:rPr>
                <w:rFonts w:ascii="Times New Roman" w:eastAsia="宋体" w:hAnsi="Times New Roman" w:cs="Times New Roman" w:hint="eastAsia"/>
                <w:szCs w:val="21"/>
              </w:rPr>
              <w:t>BTK</w:t>
            </w:r>
            <w:r w:rsidRPr="008F2EE2">
              <w:rPr>
                <w:rFonts w:ascii="Times New Roman" w:eastAsia="宋体" w:hAnsi="Times New Roman" w:cs="Times New Roman" w:hint="eastAsia"/>
                <w:szCs w:val="21"/>
              </w:rPr>
              <w:t>抑制剂。百济神州是唯一一家在</w:t>
            </w:r>
            <w:r w:rsidRPr="008F2EE2">
              <w:rPr>
                <w:rFonts w:ascii="Times New Roman" w:eastAsia="宋体" w:hAnsi="Times New Roman" w:cs="Times New Roman" w:hint="eastAsia"/>
                <w:szCs w:val="21"/>
              </w:rPr>
              <w:t>CLL</w:t>
            </w:r>
            <w:r w:rsidRPr="008F2EE2">
              <w:rPr>
                <w:rFonts w:ascii="Times New Roman" w:eastAsia="宋体" w:hAnsi="Times New Roman" w:cs="Times New Roman" w:hint="eastAsia"/>
                <w:szCs w:val="21"/>
              </w:rPr>
              <w:t>治疗三大基础作用机制中，均拥有完全自主拥有、差异化且具备同类最佳潜力产品的公司。公司已将这些产品组合用于多项</w:t>
            </w:r>
            <w:r w:rsidRPr="008F2EE2">
              <w:rPr>
                <w:rFonts w:ascii="Times New Roman" w:eastAsia="宋体" w:hAnsi="Times New Roman" w:cs="Times New Roman" w:hint="eastAsia"/>
                <w:szCs w:val="21"/>
              </w:rPr>
              <w:t>3</w:t>
            </w:r>
            <w:r w:rsidRPr="008F2EE2">
              <w:rPr>
                <w:rFonts w:ascii="Times New Roman" w:eastAsia="宋体" w:hAnsi="Times New Roman" w:cs="Times New Roman" w:hint="eastAsia"/>
                <w:szCs w:val="21"/>
              </w:rPr>
              <w:t>期临床试验，以进一步改善</w:t>
            </w:r>
            <w:r w:rsidRPr="008F2EE2">
              <w:rPr>
                <w:rFonts w:ascii="Times New Roman" w:eastAsia="宋体" w:hAnsi="Times New Roman" w:cs="Times New Roman" w:hint="eastAsia"/>
                <w:szCs w:val="21"/>
              </w:rPr>
              <w:t>CLL</w:t>
            </w:r>
            <w:r w:rsidRPr="008F2EE2">
              <w:rPr>
                <w:rFonts w:ascii="Times New Roman" w:eastAsia="宋体" w:hAnsi="Times New Roman" w:cs="Times New Roman" w:hint="eastAsia"/>
                <w:szCs w:val="21"/>
              </w:rPr>
              <w:t>患者治疗结果。凭借对</w:t>
            </w:r>
            <w:r w:rsidRPr="008F2EE2">
              <w:rPr>
                <w:rFonts w:ascii="Times New Roman" w:eastAsia="宋体" w:hAnsi="Times New Roman" w:cs="Times New Roman" w:hint="eastAsia"/>
                <w:szCs w:val="21"/>
              </w:rPr>
              <w:t>CLL</w:t>
            </w:r>
            <w:r w:rsidRPr="008F2EE2">
              <w:rPr>
                <w:rFonts w:ascii="Times New Roman" w:eastAsia="宋体" w:hAnsi="Times New Roman" w:cs="Times New Roman" w:hint="eastAsia"/>
                <w:szCs w:val="21"/>
              </w:rPr>
              <w:t>创新治疗的专注，公司坚信唯有百济神州能在各线及各亚群患者治疗中，全面解决尚未被满足的患者需求。（</w:t>
            </w:r>
            <w:r w:rsidRPr="008F2EE2">
              <w:rPr>
                <w:rFonts w:ascii="Times New Roman" w:eastAsia="宋体" w:hAnsi="Times New Roman" w:cs="Times New Roman" w:hint="eastAsia"/>
                <w:szCs w:val="21"/>
              </w:rPr>
              <w:t>3</w:t>
            </w:r>
            <w:r w:rsidRPr="008F2EE2">
              <w:rPr>
                <w:rFonts w:ascii="Times New Roman" w:eastAsia="宋体" w:hAnsi="Times New Roman" w:cs="Times New Roman" w:hint="eastAsia"/>
                <w:szCs w:val="21"/>
              </w:rPr>
              <w:t>）</w:t>
            </w:r>
            <w:r w:rsidR="005B46FB" w:rsidRPr="008F2EE2">
              <w:rPr>
                <w:rFonts w:ascii="Times New Roman" w:eastAsia="宋体" w:hAnsi="Times New Roman" w:cs="Times New Roman"/>
                <w:szCs w:val="21"/>
              </w:rPr>
              <w:t>地域多元化的产品收入结构持续推动公司在各主要地区实现强劲增长。美国仍是公司的最大市场，本季度收入达到</w:t>
            </w:r>
            <w:r w:rsidR="005B46FB" w:rsidRPr="008F2EE2">
              <w:rPr>
                <w:rFonts w:ascii="Times New Roman" w:eastAsia="宋体" w:hAnsi="Times New Roman" w:cs="Times New Roman"/>
                <w:szCs w:val="21"/>
              </w:rPr>
              <w:t>6.85</w:t>
            </w:r>
            <w:r w:rsidR="005B46FB" w:rsidRPr="008F2EE2">
              <w:rPr>
                <w:rFonts w:ascii="Times New Roman" w:eastAsia="宋体" w:hAnsi="Times New Roman" w:cs="Times New Roman"/>
                <w:szCs w:val="21"/>
              </w:rPr>
              <w:t>亿美元，同比增长</w:t>
            </w:r>
            <w:r w:rsidR="005B46FB" w:rsidRPr="008F2EE2">
              <w:rPr>
                <w:rFonts w:ascii="Times New Roman" w:eastAsia="宋体" w:hAnsi="Times New Roman" w:cs="Times New Roman"/>
                <w:szCs w:val="21"/>
              </w:rPr>
              <w:t>43%</w:t>
            </w:r>
            <w:r w:rsidR="005B46FB" w:rsidRPr="008F2EE2">
              <w:rPr>
                <w:rFonts w:ascii="Times New Roman" w:eastAsia="宋体" w:hAnsi="Times New Roman" w:cs="Times New Roman"/>
                <w:szCs w:val="21"/>
              </w:rPr>
              <w:t>。</w:t>
            </w:r>
            <w:r w:rsidR="004451B8">
              <w:rPr>
                <w:rFonts w:ascii="Times New Roman" w:eastAsia="宋体" w:hAnsi="Times New Roman" w:cs="Times New Roman" w:hint="eastAsia"/>
                <w:szCs w:val="21"/>
              </w:rPr>
              <w:t>（</w:t>
            </w:r>
            <w:r w:rsidR="00047975" w:rsidRPr="008F2EE2">
              <w:rPr>
                <w:rFonts w:ascii="Times New Roman" w:eastAsia="宋体" w:hAnsi="Times New Roman" w:cs="Times New Roman" w:hint="eastAsia"/>
                <w:szCs w:val="21"/>
              </w:rPr>
              <w:t>4</w:t>
            </w:r>
            <w:r w:rsidR="004451B8">
              <w:rPr>
                <w:rFonts w:ascii="Times New Roman" w:eastAsia="宋体" w:hAnsi="Times New Roman" w:cs="Times New Roman" w:hint="eastAsia"/>
                <w:szCs w:val="21"/>
              </w:rPr>
              <w:t>）</w:t>
            </w:r>
            <w:r w:rsidR="00047975" w:rsidRPr="008F2EE2">
              <w:rPr>
                <w:rFonts w:ascii="Times New Roman" w:eastAsia="宋体" w:hAnsi="Times New Roman" w:cs="Times New Roman" w:hint="eastAsia"/>
                <w:szCs w:val="21"/>
              </w:rPr>
              <w:t>百济神州近期将完成多项里程碑事件。到</w:t>
            </w:r>
            <w:r w:rsidR="00047975" w:rsidRPr="008F2EE2">
              <w:rPr>
                <w:rFonts w:ascii="Times New Roman" w:eastAsia="宋体" w:hAnsi="Times New Roman" w:cs="Times New Roman" w:hint="eastAsia"/>
                <w:szCs w:val="21"/>
              </w:rPr>
              <w:t>2026</w:t>
            </w:r>
            <w:r w:rsidR="00047975" w:rsidRPr="008F2EE2">
              <w:rPr>
                <w:rFonts w:ascii="Times New Roman" w:eastAsia="宋体" w:hAnsi="Times New Roman" w:cs="Times New Roman" w:hint="eastAsia"/>
                <w:szCs w:val="21"/>
              </w:rPr>
              <w:t>年底，公司预计索托克拉将获得首个全球批准，</w:t>
            </w:r>
            <w:r w:rsidR="00047975" w:rsidRPr="008F2EE2">
              <w:rPr>
                <w:rFonts w:ascii="Times New Roman" w:eastAsia="宋体" w:hAnsi="Times New Roman" w:cs="Times New Roman" w:hint="eastAsia"/>
                <w:szCs w:val="21"/>
              </w:rPr>
              <w:t>BTK CDAC</w:t>
            </w:r>
            <w:r w:rsidR="00047975" w:rsidRPr="008F2EE2">
              <w:rPr>
                <w:rFonts w:ascii="Times New Roman" w:eastAsia="宋体" w:hAnsi="Times New Roman" w:cs="Times New Roman" w:hint="eastAsia"/>
                <w:szCs w:val="21"/>
              </w:rPr>
              <w:t>也有望取得关键数据，公司的自主临床团队将推进</w:t>
            </w:r>
            <w:r w:rsidR="00047975" w:rsidRPr="008F2EE2">
              <w:rPr>
                <w:rFonts w:ascii="Times New Roman" w:eastAsia="宋体" w:hAnsi="Times New Roman" w:cs="Times New Roman" w:hint="eastAsia"/>
                <w:szCs w:val="21"/>
              </w:rPr>
              <w:t>20</w:t>
            </w:r>
            <w:r w:rsidR="00047975" w:rsidRPr="008F2EE2">
              <w:rPr>
                <w:rFonts w:ascii="Times New Roman" w:eastAsia="宋体" w:hAnsi="Times New Roman" w:cs="Times New Roman" w:hint="eastAsia"/>
                <w:szCs w:val="21"/>
              </w:rPr>
              <w:t>多项</w:t>
            </w:r>
            <w:r w:rsidR="00047975" w:rsidRPr="008F2EE2">
              <w:rPr>
                <w:rFonts w:ascii="Times New Roman" w:eastAsia="宋体" w:hAnsi="Times New Roman" w:cs="Times New Roman" w:hint="eastAsia"/>
                <w:szCs w:val="21"/>
              </w:rPr>
              <w:t>3</w:t>
            </w:r>
            <w:r w:rsidR="00047975" w:rsidRPr="008F2EE2">
              <w:rPr>
                <w:rFonts w:ascii="Times New Roman" w:eastAsia="宋体" w:hAnsi="Times New Roman" w:cs="Times New Roman" w:hint="eastAsia"/>
                <w:szCs w:val="21"/>
              </w:rPr>
              <w:t>期试验，</w:t>
            </w:r>
            <w:r w:rsidR="00047975" w:rsidRPr="008F2EE2">
              <w:rPr>
                <w:rFonts w:ascii="Times New Roman" w:eastAsia="宋体" w:hAnsi="Times New Roman" w:cs="Times New Roman" w:hint="eastAsia"/>
                <w:szCs w:val="21"/>
              </w:rPr>
              <w:lastRenderedPageBreak/>
              <w:t>公司预计将取得超过</w:t>
            </w:r>
            <w:r w:rsidR="00047975" w:rsidRPr="008F2EE2">
              <w:rPr>
                <w:rFonts w:ascii="Times New Roman" w:eastAsia="宋体" w:hAnsi="Times New Roman" w:cs="Times New Roman" w:hint="eastAsia"/>
                <w:szCs w:val="21"/>
              </w:rPr>
              <w:t>10</w:t>
            </w:r>
            <w:r w:rsidR="00047975" w:rsidRPr="008F2EE2">
              <w:rPr>
                <w:rFonts w:ascii="Times New Roman" w:eastAsia="宋体" w:hAnsi="Times New Roman" w:cs="Times New Roman" w:hint="eastAsia"/>
                <w:szCs w:val="21"/>
              </w:rPr>
              <w:t>个项目的概念验证数据读出，以及研究团队将把</w:t>
            </w:r>
            <w:r w:rsidR="00047975" w:rsidRPr="008F2EE2">
              <w:rPr>
                <w:rFonts w:ascii="Times New Roman" w:eastAsia="宋体" w:hAnsi="Times New Roman" w:cs="Times New Roman" w:hint="eastAsia"/>
                <w:szCs w:val="21"/>
              </w:rPr>
              <w:t>10</w:t>
            </w:r>
            <w:r w:rsidR="00047975" w:rsidRPr="008F2EE2">
              <w:rPr>
                <w:rFonts w:ascii="Times New Roman" w:eastAsia="宋体" w:hAnsi="Times New Roman" w:cs="Times New Roman" w:hint="eastAsia"/>
                <w:szCs w:val="21"/>
              </w:rPr>
              <w:t>多款新分子实体推进至临床阶段。</w:t>
            </w:r>
          </w:p>
          <w:p w14:paraId="5E4E6670" w14:textId="77777777" w:rsidR="005F5691" w:rsidRPr="008F2EE2" w:rsidRDefault="005F5691" w:rsidP="00C258C8">
            <w:pPr>
              <w:spacing w:line="360" w:lineRule="auto"/>
              <w:rPr>
                <w:rFonts w:ascii="Times New Roman" w:eastAsia="宋体" w:hAnsi="Times New Roman" w:cs="Times New Roman"/>
                <w:szCs w:val="21"/>
              </w:rPr>
            </w:pPr>
          </w:p>
          <w:p w14:paraId="038936DB" w14:textId="1C614FC6" w:rsidR="005953BB" w:rsidRPr="008F2EE2" w:rsidRDefault="005953BB" w:rsidP="00C258C8">
            <w:pPr>
              <w:spacing w:line="360" w:lineRule="auto"/>
              <w:rPr>
                <w:rFonts w:ascii="Times New Roman" w:eastAsia="宋体" w:hAnsi="Times New Roman" w:cs="Times New Roman"/>
                <w:b/>
                <w:szCs w:val="21"/>
              </w:rPr>
            </w:pPr>
            <w:r w:rsidRPr="008F2EE2">
              <w:rPr>
                <w:rFonts w:ascii="Times New Roman" w:eastAsia="宋体" w:hAnsi="Times New Roman" w:cs="Times New Roman" w:hint="eastAsia"/>
                <w:b/>
                <w:szCs w:val="21"/>
              </w:rPr>
              <w:t>公司高级副总裁、全球研发负责人汪来博士介绍公司研发及管线进展：</w:t>
            </w:r>
          </w:p>
          <w:p w14:paraId="55E913B4" w14:textId="77777777" w:rsidR="00A13ACC" w:rsidRPr="008F2EE2" w:rsidRDefault="46723A22" w:rsidP="3676609B">
            <w:pPr>
              <w:spacing w:line="360" w:lineRule="auto"/>
              <w:rPr>
                <w:rFonts w:ascii="Times New Roman" w:eastAsia="宋体" w:hAnsi="Times New Roman" w:cs="Times New Roman"/>
              </w:rPr>
            </w:pPr>
            <w:r w:rsidRPr="3676609B">
              <w:rPr>
                <w:rFonts w:ascii="Times New Roman" w:eastAsia="宋体" w:hAnsi="Times New Roman" w:cs="Times New Roman"/>
              </w:rPr>
              <w:t>（</w:t>
            </w:r>
            <w:r w:rsidRPr="3676609B">
              <w:rPr>
                <w:rFonts w:ascii="Times New Roman" w:eastAsia="宋体" w:hAnsi="Times New Roman" w:cs="Times New Roman"/>
              </w:rPr>
              <w:t>1</w:t>
            </w:r>
            <w:r w:rsidRPr="3676609B">
              <w:rPr>
                <w:rFonts w:ascii="Times New Roman" w:eastAsia="宋体" w:hAnsi="Times New Roman" w:cs="Times New Roman"/>
              </w:rPr>
              <w:t>）公司近期成功举办了投资者</w:t>
            </w:r>
            <w:proofErr w:type="gramStart"/>
            <w:r w:rsidRPr="3676609B">
              <w:rPr>
                <w:rFonts w:ascii="Times New Roman" w:eastAsia="宋体" w:hAnsi="Times New Roman" w:cs="Times New Roman"/>
              </w:rPr>
              <w:t>研发日</w:t>
            </w:r>
            <w:proofErr w:type="gramEnd"/>
            <w:r w:rsidRPr="3676609B">
              <w:rPr>
                <w:rFonts w:ascii="Times New Roman" w:eastAsia="宋体" w:hAnsi="Times New Roman" w:cs="Times New Roman"/>
              </w:rPr>
              <w:t>活动。除更新数据和产品组合外，还探讨了为什么百济神州</w:t>
            </w:r>
            <w:proofErr w:type="gramStart"/>
            <w:r w:rsidRPr="3676609B">
              <w:rPr>
                <w:rFonts w:ascii="Times New Roman" w:eastAsia="宋体" w:hAnsi="Times New Roman" w:cs="Times New Roman"/>
              </w:rPr>
              <w:t>研发正</w:t>
            </w:r>
            <w:proofErr w:type="gramEnd"/>
            <w:r w:rsidRPr="3676609B">
              <w:rPr>
                <w:rFonts w:ascii="Times New Roman" w:eastAsia="宋体" w:hAnsi="Times New Roman" w:cs="Times New Roman"/>
              </w:rPr>
              <w:t>处于发展过程中的关键节点。过去多年来，公司从零开始逐步建立起强大的研发能力，并实现了自主全球临床开发和生产，这让公司能以</w:t>
            </w:r>
            <w:proofErr w:type="gramStart"/>
            <w:r w:rsidRPr="3676609B">
              <w:rPr>
                <w:rFonts w:ascii="Times New Roman" w:eastAsia="宋体" w:hAnsi="Times New Roman" w:cs="Times New Roman"/>
              </w:rPr>
              <w:t>超行业</w:t>
            </w:r>
            <w:proofErr w:type="gramEnd"/>
            <w:r w:rsidRPr="3676609B">
              <w:rPr>
                <w:rFonts w:ascii="Times New Roman" w:eastAsia="宋体" w:hAnsi="Times New Roman" w:cs="Times New Roman"/>
              </w:rPr>
              <w:t>标准的速度和成本优势，去发现、开发并交付创新抗肿瘤药物。公司战略性优势能力现已形成规模，并在整个研发体系内实现全面运作。现在，凭借这些新建立的能力，公司相信能够在其他重点疾病领域复刻</w:t>
            </w:r>
            <w:r w:rsidRPr="3676609B">
              <w:rPr>
                <w:rFonts w:ascii="Times New Roman" w:eastAsia="宋体" w:hAnsi="Times New Roman" w:cs="Times New Roman"/>
              </w:rPr>
              <w:t>CLL</w:t>
            </w:r>
            <w:r w:rsidRPr="3676609B">
              <w:rPr>
                <w:rFonts w:ascii="Times New Roman" w:eastAsia="宋体" w:hAnsi="Times New Roman" w:cs="Times New Roman"/>
              </w:rPr>
              <w:t>的成功经验，且效率将大幅提升。公司的目标是快速在</w:t>
            </w:r>
            <w:proofErr w:type="gramStart"/>
            <w:r w:rsidRPr="3676609B">
              <w:rPr>
                <w:rFonts w:ascii="Times New Roman" w:eastAsia="宋体" w:hAnsi="Times New Roman" w:cs="Times New Roman"/>
              </w:rPr>
              <w:t>各疾病</w:t>
            </w:r>
            <w:proofErr w:type="gramEnd"/>
            <w:r w:rsidRPr="3676609B">
              <w:rPr>
                <w:rFonts w:ascii="Times New Roman" w:eastAsia="宋体" w:hAnsi="Times New Roman" w:cs="Times New Roman"/>
              </w:rPr>
              <w:t>领域内建立起深厚的研发管线，并充分发挥产品组合内部的协同效应。（</w:t>
            </w:r>
            <w:r w:rsidRPr="3676609B">
              <w:rPr>
                <w:rFonts w:ascii="Times New Roman" w:eastAsia="宋体" w:hAnsi="Times New Roman" w:cs="Times New Roman"/>
              </w:rPr>
              <w:t>2</w:t>
            </w:r>
            <w:r w:rsidRPr="3676609B">
              <w:rPr>
                <w:rFonts w:ascii="Times New Roman" w:eastAsia="宋体" w:hAnsi="Times New Roman" w:cs="Times New Roman"/>
              </w:rPr>
              <w:t>）第二季度研发进展亮点：公司已经提交了索托克拉首批</w:t>
            </w:r>
            <w:r w:rsidRPr="3676609B">
              <w:rPr>
                <w:rFonts w:ascii="Times New Roman" w:eastAsia="宋体" w:hAnsi="Times New Roman" w:cs="Times New Roman"/>
              </w:rPr>
              <w:t>NDA</w:t>
            </w:r>
            <w:r w:rsidRPr="3676609B">
              <w:rPr>
                <w:rFonts w:ascii="Times New Roman" w:eastAsia="宋体" w:hAnsi="Times New Roman" w:cs="Times New Roman"/>
              </w:rPr>
              <w:t>，前两项申请是在中国用于治疗复发</w:t>
            </w:r>
            <w:r w:rsidRPr="3676609B">
              <w:rPr>
                <w:rFonts w:ascii="Times New Roman" w:eastAsia="宋体" w:hAnsi="Times New Roman" w:cs="Times New Roman"/>
              </w:rPr>
              <w:t>/</w:t>
            </w:r>
            <w:r w:rsidRPr="3676609B">
              <w:rPr>
                <w:rFonts w:ascii="Times New Roman" w:eastAsia="宋体" w:hAnsi="Times New Roman" w:cs="Times New Roman"/>
              </w:rPr>
              <w:t>难治性</w:t>
            </w:r>
            <w:r w:rsidRPr="3676609B">
              <w:rPr>
                <w:rFonts w:ascii="Times New Roman" w:eastAsia="宋体" w:hAnsi="Times New Roman" w:cs="Times New Roman"/>
              </w:rPr>
              <w:t>CLL</w:t>
            </w:r>
            <w:r w:rsidRPr="3676609B">
              <w:rPr>
                <w:rFonts w:ascii="Times New Roman" w:eastAsia="宋体" w:hAnsi="Times New Roman" w:cs="Times New Roman"/>
              </w:rPr>
              <w:t>患者和复发</w:t>
            </w:r>
            <w:r w:rsidRPr="3676609B">
              <w:rPr>
                <w:rFonts w:ascii="Times New Roman" w:eastAsia="宋体" w:hAnsi="Times New Roman" w:cs="Times New Roman"/>
              </w:rPr>
              <w:t>/</w:t>
            </w:r>
            <w:r w:rsidRPr="3676609B">
              <w:rPr>
                <w:rFonts w:ascii="Times New Roman" w:eastAsia="宋体" w:hAnsi="Times New Roman" w:cs="Times New Roman"/>
              </w:rPr>
              <w:t>难治性</w:t>
            </w:r>
            <w:r w:rsidRPr="3676609B">
              <w:rPr>
                <w:rFonts w:ascii="Times New Roman" w:eastAsia="宋体" w:hAnsi="Times New Roman" w:cs="Times New Roman"/>
              </w:rPr>
              <w:t>MCL</w:t>
            </w:r>
            <w:r w:rsidRPr="3676609B">
              <w:rPr>
                <w:rFonts w:ascii="Times New Roman" w:eastAsia="宋体" w:hAnsi="Times New Roman" w:cs="Times New Roman"/>
              </w:rPr>
              <w:t>患者。公司计划基于更长期随访数据，于今年晚些时候在全球范围内提交</w:t>
            </w:r>
            <w:r w:rsidRPr="3676609B">
              <w:rPr>
                <w:rFonts w:ascii="Times New Roman" w:eastAsia="宋体" w:hAnsi="Times New Roman" w:cs="Times New Roman"/>
              </w:rPr>
              <w:t>MCL</w:t>
            </w:r>
            <w:r w:rsidRPr="3676609B">
              <w:rPr>
                <w:rFonts w:ascii="Times New Roman" w:eastAsia="宋体" w:hAnsi="Times New Roman" w:cs="Times New Roman"/>
              </w:rPr>
              <w:t>适应症的上市申请。公司已在</w:t>
            </w:r>
            <w:r w:rsidRPr="3676609B">
              <w:rPr>
                <w:rFonts w:ascii="Times New Roman" w:eastAsia="宋体" w:hAnsi="Times New Roman" w:cs="Times New Roman"/>
              </w:rPr>
              <w:t>ASCO</w:t>
            </w:r>
            <w:r w:rsidRPr="3676609B">
              <w:rPr>
                <w:rFonts w:ascii="Times New Roman" w:eastAsia="宋体" w:hAnsi="Times New Roman" w:cs="Times New Roman"/>
              </w:rPr>
              <w:t>、</w:t>
            </w:r>
            <w:r w:rsidRPr="3676609B">
              <w:rPr>
                <w:rFonts w:ascii="Times New Roman" w:eastAsia="宋体" w:hAnsi="Times New Roman" w:cs="Times New Roman"/>
              </w:rPr>
              <w:t>EHA</w:t>
            </w:r>
            <w:r w:rsidRPr="3676609B">
              <w:rPr>
                <w:rFonts w:ascii="Times New Roman" w:eastAsia="宋体" w:hAnsi="Times New Roman" w:cs="Times New Roman"/>
              </w:rPr>
              <w:t>和</w:t>
            </w:r>
            <w:r w:rsidRPr="3676609B">
              <w:rPr>
                <w:rFonts w:ascii="Times New Roman" w:eastAsia="宋体" w:hAnsi="Times New Roman" w:cs="Times New Roman"/>
              </w:rPr>
              <w:t>ICML</w:t>
            </w:r>
            <w:r w:rsidRPr="3676609B">
              <w:rPr>
                <w:rFonts w:ascii="Times New Roman" w:eastAsia="宋体" w:hAnsi="Times New Roman" w:cs="Times New Roman"/>
              </w:rPr>
              <w:t>上就血液肿瘤产品组合展示了</w:t>
            </w:r>
            <w:r w:rsidRPr="3676609B">
              <w:rPr>
                <w:rFonts w:ascii="Times New Roman" w:eastAsia="宋体" w:hAnsi="Times New Roman" w:cs="Times New Roman"/>
              </w:rPr>
              <w:t>60</w:t>
            </w:r>
            <w:r w:rsidRPr="3676609B">
              <w:rPr>
                <w:rFonts w:ascii="Times New Roman" w:eastAsia="宋体" w:hAnsi="Times New Roman" w:cs="Times New Roman"/>
              </w:rPr>
              <w:t>多篇摘要，并启动了索托克拉和</w:t>
            </w:r>
            <w:r w:rsidRPr="3676609B">
              <w:rPr>
                <w:rFonts w:ascii="Times New Roman" w:eastAsia="宋体" w:hAnsi="Times New Roman" w:cs="Times New Roman"/>
              </w:rPr>
              <w:t>BTK CDAC</w:t>
            </w:r>
            <w:r w:rsidRPr="3676609B">
              <w:rPr>
                <w:rFonts w:ascii="Times New Roman" w:eastAsia="宋体" w:hAnsi="Times New Roman" w:cs="Times New Roman"/>
              </w:rPr>
              <w:t>用于治疗复发</w:t>
            </w:r>
            <w:r w:rsidRPr="3676609B">
              <w:rPr>
                <w:rFonts w:ascii="Times New Roman" w:eastAsia="宋体" w:hAnsi="Times New Roman" w:cs="Times New Roman"/>
              </w:rPr>
              <w:t>/</w:t>
            </w:r>
            <w:r w:rsidRPr="3676609B">
              <w:rPr>
                <w:rFonts w:ascii="Times New Roman" w:eastAsia="宋体" w:hAnsi="Times New Roman" w:cs="Times New Roman"/>
              </w:rPr>
              <w:t>难治性</w:t>
            </w:r>
            <w:r w:rsidRPr="3676609B">
              <w:rPr>
                <w:rFonts w:ascii="Times New Roman" w:eastAsia="宋体" w:hAnsi="Times New Roman" w:cs="Times New Roman"/>
              </w:rPr>
              <w:t>CLL</w:t>
            </w:r>
            <w:r w:rsidRPr="3676609B">
              <w:rPr>
                <w:rFonts w:ascii="Times New Roman" w:eastAsia="宋体" w:hAnsi="Times New Roman" w:cs="Times New Roman"/>
              </w:rPr>
              <w:t>患者的新</w:t>
            </w:r>
            <w:r w:rsidRPr="3676609B">
              <w:rPr>
                <w:rFonts w:ascii="Times New Roman" w:eastAsia="宋体" w:hAnsi="Times New Roman" w:cs="Times New Roman"/>
              </w:rPr>
              <w:t>3</w:t>
            </w:r>
            <w:r w:rsidRPr="3676609B">
              <w:rPr>
                <w:rFonts w:ascii="Times New Roman" w:eastAsia="宋体" w:hAnsi="Times New Roman" w:cs="Times New Roman"/>
              </w:rPr>
              <w:t>期临床试验。除此以外，公司还在</w:t>
            </w:r>
            <w:r w:rsidRPr="3676609B">
              <w:rPr>
                <w:rFonts w:ascii="Times New Roman" w:eastAsia="宋体" w:hAnsi="Times New Roman" w:cs="Times New Roman"/>
              </w:rPr>
              <w:t>ASCO</w:t>
            </w:r>
            <w:r w:rsidRPr="3676609B">
              <w:rPr>
                <w:rFonts w:ascii="Times New Roman" w:eastAsia="宋体" w:hAnsi="Times New Roman" w:cs="Times New Roman"/>
              </w:rPr>
              <w:t>和</w:t>
            </w:r>
            <w:proofErr w:type="gramStart"/>
            <w:r w:rsidRPr="3676609B">
              <w:rPr>
                <w:rFonts w:ascii="Times New Roman" w:eastAsia="宋体" w:hAnsi="Times New Roman" w:cs="Times New Roman"/>
              </w:rPr>
              <w:t>研发日</w:t>
            </w:r>
            <w:proofErr w:type="gramEnd"/>
            <w:r w:rsidRPr="3676609B">
              <w:rPr>
                <w:rFonts w:ascii="Times New Roman" w:eastAsia="宋体" w:hAnsi="Times New Roman" w:cs="Times New Roman"/>
              </w:rPr>
              <w:t>活动上介绍了实体瘤产品组合最新情况。针对</w:t>
            </w:r>
            <w:r w:rsidRPr="3676609B">
              <w:rPr>
                <w:rFonts w:ascii="Times New Roman" w:eastAsia="宋体" w:hAnsi="Times New Roman" w:cs="Times New Roman"/>
              </w:rPr>
              <w:t>CDK4</w:t>
            </w:r>
            <w:r w:rsidRPr="3676609B">
              <w:rPr>
                <w:rFonts w:ascii="Times New Roman" w:eastAsia="宋体" w:hAnsi="Times New Roman" w:cs="Times New Roman"/>
              </w:rPr>
              <w:t>项目，公司正在积极规划</w:t>
            </w:r>
            <w:r w:rsidRPr="3676609B">
              <w:rPr>
                <w:rFonts w:ascii="Times New Roman" w:eastAsia="宋体" w:hAnsi="Times New Roman" w:cs="Times New Roman"/>
              </w:rPr>
              <w:t>HR</w:t>
            </w:r>
            <w:r w:rsidRPr="3676609B">
              <w:rPr>
                <w:rFonts w:ascii="Times New Roman" w:eastAsia="宋体" w:hAnsi="Times New Roman" w:cs="Times New Roman"/>
              </w:rPr>
              <w:t>阳性乳腺癌患者一线和二线治疗的</w:t>
            </w:r>
            <w:r w:rsidRPr="3676609B">
              <w:rPr>
                <w:rFonts w:ascii="Times New Roman" w:eastAsia="宋体" w:hAnsi="Times New Roman" w:cs="Times New Roman"/>
              </w:rPr>
              <w:t>3</w:t>
            </w:r>
            <w:r w:rsidRPr="3676609B">
              <w:rPr>
                <w:rFonts w:ascii="Times New Roman" w:eastAsia="宋体" w:hAnsi="Times New Roman" w:cs="Times New Roman"/>
              </w:rPr>
              <w:t>期临床试验。（</w:t>
            </w:r>
            <w:r w:rsidRPr="3676609B">
              <w:rPr>
                <w:rFonts w:ascii="Times New Roman" w:eastAsia="宋体" w:hAnsi="Times New Roman" w:cs="Times New Roman"/>
              </w:rPr>
              <w:t>3</w:t>
            </w:r>
            <w:r w:rsidRPr="3676609B">
              <w:rPr>
                <w:rFonts w:ascii="Times New Roman" w:eastAsia="宋体" w:hAnsi="Times New Roman" w:cs="Times New Roman"/>
              </w:rPr>
              <w:t>）公司已建立起全方位的注册性临床试验项目，将全病程覆盖</w:t>
            </w:r>
            <w:r w:rsidRPr="3676609B">
              <w:rPr>
                <w:rFonts w:ascii="Times New Roman" w:eastAsia="宋体" w:hAnsi="Times New Roman" w:cs="Times New Roman"/>
              </w:rPr>
              <w:t>CLL</w:t>
            </w:r>
            <w:r w:rsidRPr="3676609B">
              <w:rPr>
                <w:rFonts w:ascii="Times New Roman" w:eastAsia="宋体" w:hAnsi="Times New Roman" w:cs="Times New Roman"/>
              </w:rPr>
              <w:t>初治和复发</w:t>
            </w:r>
            <w:r w:rsidRPr="3676609B">
              <w:rPr>
                <w:rFonts w:ascii="Times New Roman" w:eastAsia="宋体" w:hAnsi="Times New Roman" w:cs="Times New Roman"/>
              </w:rPr>
              <w:t>/</w:t>
            </w:r>
            <w:r w:rsidRPr="3676609B">
              <w:rPr>
                <w:rFonts w:ascii="Times New Roman" w:eastAsia="宋体" w:hAnsi="Times New Roman" w:cs="Times New Roman"/>
              </w:rPr>
              <w:t>难治性患者人群。在一线治疗中，百悦泽</w:t>
            </w:r>
            <w:r w:rsidRPr="3676609B">
              <w:rPr>
                <w:rFonts w:ascii="Times New Roman" w:eastAsia="宋体" w:hAnsi="Times New Roman" w:cs="Times New Roman"/>
                <w:vertAlign w:val="superscript"/>
              </w:rPr>
              <w:t>®</w:t>
            </w:r>
            <w:r w:rsidRPr="3676609B">
              <w:rPr>
                <w:rFonts w:ascii="Times New Roman" w:eastAsia="宋体" w:hAnsi="Times New Roman" w:cs="Times New Roman"/>
              </w:rPr>
              <w:t>已成为领先的</w:t>
            </w:r>
            <w:r w:rsidRPr="3676609B">
              <w:rPr>
                <w:rFonts w:ascii="Times New Roman" w:eastAsia="宋体" w:hAnsi="Times New Roman" w:cs="Times New Roman"/>
              </w:rPr>
              <w:t>BTK</w:t>
            </w:r>
            <w:r w:rsidRPr="3676609B">
              <w:rPr>
                <w:rFonts w:ascii="Times New Roman" w:eastAsia="宋体" w:hAnsi="Times New Roman" w:cs="Times New Roman"/>
              </w:rPr>
              <w:t>抑制剂。通过百悦泽</w:t>
            </w:r>
            <w:r w:rsidRPr="3676609B">
              <w:rPr>
                <w:rFonts w:ascii="Times New Roman" w:eastAsia="宋体" w:hAnsi="Times New Roman" w:cs="Times New Roman"/>
                <w:vertAlign w:val="superscript"/>
              </w:rPr>
              <w:t>®</w:t>
            </w:r>
            <w:r w:rsidRPr="3676609B">
              <w:rPr>
                <w:rFonts w:ascii="Times New Roman" w:eastAsia="宋体" w:hAnsi="Times New Roman" w:cs="Times New Roman"/>
              </w:rPr>
              <w:t>联合索托克拉治疗方案，公司正在推进有望成为同类最佳的固定疗程治疗方案。对于复发</w:t>
            </w:r>
            <w:r w:rsidRPr="3676609B">
              <w:rPr>
                <w:rFonts w:ascii="Times New Roman" w:eastAsia="宋体" w:hAnsi="Times New Roman" w:cs="Times New Roman"/>
              </w:rPr>
              <w:t>/</w:t>
            </w:r>
            <w:r w:rsidRPr="3676609B">
              <w:rPr>
                <w:rFonts w:ascii="Times New Roman" w:eastAsia="宋体" w:hAnsi="Times New Roman" w:cs="Times New Roman"/>
              </w:rPr>
              <w:t>难治性患者，公司的</w:t>
            </w:r>
            <w:r w:rsidRPr="3676609B">
              <w:rPr>
                <w:rFonts w:ascii="Times New Roman" w:eastAsia="宋体" w:hAnsi="Times New Roman" w:cs="Times New Roman"/>
              </w:rPr>
              <w:t>BTK</w:t>
            </w:r>
            <w:r w:rsidRPr="3676609B">
              <w:rPr>
                <w:rFonts w:ascii="Times New Roman" w:eastAsia="宋体" w:hAnsi="Times New Roman" w:cs="Times New Roman"/>
              </w:rPr>
              <w:t>降解剂将成为持续用药治疗的基石产品。公司还在推进包括索托克拉联合抗</w:t>
            </w:r>
            <w:r w:rsidRPr="3676609B">
              <w:rPr>
                <w:rFonts w:ascii="Times New Roman" w:eastAsia="宋体" w:hAnsi="Times New Roman" w:cs="Times New Roman"/>
              </w:rPr>
              <w:t>CD20</w:t>
            </w:r>
            <w:r w:rsidRPr="3676609B">
              <w:rPr>
                <w:rFonts w:ascii="Times New Roman" w:eastAsia="宋体" w:hAnsi="Times New Roman" w:cs="Times New Roman"/>
              </w:rPr>
              <w:t>抗体在内的固定疗程方案。此外，公司正在评估索托克拉联合</w:t>
            </w:r>
            <w:r w:rsidRPr="3676609B">
              <w:rPr>
                <w:rFonts w:ascii="Times New Roman" w:eastAsia="宋体" w:hAnsi="Times New Roman" w:cs="Times New Roman"/>
              </w:rPr>
              <w:t>BTK-CDAC</w:t>
            </w:r>
            <w:r w:rsidRPr="3676609B">
              <w:rPr>
                <w:rFonts w:ascii="Times New Roman" w:eastAsia="宋体" w:hAnsi="Times New Roman" w:cs="Times New Roman"/>
              </w:rPr>
              <w:t>的治疗方案，该组合有可能用于所有接受二线治疗的患者，不论他们使用何种一线治疗方案。索托克拉是公司的下一代</w:t>
            </w:r>
            <w:r w:rsidRPr="3676609B">
              <w:rPr>
                <w:rFonts w:ascii="Times New Roman" w:eastAsia="宋体" w:hAnsi="Times New Roman" w:cs="Times New Roman"/>
              </w:rPr>
              <w:t>BCL2</w:t>
            </w:r>
            <w:r w:rsidRPr="3676609B">
              <w:rPr>
                <w:rFonts w:ascii="Times New Roman" w:eastAsia="宋体" w:hAnsi="Times New Roman" w:cs="Times New Roman"/>
              </w:rPr>
              <w:t>抑制剂，其关键特征使其有望成为同类最佳产品。索托克拉效价强度比维奈克拉高出</w:t>
            </w:r>
            <w:r w:rsidRPr="3676609B">
              <w:rPr>
                <w:rFonts w:ascii="Times New Roman" w:eastAsia="宋体" w:hAnsi="Times New Roman" w:cs="Times New Roman"/>
              </w:rPr>
              <w:t>14</w:t>
            </w:r>
            <w:r w:rsidRPr="3676609B">
              <w:rPr>
                <w:rFonts w:ascii="Times New Roman" w:eastAsia="宋体" w:hAnsi="Times New Roman" w:cs="Times New Roman"/>
              </w:rPr>
              <w:t>倍，这有望在临床中转化为更好的疗效。此外，更高的选择性、更短的半衰期以及无药物蓄积的特性将带来更好的整体安全性特征。更重要的是，索托克拉为患者提供了更加患者友好的剂量递增方式，有机会让多数患者仅需要通过一次门诊访视即可完成剂量递增。索托克拉拥有广泛的开发项目，包括三项用于加速批准的</w:t>
            </w:r>
            <w:r w:rsidRPr="3676609B">
              <w:rPr>
                <w:rFonts w:ascii="Times New Roman" w:eastAsia="宋体" w:hAnsi="Times New Roman" w:cs="Times New Roman"/>
              </w:rPr>
              <w:t>2</w:t>
            </w:r>
            <w:r w:rsidRPr="3676609B">
              <w:rPr>
                <w:rFonts w:ascii="Times New Roman" w:eastAsia="宋体" w:hAnsi="Times New Roman" w:cs="Times New Roman"/>
              </w:rPr>
              <w:t>期研究，以及三项正在进行的</w:t>
            </w:r>
            <w:r w:rsidRPr="3676609B">
              <w:rPr>
                <w:rFonts w:ascii="Times New Roman" w:eastAsia="宋体" w:hAnsi="Times New Roman" w:cs="Times New Roman"/>
              </w:rPr>
              <w:t>3</w:t>
            </w:r>
            <w:r w:rsidRPr="3676609B">
              <w:rPr>
                <w:rFonts w:ascii="Times New Roman" w:eastAsia="宋体" w:hAnsi="Times New Roman" w:cs="Times New Roman"/>
              </w:rPr>
              <w:t>期研究。泽</w:t>
            </w:r>
            <w:proofErr w:type="gramStart"/>
            <w:r w:rsidRPr="3676609B">
              <w:rPr>
                <w:rFonts w:ascii="Times New Roman" w:eastAsia="宋体" w:hAnsi="Times New Roman" w:cs="Times New Roman"/>
              </w:rPr>
              <w:t>布替尼联合</w:t>
            </w:r>
            <w:proofErr w:type="gramEnd"/>
            <w:r w:rsidRPr="3676609B">
              <w:rPr>
                <w:rFonts w:ascii="Times New Roman" w:eastAsia="宋体" w:hAnsi="Times New Roman" w:cs="Times New Roman"/>
              </w:rPr>
              <w:t>索托克拉在初治</w:t>
            </w:r>
            <w:r w:rsidRPr="3676609B">
              <w:rPr>
                <w:rFonts w:ascii="Times New Roman" w:eastAsia="宋体" w:hAnsi="Times New Roman" w:cs="Times New Roman"/>
              </w:rPr>
              <w:t>CLL/SLL</w:t>
            </w:r>
            <w:r w:rsidRPr="3676609B">
              <w:rPr>
                <w:rFonts w:ascii="Times New Roman" w:eastAsia="宋体" w:hAnsi="Times New Roman" w:cs="Times New Roman"/>
              </w:rPr>
              <w:t>患者中实现深度缓解和显著</w:t>
            </w:r>
            <w:r w:rsidRPr="3676609B">
              <w:rPr>
                <w:rFonts w:ascii="Times New Roman" w:eastAsia="宋体" w:hAnsi="Times New Roman" w:cs="Times New Roman"/>
              </w:rPr>
              <w:t>PFS</w:t>
            </w:r>
            <w:r w:rsidRPr="3676609B">
              <w:rPr>
                <w:rFonts w:ascii="Times New Roman" w:eastAsia="宋体" w:hAnsi="Times New Roman" w:cs="Times New Roman"/>
              </w:rPr>
              <w:t>获益。公司相信</w:t>
            </w:r>
            <w:r w:rsidRPr="3676609B">
              <w:rPr>
                <w:rFonts w:ascii="Times New Roman" w:eastAsia="宋体" w:hAnsi="Times New Roman" w:cs="Times New Roman"/>
              </w:rPr>
              <w:lastRenderedPageBreak/>
              <w:t>索托克拉联合泽</w:t>
            </w:r>
            <w:proofErr w:type="gramStart"/>
            <w:r w:rsidRPr="3676609B">
              <w:rPr>
                <w:rFonts w:ascii="Times New Roman" w:eastAsia="宋体" w:hAnsi="Times New Roman" w:cs="Times New Roman"/>
              </w:rPr>
              <w:t>布替尼</w:t>
            </w:r>
            <w:proofErr w:type="gramEnd"/>
            <w:r w:rsidRPr="3676609B">
              <w:rPr>
                <w:rFonts w:ascii="Times New Roman" w:eastAsia="宋体" w:hAnsi="Times New Roman" w:cs="Times New Roman"/>
              </w:rPr>
              <w:t>作为固定疗程治疗方案，有望为</w:t>
            </w:r>
            <w:r w:rsidRPr="3676609B">
              <w:rPr>
                <w:rFonts w:ascii="Times New Roman" w:eastAsia="宋体" w:hAnsi="Times New Roman" w:cs="Times New Roman"/>
              </w:rPr>
              <w:t>CLL</w:t>
            </w:r>
            <w:r w:rsidRPr="3676609B">
              <w:rPr>
                <w:rFonts w:ascii="Times New Roman" w:eastAsia="宋体" w:hAnsi="Times New Roman" w:cs="Times New Roman"/>
              </w:rPr>
              <w:t>患者带来颠覆性改变。公司的</w:t>
            </w:r>
            <w:r w:rsidRPr="3676609B">
              <w:rPr>
                <w:rFonts w:ascii="Times New Roman" w:eastAsia="宋体" w:hAnsi="Times New Roman" w:cs="Times New Roman"/>
              </w:rPr>
              <w:t>BTK CDAC</w:t>
            </w:r>
            <w:r w:rsidRPr="3676609B">
              <w:rPr>
                <w:rFonts w:ascii="Times New Roman" w:eastAsia="宋体" w:hAnsi="Times New Roman" w:cs="Times New Roman"/>
              </w:rPr>
              <w:t>是临床开发进展最快的</w:t>
            </w:r>
            <w:r w:rsidRPr="3676609B">
              <w:rPr>
                <w:rFonts w:ascii="Times New Roman" w:eastAsia="宋体" w:hAnsi="Times New Roman" w:cs="Times New Roman"/>
              </w:rPr>
              <w:t>BTK</w:t>
            </w:r>
            <w:r w:rsidRPr="3676609B">
              <w:rPr>
                <w:rFonts w:ascii="Times New Roman" w:eastAsia="宋体" w:hAnsi="Times New Roman" w:cs="Times New Roman"/>
              </w:rPr>
              <w:t>降解剂，并具有潜在同类首创和同类最佳特性。作为一种机制，降解能够克服并预防新出现耐药突变，并能破坏</w:t>
            </w:r>
            <w:r w:rsidRPr="3676609B">
              <w:rPr>
                <w:rFonts w:ascii="Times New Roman" w:eastAsia="宋体" w:hAnsi="Times New Roman" w:cs="Times New Roman"/>
              </w:rPr>
              <w:t>BTK</w:t>
            </w:r>
            <w:r w:rsidRPr="3676609B">
              <w:rPr>
                <w:rFonts w:ascii="Times New Roman" w:eastAsia="宋体" w:hAnsi="Times New Roman" w:cs="Times New Roman"/>
              </w:rPr>
              <w:t>蛋白支架功能。临床研究中的长半衰期使得每日给药即可保持持续的</w:t>
            </w:r>
            <w:r w:rsidRPr="3676609B">
              <w:rPr>
                <w:rFonts w:ascii="Times New Roman" w:eastAsia="宋体" w:hAnsi="Times New Roman" w:cs="Times New Roman"/>
              </w:rPr>
              <w:t>BTK</w:t>
            </w:r>
            <w:r w:rsidRPr="3676609B">
              <w:rPr>
                <w:rFonts w:ascii="Times New Roman" w:eastAsia="宋体" w:hAnsi="Times New Roman" w:cs="Times New Roman"/>
              </w:rPr>
              <w:t>降解。公司正在开展广泛的开发项目，包括两项关键性</w:t>
            </w:r>
            <w:r w:rsidRPr="3676609B">
              <w:rPr>
                <w:rFonts w:ascii="Times New Roman" w:eastAsia="宋体" w:hAnsi="Times New Roman" w:cs="Times New Roman"/>
              </w:rPr>
              <w:t>2</w:t>
            </w:r>
            <w:r w:rsidRPr="3676609B">
              <w:rPr>
                <w:rFonts w:ascii="Times New Roman" w:eastAsia="宋体" w:hAnsi="Times New Roman" w:cs="Times New Roman"/>
              </w:rPr>
              <w:t>期临床试验可用于加速获批，以及两项正在开展的</w:t>
            </w:r>
            <w:r w:rsidRPr="3676609B">
              <w:rPr>
                <w:rFonts w:ascii="Times New Roman" w:eastAsia="宋体" w:hAnsi="Times New Roman" w:cs="Times New Roman"/>
              </w:rPr>
              <w:t>3</w:t>
            </w:r>
            <w:r w:rsidRPr="3676609B">
              <w:rPr>
                <w:rFonts w:ascii="Times New Roman" w:eastAsia="宋体" w:hAnsi="Times New Roman" w:cs="Times New Roman"/>
              </w:rPr>
              <w:t>期临床试验和一项启动中的</w:t>
            </w:r>
            <w:r w:rsidRPr="3676609B">
              <w:rPr>
                <w:rFonts w:ascii="Times New Roman" w:eastAsia="宋体" w:hAnsi="Times New Roman" w:cs="Times New Roman"/>
              </w:rPr>
              <w:t>3</w:t>
            </w:r>
            <w:r w:rsidRPr="3676609B">
              <w:rPr>
                <w:rFonts w:ascii="Times New Roman" w:eastAsia="宋体" w:hAnsi="Times New Roman" w:cs="Times New Roman"/>
              </w:rPr>
              <w:t>期临床试验。公司在</w:t>
            </w:r>
            <w:r w:rsidRPr="3676609B">
              <w:rPr>
                <w:rFonts w:ascii="Times New Roman" w:eastAsia="宋体" w:hAnsi="Times New Roman" w:cs="Times New Roman"/>
              </w:rPr>
              <w:t>CLL</w:t>
            </w:r>
            <w:r w:rsidRPr="3676609B">
              <w:rPr>
                <w:rFonts w:ascii="Times New Roman" w:eastAsia="宋体" w:hAnsi="Times New Roman" w:cs="Times New Roman"/>
              </w:rPr>
              <w:t>以外的血液肿瘤适应症中，广泛的临床开发计划和临床研究，旨在最大程度提高百悦泽</w:t>
            </w:r>
            <w:r w:rsidRPr="3676609B">
              <w:rPr>
                <w:rFonts w:ascii="Times New Roman" w:eastAsia="宋体" w:hAnsi="Times New Roman" w:cs="Times New Roman"/>
                <w:vertAlign w:val="superscript"/>
              </w:rPr>
              <w:t>®</w:t>
            </w:r>
            <w:r w:rsidRPr="3676609B">
              <w:rPr>
                <w:rFonts w:ascii="Times New Roman" w:eastAsia="宋体" w:hAnsi="Times New Roman" w:cs="Times New Roman"/>
              </w:rPr>
              <w:t>、索托克拉和</w:t>
            </w:r>
            <w:r w:rsidRPr="3676609B">
              <w:rPr>
                <w:rFonts w:ascii="Times New Roman" w:eastAsia="宋体" w:hAnsi="Times New Roman" w:cs="Times New Roman"/>
              </w:rPr>
              <w:t>BTK-CDAC</w:t>
            </w:r>
            <w:r w:rsidRPr="3676609B">
              <w:rPr>
                <w:rFonts w:ascii="Times New Roman" w:eastAsia="宋体" w:hAnsi="Times New Roman" w:cs="Times New Roman"/>
              </w:rPr>
              <w:t>的临床及商业价值。（</w:t>
            </w:r>
            <w:r w:rsidRPr="3676609B">
              <w:rPr>
                <w:rFonts w:ascii="Times New Roman" w:eastAsia="宋体" w:hAnsi="Times New Roman" w:cs="Times New Roman"/>
              </w:rPr>
              <w:t>4</w:t>
            </w:r>
            <w:r w:rsidRPr="3676609B">
              <w:rPr>
                <w:rFonts w:ascii="Times New Roman" w:eastAsia="宋体" w:hAnsi="Times New Roman" w:cs="Times New Roman"/>
              </w:rPr>
              <w:t>）公司聚焦实体瘤领域，公司的产品管线覆盖三大疾病领域的多种治疗模式和机制，这三大疾病领域分别为乳腺癌和妇科肿瘤、肺癌以及消化道肿瘤。公司在过去两年中战略升级了整个实体瘤管线。（</w:t>
            </w:r>
            <w:r w:rsidRPr="3676609B">
              <w:rPr>
                <w:rFonts w:ascii="Times New Roman" w:eastAsia="宋体" w:hAnsi="Times New Roman" w:cs="Times New Roman"/>
              </w:rPr>
              <w:t>5</w:t>
            </w:r>
            <w:r w:rsidRPr="3676609B">
              <w:rPr>
                <w:rFonts w:ascii="Times New Roman" w:eastAsia="宋体" w:hAnsi="Times New Roman" w:cs="Times New Roman"/>
              </w:rPr>
              <w:t>）在关键后期催化剂方面，公司已经成功实现了年初设定的所有关键目标，部分目标已经提前完成，例如索托克拉在中国递交</w:t>
            </w:r>
            <w:r w:rsidRPr="3676609B">
              <w:rPr>
                <w:rFonts w:ascii="Times New Roman" w:eastAsia="宋体" w:hAnsi="Times New Roman" w:cs="Times New Roman"/>
              </w:rPr>
              <w:t>R/R CLL</w:t>
            </w:r>
            <w:r w:rsidRPr="3676609B">
              <w:rPr>
                <w:rFonts w:ascii="Times New Roman" w:eastAsia="宋体" w:hAnsi="Times New Roman" w:cs="Times New Roman"/>
              </w:rPr>
              <w:t>和</w:t>
            </w:r>
            <w:r w:rsidRPr="3676609B">
              <w:rPr>
                <w:rFonts w:ascii="Times New Roman" w:eastAsia="宋体" w:hAnsi="Times New Roman" w:cs="Times New Roman"/>
              </w:rPr>
              <w:t>R/R MCL</w:t>
            </w:r>
            <w:r w:rsidRPr="3676609B">
              <w:rPr>
                <w:rFonts w:ascii="Times New Roman" w:eastAsia="宋体" w:hAnsi="Times New Roman" w:cs="Times New Roman"/>
              </w:rPr>
              <w:t>申请。下半年预计公司还将取得多项重要里程碑，包括索托克拉用于治疗</w:t>
            </w:r>
            <w:r w:rsidRPr="3676609B">
              <w:rPr>
                <w:rFonts w:ascii="Times New Roman" w:eastAsia="宋体" w:hAnsi="Times New Roman" w:cs="Times New Roman"/>
              </w:rPr>
              <w:t>R/R MCL</w:t>
            </w:r>
            <w:r w:rsidRPr="3676609B">
              <w:rPr>
                <w:rFonts w:ascii="Times New Roman" w:eastAsia="宋体" w:hAnsi="Times New Roman" w:cs="Times New Roman"/>
              </w:rPr>
              <w:t>的全球申报。在关键早期催化剂方面，公司预计在多个治疗模式下和疾病领域中，早期阶段管线产品将完成多个概念验证催化剂。公司也在积极将</w:t>
            </w:r>
            <w:r w:rsidRPr="3676609B">
              <w:rPr>
                <w:rFonts w:ascii="Times New Roman" w:eastAsia="宋体" w:hAnsi="Times New Roman" w:cs="Times New Roman"/>
              </w:rPr>
              <w:t>CDK4</w:t>
            </w:r>
            <w:r w:rsidRPr="3676609B">
              <w:rPr>
                <w:rFonts w:ascii="Times New Roman" w:eastAsia="宋体" w:hAnsi="Times New Roman" w:cs="Times New Roman"/>
              </w:rPr>
              <w:t>抑制剂和</w:t>
            </w:r>
            <w:r w:rsidRPr="3676609B">
              <w:rPr>
                <w:rFonts w:ascii="Times New Roman" w:eastAsia="宋体" w:hAnsi="Times New Roman" w:cs="Times New Roman"/>
              </w:rPr>
              <w:t>B7-H4-ADC</w:t>
            </w:r>
            <w:r w:rsidRPr="3676609B">
              <w:rPr>
                <w:rFonts w:ascii="Times New Roman" w:eastAsia="宋体" w:hAnsi="Times New Roman" w:cs="Times New Roman"/>
              </w:rPr>
              <w:t>等产品推进到后期开发阶段。</w:t>
            </w:r>
          </w:p>
          <w:p w14:paraId="5B2BCD25" w14:textId="77777777" w:rsidR="00A13ACC" w:rsidRPr="008F2EE2" w:rsidRDefault="00A13ACC" w:rsidP="00A13ACC">
            <w:pPr>
              <w:spacing w:line="360" w:lineRule="auto"/>
              <w:rPr>
                <w:rFonts w:ascii="Times New Roman" w:eastAsia="宋体" w:hAnsi="Times New Roman" w:cs="Times New Roman"/>
                <w:szCs w:val="21"/>
              </w:rPr>
            </w:pPr>
          </w:p>
          <w:p w14:paraId="67987ABB" w14:textId="493396C5" w:rsidR="00646907" w:rsidRPr="008F2EE2" w:rsidRDefault="00646907" w:rsidP="00A13ACC">
            <w:pPr>
              <w:spacing w:line="360" w:lineRule="auto"/>
              <w:rPr>
                <w:rFonts w:ascii="Times New Roman" w:eastAsia="宋体" w:hAnsi="Times New Roman" w:cs="Times New Roman"/>
                <w:b/>
                <w:szCs w:val="21"/>
              </w:rPr>
            </w:pPr>
            <w:r w:rsidRPr="008F2EE2">
              <w:rPr>
                <w:rFonts w:ascii="Times New Roman" w:eastAsia="宋体" w:hAnsi="Times New Roman" w:cs="Times New Roman" w:hint="eastAsia"/>
                <w:b/>
                <w:szCs w:val="21"/>
              </w:rPr>
              <w:t>公司亚太区投资者关系负责人周密介绍公司</w:t>
            </w:r>
            <w:r w:rsidRPr="008F2EE2">
              <w:rPr>
                <w:rFonts w:ascii="Times New Roman" w:eastAsia="宋体" w:hAnsi="Times New Roman" w:cs="Times New Roman"/>
                <w:b/>
                <w:szCs w:val="21"/>
              </w:rPr>
              <w:t>20</w:t>
            </w:r>
            <w:r w:rsidRPr="008F2EE2">
              <w:rPr>
                <w:rFonts w:ascii="Times New Roman" w:eastAsia="宋体" w:hAnsi="Times New Roman" w:cs="Times New Roman" w:hint="eastAsia"/>
                <w:b/>
                <w:szCs w:val="21"/>
              </w:rPr>
              <w:t>25</w:t>
            </w:r>
            <w:r w:rsidRPr="008F2EE2">
              <w:rPr>
                <w:rFonts w:ascii="Times New Roman" w:eastAsia="宋体" w:hAnsi="Times New Roman" w:cs="Times New Roman" w:hint="eastAsia"/>
                <w:b/>
                <w:szCs w:val="21"/>
              </w:rPr>
              <w:t>年</w:t>
            </w:r>
            <w:r w:rsidR="00694761" w:rsidRPr="008F2EE2">
              <w:rPr>
                <w:rFonts w:ascii="Times New Roman" w:eastAsia="宋体" w:hAnsi="Times New Roman" w:cs="Times New Roman" w:hint="eastAsia"/>
                <w:b/>
                <w:szCs w:val="21"/>
              </w:rPr>
              <w:t>第</w:t>
            </w:r>
            <w:r w:rsidR="00ED3A99" w:rsidRPr="008F2EE2">
              <w:rPr>
                <w:rFonts w:ascii="Times New Roman" w:eastAsia="宋体" w:hAnsi="Times New Roman" w:cs="Times New Roman" w:hint="eastAsia"/>
                <w:b/>
                <w:szCs w:val="21"/>
              </w:rPr>
              <w:t>二</w:t>
            </w:r>
            <w:r w:rsidR="00694761" w:rsidRPr="008F2EE2">
              <w:rPr>
                <w:rFonts w:ascii="Times New Roman" w:eastAsia="宋体" w:hAnsi="Times New Roman" w:cs="Times New Roman" w:hint="eastAsia"/>
                <w:b/>
                <w:szCs w:val="21"/>
              </w:rPr>
              <w:t>季度</w:t>
            </w:r>
            <w:r w:rsidRPr="008F2EE2">
              <w:rPr>
                <w:rFonts w:ascii="Times New Roman" w:eastAsia="宋体" w:hAnsi="Times New Roman" w:cs="Times New Roman" w:hint="eastAsia"/>
                <w:b/>
                <w:szCs w:val="21"/>
              </w:rPr>
              <w:t>财务业绩及</w:t>
            </w:r>
            <w:r w:rsidR="0047312A" w:rsidRPr="008F2EE2">
              <w:rPr>
                <w:rFonts w:ascii="Times New Roman" w:eastAsia="宋体" w:hAnsi="Times New Roman" w:cs="Times New Roman" w:hint="eastAsia"/>
                <w:b/>
                <w:szCs w:val="21"/>
              </w:rPr>
              <w:t>2025</w:t>
            </w:r>
            <w:r w:rsidR="0047312A" w:rsidRPr="008F2EE2">
              <w:rPr>
                <w:rFonts w:ascii="Times New Roman" w:eastAsia="宋体" w:hAnsi="Times New Roman" w:cs="Times New Roman" w:hint="eastAsia"/>
                <w:b/>
                <w:szCs w:val="21"/>
              </w:rPr>
              <w:t>年</w:t>
            </w:r>
            <w:r w:rsidR="00694761" w:rsidRPr="008F2EE2">
              <w:rPr>
                <w:rFonts w:ascii="Times New Roman" w:eastAsia="宋体" w:hAnsi="Times New Roman" w:cs="Times New Roman" w:hint="eastAsia"/>
                <w:b/>
                <w:szCs w:val="21"/>
              </w:rPr>
              <w:t>业绩指引：</w:t>
            </w:r>
          </w:p>
          <w:p w14:paraId="04080D00" w14:textId="0B20EDD4" w:rsidR="0048677E" w:rsidRPr="008F2EE2" w:rsidRDefault="0048677E" w:rsidP="00A13ACC">
            <w:pPr>
              <w:spacing w:line="360" w:lineRule="auto"/>
              <w:rPr>
                <w:rFonts w:ascii="Times New Roman" w:eastAsia="宋体" w:hAnsi="Times New Roman" w:cs="Times New Roman"/>
                <w:szCs w:val="21"/>
              </w:rPr>
            </w:pPr>
            <w:r w:rsidRPr="008F2EE2">
              <w:rPr>
                <w:rFonts w:ascii="Times New Roman" w:eastAsia="宋体" w:hAnsi="Times New Roman" w:cs="Times New Roman"/>
                <w:szCs w:val="21"/>
              </w:rPr>
              <w:t>（</w:t>
            </w:r>
            <w:r w:rsidRPr="008F2EE2">
              <w:rPr>
                <w:rFonts w:ascii="Times New Roman" w:eastAsia="宋体" w:hAnsi="Times New Roman" w:cs="Times New Roman"/>
                <w:szCs w:val="21"/>
              </w:rPr>
              <w:t>1</w:t>
            </w:r>
            <w:r w:rsidRPr="008F2EE2">
              <w:rPr>
                <w:rFonts w:ascii="Times New Roman" w:eastAsia="宋体" w:hAnsi="Times New Roman" w:cs="Times New Roman"/>
                <w:szCs w:val="21"/>
              </w:rPr>
              <w:t>）第二季度产品收入达到</w:t>
            </w:r>
            <w:r w:rsidRPr="008F2EE2">
              <w:rPr>
                <w:rFonts w:ascii="Times New Roman" w:eastAsia="宋体" w:hAnsi="Times New Roman" w:cs="Times New Roman"/>
                <w:szCs w:val="21"/>
              </w:rPr>
              <w:t>13</w:t>
            </w:r>
            <w:r w:rsidRPr="008F2EE2">
              <w:rPr>
                <w:rFonts w:ascii="Times New Roman" w:eastAsia="宋体" w:hAnsi="Times New Roman" w:cs="Times New Roman"/>
                <w:szCs w:val="21"/>
              </w:rPr>
              <w:t>亿美元，同比增长</w:t>
            </w:r>
            <w:r w:rsidRPr="008F2EE2">
              <w:rPr>
                <w:rFonts w:ascii="Times New Roman" w:eastAsia="宋体" w:hAnsi="Times New Roman" w:cs="Times New Roman"/>
                <w:szCs w:val="21"/>
              </w:rPr>
              <w:t>41%</w:t>
            </w:r>
            <w:r w:rsidRPr="008F2EE2">
              <w:rPr>
                <w:rFonts w:ascii="Times New Roman" w:eastAsia="宋体" w:hAnsi="Times New Roman" w:cs="Times New Roman"/>
                <w:szCs w:val="21"/>
              </w:rPr>
              <w:t>。百悦泽</w:t>
            </w:r>
            <w:r w:rsidRPr="008F2EE2">
              <w:rPr>
                <w:rFonts w:ascii="Times New Roman" w:eastAsia="宋体" w:hAnsi="Times New Roman" w:cs="Times New Roman"/>
                <w:szCs w:val="21"/>
                <w:vertAlign w:val="superscript"/>
              </w:rPr>
              <w:t>®</w:t>
            </w:r>
            <w:r w:rsidRPr="008F2EE2">
              <w:rPr>
                <w:rFonts w:ascii="Times New Roman" w:eastAsia="宋体" w:hAnsi="Times New Roman" w:cs="Times New Roman"/>
                <w:szCs w:val="21"/>
              </w:rPr>
              <w:t>全球收入达到</w:t>
            </w:r>
            <w:r w:rsidRPr="008F2EE2">
              <w:rPr>
                <w:rFonts w:ascii="Times New Roman" w:eastAsia="宋体" w:hAnsi="Times New Roman" w:cs="Times New Roman"/>
                <w:szCs w:val="21"/>
              </w:rPr>
              <w:t>9.5</w:t>
            </w:r>
            <w:r w:rsidRPr="008F2EE2">
              <w:rPr>
                <w:rFonts w:ascii="Times New Roman" w:eastAsia="宋体" w:hAnsi="Times New Roman" w:cs="Times New Roman"/>
                <w:szCs w:val="21"/>
              </w:rPr>
              <w:t>亿美元，同比增长</w:t>
            </w:r>
            <w:r w:rsidRPr="008F2EE2">
              <w:rPr>
                <w:rFonts w:ascii="Times New Roman" w:eastAsia="宋体" w:hAnsi="Times New Roman" w:cs="Times New Roman"/>
                <w:szCs w:val="21"/>
              </w:rPr>
              <w:t>49%</w:t>
            </w:r>
            <w:r w:rsidRPr="008F2EE2">
              <w:rPr>
                <w:rFonts w:ascii="Times New Roman" w:eastAsia="宋体" w:hAnsi="Times New Roman" w:cs="Times New Roman"/>
                <w:szCs w:val="21"/>
              </w:rPr>
              <w:t>，这得益于所有地区取得的优异业绩。百悦泽</w:t>
            </w:r>
            <w:r w:rsidRPr="008F2EE2">
              <w:rPr>
                <w:rFonts w:ascii="Times New Roman" w:eastAsia="宋体" w:hAnsi="Times New Roman" w:cs="Times New Roman"/>
                <w:szCs w:val="21"/>
                <w:vertAlign w:val="superscript"/>
              </w:rPr>
              <w:t>®</w:t>
            </w:r>
            <w:r w:rsidRPr="008F2EE2">
              <w:rPr>
                <w:rFonts w:ascii="Times New Roman" w:eastAsia="宋体" w:hAnsi="Times New Roman" w:cs="Times New Roman"/>
                <w:szCs w:val="21"/>
              </w:rPr>
              <w:t>已稳居美国</w:t>
            </w:r>
            <w:r w:rsidRPr="008F2EE2">
              <w:rPr>
                <w:rFonts w:ascii="Times New Roman" w:eastAsia="宋体" w:hAnsi="Times New Roman" w:cs="Times New Roman"/>
                <w:szCs w:val="21"/>
              </w:rPr>
              <w:t>BTK</w:t>
            </w:r>
            <w:r w:rsidRPr="008F2EE2">
              <w:rPr>
                <w:rFonts w:ascii="Times New Roman" w:eastAsia="宋体" w:hAnsi="Times New Roman" w:cs="Times New Roman"/>
                <w:szCs w:val="21"/>
              </w:rPr>
              <w:t>市场按价值计算份额第一的位置，且该市场整体规模仍在不断扩大。公司对百悦泽</w:t>
            </w:r>
            <w:r w:rsidRPr="008F2EE2">
              <w:rPr>
                <w:rFonts w:ascii="Times New Roman" w:eastAsia="宋体" w:hAnsi="Times New Roman" w:cs="Times New Roman"/>
                <w:szCs w:val="21"/>
                <w:vertAlign w:val="superscript"/>
              </w:rPr>
              <w:t>®</w:t>
            </w:r>
            <w:r w:rsidRPr="008F2EE2">
              <w:rPr>
                <w:rFonts w:ascii="Times New Roman" w:eastAsia="宋体" w:hAnsi="Times New Roman" w:cs="Times New Roman"/>
                <w:szCs w:val="21"/>
              </w:rPr>
              <w:t>的长期市场领先地位充满信心。与此同时，</w:t>
            </w:r>
            <w:proofErr w:type="gramStart"/>
            <w:r w:rsidRPr="008F2EE2">
              <w:rPr>
                <w:rFonts w:ascii="Times New Roman" w:eastAsia="宋体" w:hAnsi="Times New Roman" w:cs="Times New Roman"/>
                <w:szCs w:val="21"/>
              </w:rPr>
              <w:t>百泽安</w:t>
            </w:r>
            <w:proofErr w:type="gramEnd"/>
            <w:r w:rsidRPr="008F2EE2">
              <w:rPr>
                <w:rFonts w:ascii="Times New Roman" w:eastAsia="宋体" w:hAnsi="Times New Roman" w:cs="Times New Roman"/>
                <w:szCs w:val="21"/>
                <w:vertAlign w:val="superscript"/>
              </w:rPr>
              <w:t>®</w:t>
            </w:r>
            <w:r w:rsidRPr="008F2EE2">
              <w:rPr>
                <w:rFonts w:ascii="Times New Roman" w:eastAsia="宋体" w:hAnsi="Times New Roman" w:cs="Times New Roman"/>
                <w:szCs w:val="21"/>
              </w:rPr>
              <w:t>收入同比增长</w:t>
            </w:r>
            <w:r w:rsidRPr="008F2EE2">
              <w:rPr>
                <w:rFonts w:ascii="Times New Roman" w:eastAsia="宋体" w:hAnsi="Times New Roman" w:cs="Times New Roman"/>
                <w:szCs w:val="21"/>
              </w:rPr>
              <w:t>22%</w:t>
            </w:r>
            <w:r w:rsidRPr="008F2EE2">
              <w:rPr>
                <w:rFonts w:ascii="Times New Roman" w:eastAsia="宋体" w:hAnsi="Times New Roman" w:cs="Times New Roman"/>
                <w:szCs w:val="21"/>
              </w:rPr>
              <w:t>，继续领跑中国市场，同时新上市市场也贡献了一定收入。授权许可产品同样保持强劲增长势头，同比增长</w:t>
            </w:r>
            <w:r w:rsidRPr="008F2EE2">
              <w:rPr>
                <w:rFonts w:ascii="Times New Roman" w:eastAsia="宋体" w:hAnsi="Times New Roman" w:cs="Times New Roman"/>
                <w:szCs w:val="21"/>
              </w:rPr>
              <w:t>27%</w:t>
            </w:r>
            <w:r w:rsidRPr="008F2EE2">
              <w:rPr>
                <w:rFonts w:ascii="Times New Roman" w:eastAsia="宋体" w:hAnsi="Times New Roman" w:cs="Times New Roman"/>
                <w:szCs w:val="21"/>
              </w:rPr>
              <w:t>。本季度，中国团队顺利实现泽尼</w:t>
            </w:r>
            <w:proofErr w:type="gramStart"/>
            <w:r w:rsidRPr="008F2EE2">
              <w:rPr>
                <w:rFonts w:ascii="Times New Roman" w:eastAsia="宋体" w:hAnsi="Times New Roman" w:cs="Times New Roman"/>
                <w:szCs w:val="21"/>
              </w:rPr>
              <w:t>达妥单</w:t>
            </w:r>
            <w:proofErr w:type="gramEnd"/>
            <w:r w:rsidRPr="008F2EE2">
              <w:rPr>
                <w:rFonts w:ascii="Times New Roman" w:eastAsia="宋体" w:hAnsi="Times New Roman" w:cs="Times New Roman"/>
                <w:szCs w:val="21"/>
              </w:rPr>
              <w:t>抗上市，为</w:t>
            </w:r>
            <w:r w:rsidRPr="008F2EE2">
              <w:rPr>
                <w:rFonts w:ascii="Times New Roman" w:eastAsia="宋体" w:hAnsi="Times New Roman" w:cs="Times New Roman"/>
                <w:szCs w:val="21"/>
              </w:rPr>
              <w:t>HER2</w:t>
            </w:r>
            <w:proofErr w:type="gramStart"/>
            <w:r w:rsidRPr="008F2EE2">
              <w:rPr>
                <w:rFonts w:ascii="Times New Roman" w:eastAsia="宋体" w:hAnsi="Times New Roman" w:cs="Times New Roman"/>
                <w:szCs w:val="21"/>
              </w:rPr>
              <w:t>高表达</w:t>
            </w:r>
            <w:proofErr w:type="gramEnd"/>
            <w:r w:rsidRPr="008F2EE2">
              <w:rPr>
                <w:rFonts w:ascii="Times New Roman" w:eastAsia="宋体" w:hAnsi="Times New Roman" w:cs="Times New Roman"/>
                <w:szCs w:val="21"/>
              </w:rPr>
              <w:t>的胆道癌患者提供了一项重要的治疗新选择，而这一患者群体历史上长期存在治疗缺口。（</w:t>
            </w:r>
            <w:r w:rsidR="00F6130C" w:rsidRPr="008F2EE2">
              <w:rPr>
                <w:rFonts w:ascii="Times New Roman" w:eastAsia="宋体" w:hAnsi="Times New Roman" w:cs="Times New Roman" w:hint="eastAsia"/>
                <w:szCs w:val="21"/>
              </w:rPr>
              <w:t>2</w:t>
            </w:r>
            <w:r w:rsidRPr="008F2EE2">
              <w:rPr>
                <w:rFonts w:ascii="Times New Roman" w:eastAsia="宋体" w:hAnsi="Times New Roman" w:cs="Times New Roman"/>
                <w:szCs w:val="21"/>
              </w:rPr>
              <w:t>）毛利率从去年同期约</w:t>
            </w:r>
            <w:r w:rsidRPr="008F2EE2">
              <w:rPr>
                <w:rFonts w:ascii="Times New Roman" w:eastAsia="宋体" w:hAnsi="Times New Roman" w:cs="Times New Roman"/>
                <w:szCs w:val="21"/>
              </w:rPr>
              <w:t>85%</w:t>
            </w:r>
            <w:r w:rsidRPr="008F2EE2">
              <w:rPr>
                <w:rFonts w:ascii="Times New Roman" w:eastAsia="宋体" w:hAnsi="Times New Roman" w:cs="Times New Roman"/>
                <w:szCs w:val="21"/>
              </w:rPr>
              <w:t>增至</w:t>
            </w:r>
            <w:r w:rsidRPr="008F2EE2">
              <w:rPr>
                <w:rFonts w:ascii="Times New Roman" w:eastAsia="宋体" w:hAnsi="Times New Roman" w:cs="Times New Roman"/>
                <w:szCs w:val="21"/>
              </w:rPr>
              <w:t>87.4%</w:t>
            </w:r>
            <w:r w:rsidRPr="008F2EE2">
              <w:rPr>
                <w:rFonts w:ascii="Times New Roman" w:eastAsia="宋体" w:hAnsi="Times New Roman" w:cs="Times New Roman"/>
                <w:szCs w:val="21"/>
              </w:rPr>
              <w:t>。</w:t>
            </w:r>
            <w:proofErr w:type="gramStart"/>
            <w:r w:rsidRPr="008F2EE2">
              <w:rPr>
                <w:rFonts w:ascii="Times New Roman" w:eastAsia="宋体" w:hAnsi="Times New Roman" w:cs="Times New Roman"/>
                <w:szCs w:val="21"/>
              </w:rPr>
              <w:t>该增长</w:t>
            </w:r>
            <w:proofErr w:type="gramEnd"/>
            <w:r w:rsidRPr="008F2EE2">
              <w:rPr>
                <w:rFonts w:ascii="Times New Roman" w:eastAsia="宋体" w:hAnsi="Times New Roman" w:cs="Times New Roman"/>
                <w:szCs w:val="21"/>
              </w:rPr>
              <w:t>得益于良好的产品组合、有利的定价安排以及生产成本效率的提升。经营费用同比增长</w:t>
            </w:r>
            <w:r w:rsidRPr="008F2EE2">
              <w:rPr>
                <w:rFonts w:ascii="Times New Roman" w:eastAsia="宋体" w:hAnsi="Times New Roman" w:cs="Times New Roman"/>
                <w:szCs w:val="21"/>
              </w:rPr>
              <w:t>18%</w:t>
            </w:r>
            <w:r w:rsidRPr="008F2EE2">
              <w:rPr>
                <w:rFonts w:ascii="Times New Roman" w:eastAsia="宋体" w:hAnsi="Times New Roman" w:cs="Times New Roman"/>
                <w:szCs w:val="21"/>
              </w:rPr>
              <w:t>至</w:t>
            </w:r>
            <w:r w:rsidRPr="008F2EE2">
              <w:rPr>
                <w:rFonts w:ascii="Times New Roman" w:eastAsia="宋体" w:hAnsi="Times New Roman" w:cs="Times New Roman"/>
                <w:szCs w:val="21"/>
              </w:rPr>
              <w:t>11</w:t>
            </w:r>
            <w:r w:rsidRPr="008F2EE2">
              <w:rPr>
                <w:rFonts w:ascii="Times New Roman" w:eastAsia="宋体" w:hAnsi="Times New Roman" w:cs="Times New Roman"/>
                <w:szCs w:val="21"/>
              </w:rPr>
              <w:t>亿美元，这主要因为公司正在通过精准投入支持商业化增长，同时快速推进公司的创新管线。公司持续关注利润率增长，本季度净利润达到了</w:t>
            </w:r>
            <w:r w:rsidRPr="008F2EE2">
              <w:rPr>
                <w:rFonts w:ascii="Times New Roman" w:eastAsia="宋体" w:hAnsi="Times New Roman" w:cs="Times New Roman"/>
                <w:szCs w:val="21"/>
              </w:rPr>
              <w:t>9,400</w:t>
            </w:r>
            <w:r w:rsidRPr="008F2EE2">
              <w:rPr>
                <w:rFonts w:ascii="Times New Roman" w:eastAsia="宋体" w:hAnsi="Times New Roman" w:cs="Times New Roman"/>
                <w:szCs w:val="21"/>
              </w:rPr>
              <w:t>万美元，稀释每股</w:t>
            </w:r>
            <w:r w:rsidRPr="008F2EE2">
              <w:rPr>
                <w:rFonts w:ascii="Times New Roman" w:eastAsia="宋体" w:hAnsi="Times New Roman" w:cs="Times New Roman"/>
                <w:szCs w:val="21"/>
              </w:rPr>
              <w:t>ADS</w:t>
            </w:r>
            <w:r w:rsidRPr="008F2EE2">
              <w:rPr>
                <w:rFonts w:ascii="Times New Roman" w:eastAsia="宋体" w:hAnsi="Times New Roman" w:cs="Times New Roman"/>
                <w:szCs w:val="21"/>
              </w:rPr>
              <w:t>收益</w:t>
            </w:r>
            <w:r w:rsidRPr="008F2EE2">
              <w:rPr>
                <w:rFonts w:ascii="Times New Roman" w:eastAsia="宋体" w:hAnsi="Times New Roman" w:cs="Times New Roman"/>
                <w:szCs w:val="21"/>
              </w:rPr>
              <w:t>0.84</w:t>
            </w:r>
            <w:r w:rsidRPr="008F2EE2">
              <w:rPr>
                <w:rFonts w:ascii="Times New Roman" w:eastAsia="宋体" w:hAnsi="Times New Roman" w:cs="Times New Roman"/>
                <w:szCs w:val="21"/>
              </w:rPr>
              <w:t>美元，相比去年同期显著改善。非</w:t>
            </w:r>
            <w:r w:rsidRPr="008F2EE2">
              <w:rPr>
                <w:rFonts w:ascii="Times New Roman" w:eastAsia="宋体" w:hAnsi="Times New Roman" w:cs="Times New Roman"/>
                <w:szCs w:val="21"/>
              </w:rPr>
              <w:t>GAAP</w:t>
            </w:r>
            <w:r w:rsidRPr="008F2EE2">
              <w:rPr>
                <w:rFonts w:ascii="Times New Roman" w:eastAsia="宋体" w:hAnsi="Times New Roman" w:cs="Times New Roman"/>
                <w:szCs w:val="21"/>
              </w:rPr>
              <w:t>净利润达到</w:t>
            </w:r>
            <w:r w:rsidRPr="008F2EE2">
              <w:rPr>
                <w:rFonts w:ascii="Times New Roman" w:eastAsia="宋体" w:hAnsi="Times New Roman" w:cs="Times New Roman"/>
                <w:szCs w:val="21"/>
              </w:rPr>
              <w:t>2.53</w:t>
            </w:r>
            <w:r w:rsidRPr="008F2EE2">
              <w:rPr>
                <w:rFonts w:ascii="Times New Roman" w:eastAsia="宋体" w:hAnsi="Times New Roman" w:cs="Times New Roman"/>
                <w:szCs w:val="21"/>
              </w:rPr>
              <w:t>亿美元，较上年同期增长</w:t>
            </w:r>
            <w:r w:rsidRPr="008F2EE2">
              <w:rPr>
                <w:rFonts w:ascii="Times New Roman" w:eastAsia="宋体" w:hAnsi="Times New Roman" w:cs="Times New Roman"/>
                <w:szCs w:val="21"/>
              </w:rPr>
              <w:t>2.30</w:t>
            </w:r>
            <w:r w:rsidRPr="008F2EE2">
              <w:rPr>
                <w:rFonts w:ascii="Times New Roman" w:eastAsia="宋体" w:hAnsi="Times New Roman" w:cs="Times New Roman"/>
                <w:szCs w:val="21"/>
              </w:rPr>
              <w:t>亿美元。第二季度非</w:t>
            </w:r>
            <w:r w:rsidRPr="008F2EE2">
              <w:rPr>
                <w:rFonts w:ascii="Times New Roman" w:eastAsia="宋体" w:hAnsi="Times New Roman" w:cs="Times New Roman"/>
                <w:szCs w:val="21"/>
              </w:rPr>
              <w:t>GAAP</w:t>
            </w:r>
            <w:r w:rsidRPr="008F2EE2">
              <w:rPr>
                <w:rFonts w:ascii="Times New Roman" w:eastAsia="宋体" w:hAnsi="Times New Roman" w:cs="Times New Roman"/>
                <w:szCs w:val="21"/>
              </w:rPr>
              <w:t>稀释每股</w:t>
            </w:r>
            <w:r w:rsidRPr="008F2EE2">
              <w:rPr>
                <w:rFonts w:ascii="Times New Roman" w:eastAsia="宋体" w:hAnsi="Times New Roman" w:cs="Times New Roman"/>
                <w:szCs w:val="21"/>
              </w:rPr>
              <w:t>ADS</w:t>
            </w:r>
            <w:r w:rsidRPr="008F2EE2">
              <w:rPr>
                <w:rFonts w:ascii="Times New Roman" w:eastAsia="宋体" w:hAnsi="Times New Roman" w:cs="Times New Roman"/>
                <w:szCs w:val="21"/>
              </w:rPr>
              <w:t>收益</w:t>
            </w:r>
            <w:r w:rsidRPr="008F2EE2">
              <w:rPr>
                <w:rFonts w:ascii="Times New Roman" w:eastAsia="宋体" w:hAnsi="Times New Roman" w:cs="Times New Roman"/>
                <w:szCs w:val="21"/>
              </w:rPr>
              <w:lastRenderedPageBreak/>
              <w:t>达到</w:t>
            </w:r>
            <w:r w:rsidRPr="008F2EE2">
              <w:rPr>
                <w:rFonts w:ascii="Times New Roman" w:eastAsia="宋体" w:hAnsi="Times New Roman" w:cs="Times New Roman"/>
                <w:szCs w:val="21"/>
              </w:rPr>
              <w:t>2.25</w:t>
            </w:r>
            <w:r w:rsidRPr="008F2EE2">
              <w:rPr>
                <w:rFonts w:ascii="Times New Roman" w:eastAsia="宋体" w:hAnsi="Times New Roman" w:cs="Times New Roman"/>
                <w:szCs w:val="21"/>
              </w:rPr>
              <w:t>美元。（</w:t>
            </w:r>
            <w:r w:rsidR="00F6130C" w:rsidRPr="008F2EE2">
              <w:rPr>
                <w:rFonts w:ascii="Times New Roman" w:eastAsia="宋体" w:hAnsi="Times New Roman" w:cs="Times New Roman" w:hint="eastAsia"/>
                <w:szCs w:val="21"/>
              </w:rPr>
              <w:t>3</w:t>
            </w:r>
            <w:r w:rsidRPr="008F2EE2">
              <w:rPr>
                <w:rFonts w:ascii="Times New Roman" w:eastAsia="宋体" w:hAnsi="Times New Roman" w:cs="Times New Roman"/>
                <w:szCs w:val="21"/>
              </w:rPr>
              <w:t>）公司更新</w:t>
            </w:r>
            <w:r w:rsidRPr="008F2EE2">
              <w:rPr>
                <w:rFonts w:ascii="Times New Roman" w:eastAsia="宋体" w:hAnsi="Times New Roman" w:cs="Times New Roman"/>
                <w:szCs w:val="21"/>
              </w:rPr>
              <w:t>2025</w:t>
            </w:r>
            <w:r w:rsidRPr="008F2EE2">
              <w:rPr>
                <w:rFonts w:ascii="Times New Roman" w:eastAsia="宋体" w:hAnsi="Times New Roman" w:cs="Times New Roman"/>
                <w:szCs w:val="21"/>
              </w:rPr>
              <w:t>年全年财务指引，预计总收入区间为</w:t>
            </w:r>
            <w:r w:rsidRPr="008F2EE2">
              <w:rPr>
                <w:rFonts w:ascii="Times New Roman" w:eastAsia="宋体" w:hAnsi="Times New Roman" w:cs="Times New Roman"/>
                <w:szCs w:val="21"/>
              </w:rPr>
              <w:t>50</w:t>
            </w:r>
            <w:r w:rsidRPr="008F2EE2">
              <w:rPr>
                <w:rFonts w:ascii="Times New Roman" w:eastAsia="宋体" w:hAnsi="Times New Roman" w:cs="Times New Roman"/>
                <w:szCs w:val="21"/>
              </w:rPr>
              <w:t>亿美元至</w:t>
            </w:r>
            <w:r w:rsidRPr="008F2EE2">
              <w:rPr>
                <w:rFonts w:ascii="Times New Roman" w:eastAsia="宋体" w:hAnsi="Times New Roman" w:cs="Times New Roman"/>
                <w:szCs w:val="21"/>
              </w:rPr>
              <w:t>53</w:t>
            </w:r>
            <w:r w:rsidRPr="008F2EE2">
              <w:rPr>
                <w:rFonts w:ascii="Times New Roman" w:eastAsia="宋体" w:hAnsi="Times New Roman" w:cs="Times New Roman"/>
                <w:szCs w:val="21"/>
              </w:rPr>
              <w:t>亿美元。</w:t>
            </w:r>
            <w:r w:rsidRPr="008F2EE2">
              <w:rPr>
                <w:rFonts w:ascii="Times New Roman" w:eastAsia="宋体" w:hAnsi="Times New Roman" w:cs="Times New Roman"/>
                <w:szCs w:val="21"/>
              </w:rPr>
              <w:t>GAAP</w:t>
            </w:r>
            <w:r w:rsidRPr="008F2EE2">
              <w:rPr>
                <w:rFonts w:ascii="Times New Roman" w:eastAsia="宋体" w:hAnsi="Times New Roman" w:cs="Times New Roman"/>
                <w:szCs w:val="21"/>
              </w:rPr>
              <w:t>毛利率指引</w:t>
            </w:r>
            <w:r w:rsidRPr="008F2EE2">
              <w:rPr>
                <w:rFonts w:ascii="Times New Roman" w:eastAsia="宋体" w:hAnsi="Times New Roman" w:cs="Times New Roman"/>
                <w:szCs w:val="21"/>
              </w:rPr>
              <w:t>80%</w:t>
            </w:r>
            <w:r w:rsidRPr="008F2EE2">
              <w:rPr>
                <w:rFonts w:ascii="Times New Roman" w:eastAsia="宋体" w:hAnsi="Times New Roman" w:cs="Times New Roman"/>
                <w:szCs w:val="21"/>
              </w:rPr>
              <w:t>至</w:t>
            </w:r>
            <w:r w:rsidRPr="008F2EE2">
              <w:rPr>
                <w:rFonts w:ascii="Times New Roman" w:eastAsia="宋体" w:hAnsi="Times New Roman" w:cs="Times New Roman"/>
                <w:szCs w:val="21"/>
              </w:rPr>
              <w:t>90%</w:t>
            </w:r>
            <w:r w:rsidRPr="008F2EE2">
              <w:rPr>
                <w:rFonts w:ascii="Times New Roman" w:eastAsia="宋体" w:hAnsi="Times New Roman" w:cs="Times New Roman"/>
                <w:szCs w:val="21"/>
              </w:rPr>
              <w:t>的中高位区间，反映出良好的产品组合动态，</w:t>
            </w:r>
            <w:proofErr w:type="gramStart"/>
            <w:r w:rsidRPr="008F2EE2">
              <w:rPr>
                <w:rFonts w:ascii="Times New Roman" w:eastAsia="宋体" w:hAnsi="Times New Roman" w:cs="Times New Roman"/>
                <w:szCs w:val="21"/>
              </w:rPr>
              <w:t>以及百泽安</w:t>
            </w:r>
            <w:proofErr w:type="gramEnd"/>
            <w:r w:rsidRPr="008F2EE2">
              <w:rPr>
                <w:rFonts w:ascii="Times New Roman" w:eastAsia="宋体" w:hAnsi="Times New Roman" w:cs="Times New Roman"/>
                <w:szCs w:val="21"/>
                <w:vertAlign w:val="superscript"/>
              </w:rPr>
              <w:t>®</w:t>
            </w:r>
            <w:r w:rsidRPr="008F2EE2">
              <w:rPr>
                <w:rFonts w:ascii="Times New Roman" w:eastAsia="宋体" w:hAnsi="Times New Roman" w:cs="Times New Roman"/>
                <w:szCs w:val="21"/>
              </w:rPr>
              <w:t>生产效率的提前兑现，同时纳入百悦泽</w:t>
            </w:r>
            <w:r w:rsidRPr="008F2EE2">
              <w:rPr>
                <w:rFonts w:ascii="Times New Roman" w:eastAsia="宋体" w:hAnsi="Times New Roman" w:cs="Times New Roman"/>
                <w:szCs w:val="21"/>
                <w:vertAlign w:val="superscript"/>
              </w:rPr>
              <w:t>®</w:t>
            </w:r>
            <w:r w:rsidRPr="008F2EE2">
              <w:rPr>
                <w:rFonts w:ascii="Times New Roman" w:eastAsia="宋体" w:hAnsi="Times New Roman" w:cs="Times New Roman"/>
                <w:szCs w:val="21"/>
              </w:rPr>
              <w:t>片剂剂型近期已获得以及预期未来获批的影响。经营费用指引保持不变，预计区间为</w:t>
            </w:r>
            <w:r w:rsidRPr="008F2EE2">
              <w:rPr>
                <w:rFonts w:ascii="Times New Roman" w:eastAsia="宋体" w:hAnsi="Times New Roman" w:cs="Times New Roman"/>
                <w:szCs w:val="21"/>
              </w:rPr>
              <w:t>41</w:t>
            </w:r>
            <w:r w:rsidRPr="008F2EE2">
              <w:rPr>
                <w:rFonts w:ascii="Times New Roman" w:eastAsia="宋体" w:hAnsi="Times New Roman" w:cs="Times New Roman"/>
                <w:szCs w:val="21"/>
              </w:rPr>
              <w:t>亿美元至</w:t>
            </w:r>
            <w:r w:rsidRPr="008F2EE2">
              <w:rPr>
                <w:rFonts w:ascii="Times New Roman" w:eastAsia="宋体" w:hAnsi="Times New Roman" w:cs="Times New Roman"/>
                <w:szCs w:val="21"/>
              </w:rPr>
              <w:t>44</w:t>
            </w:r>
            <w:r w:rsidRPr="008F2EE2">
              <w:rPr>
                <w:rFonts w:ascii="Times New Roman" w:eastAsia="宋体" w:hAnsi="Times New Roman" w:cs="Times New Roman"/>
                <w:szCs w:val="21"/>
              </w:rPr>
              <w:t>亿美元。公司将继续致力于实现正的</w:t>
            </w:r>
            <w:r w:rsidRPr="008F2EE2">
              <w:rPr>
                <w:rFonts w:ascii="Times New Roman" w:eastAsia="宋体" w:hAnsi="Times New Roman" w:cs="Times New Roman"/>
                <w:szCs w:val="21"/>
              </w:rPr>
              <w:t>GAAP</w:t>
            </w:r>
            <w:r w:rsidRPr="008F2EE2">
              <w:rPr>
                <w:rFonts w:ascii="Times New Roman" w:eastAsia="宋体" w:hAnsi="Times New Roman" w:cs="Times New Roman"/>
                <w:szCs w:val="21"/>
              </w:rPr>
              <w:t>经营利润的目标，同时预计本年度公司将实现正的自由现金流。公司对</w:t>
            </w:r>
            <w:r w:rsidRPr="008F2EE2">
              <w:rPr>
                <w:rFonts w:ascii="Times New Roman" w:eastAsia="宋体" w:hAnsi="Times New Roman" w:cs="Times New Roman"/>
                <w:szCs w:val="21"/>
              </w:rPr>
              <w:t>2025</w:t>
            </w:r>
            <w:r w:rsidRPr="008F2EE2">
              <w:rPr>
                <w:rFonts w:ascii="Times New Roman" w:eastAsia="宋体" w:hAnsi="Times New Roman" w:cs="Times New Roman"/>
                <w:szCs w:val="21"/>
              </w:rPr>
              <w:t>年上半年的执行成效感到满意，并将继续专注于实现全年各项财务业绩指标。</w:t>
            </w:r>
          </w:p>
          <w:p w14:paraId="6F13F959" w14:textId="77777777" w:rsidR="00BA74AB" w:rsidRPr="008F2EE2" w:rsidRDefault="00BA74AB" w:rsidP="00C258C8">
            <w:pPr>
              <w:spacing w:line="360" w:lineRule="auto"/>
              <w:rPr>
                <w:rFonts w:ascii="Times New Roman" w:eastAsia="宋体" w:hAnsi="Times New Roman" w:cs="Times New Roman"/>
                <w:szCs w:val="21"/>
              </w:rPr>
            </w:pPr>
          </w:p>
          <w:p w14:paraId="652E22FA" w14:textId="77777777" w:rsidR="00BA74AB" w:rsidRPr="008F2EE2" w:rsidRDefault="001F57C7" w:rsidP="00C258C8">
            <w:pPr>
              <w:spacing w:line="360" w:lineRule="auto"/>
              <w:ind w:firstLine="440"/>
              <w:rPr>
                <w:rFonts w:ascii="Times New Roman" w:eastAsia="宋体" w:hAnsi="Times New Roman" w:cs="Times New Roman"/>
                <w:szCs w:val="21"/>
              </w:rPr>
            </w:pPr>
            <w:r w:rsidRPr="008F2EE2">
              <w:rPr>
                <w:rFonts w:ascii="Times New Roman" w:eastAsia="宋体" w:hAnsi="Times New Roman" w:cs="Times New Roman" w:hint="eastAsia"/>
                <w:szCs w:val="21"/>
              </w:rPr>
              <w:t>Q</w:t>
            </w:r>
            <w:r w:rsidRPr="008F2EE2">
              <w:rPr>
                <w:rFonts w:ascii="Times New Roman" w:eastAsia="宋体" w:hAnsi="Times New Roman" w:cs="Times New Roman" w:hint="eastAsia"/>
                <w:szCs w:val="21"/>
              </w:rPr>
              <w:t>：百悦泽</w:t>
            </w:r>
            <w:r w:rsidRPr="008F2EE2">
              <w:rPr>
                <w:rFonts w:ascii="Times New Roman" w:eastAsia="宋体" w:hAnsi="Times New Roman" w:cs="Times New Roman"/>
                <w:szCs w:val="21"/>
                <w:vertAlign w:val="superscript"/>
              </w:rPr>
              <w:t>®</w:t>
            </w:r>
            <w:r w:rsidRPr="008F2EE2">
              <w:rPr>
                <w:rFonts w:ascii="Times New Roman" w:eastAsia="宋体" w:hAnsi="Times New Roman" w:cs="Times New Roman" w:hint="eastAsia"/>
                <w:szCs w:val="21"/>
              </w:rPr>
              <w:t>美国净价格是否有变化？</w:t>
            </w:r>
          </w:p>
          <w:p w14:paraId="6CF8EB64" w14:textId="13CFA5E9" w:rsidR="0036373D" w:rsidRPr="008F2EE2" w:rsidRDefault="0036373D" w:rsidP="00C258C8">
            <w:pPr>
              <w:spacing w:line="360" w:lineRule="auto"/>
              <w:ind w:firstLine="440"/>
              <w:rPr>
                <w:rFonts w:ascii="Times New Roman" w:eastAsia="宋体" w:hAnsi="Times New Roman" w:cs="Times New Roman"/>
                <w:szCs w:val="21"/>
              </w:rPr>
            </w:pPr>
            <w:r w:rsidRPr="008F2EE2">
              <w:rPr>
                <w:rFonts w:ascii="Times New Roman" w:eastAsia="宋体" w:hAnsi="Times New Roman" w:cs="Times New Roman" w:hint="eastAsia"/>
                <w:szCs w:val="21"/>
              </w:rPr>
              <w:t>A</w:t>
            </w:r>
            <w:r w:rsidRPr="008F2EE2">
              <w:rPr>
                <w:rFonts w:ascii="Times New Roman" w:eastAsia="宋体" w:hAnsi="Times New Roman" w:cs="Times New Roman" w:hint="eastAsia"/>
                <w:szCs w:val="21"/>
              </w:rPr>
              <w:t>：</w:t>
            </w:r>
            <w:r w:rsidR="00FD65B4" w:rsidRPr="0000129D">
              <w:rPr>
                <w:rFonts w:ascii="Times New Roman" w:eastAsia="宋体" w:hAnsi="Times New Roman" w:cs="Times New Roman"/>
                <w:szCs w:val="24"/>
                <w14:ligatures w14:val="none"/>
              </w:rPr>
              <w:t>定价角度，第二季度业绩表现包含中等</w:t>
            </w:r>
            <w:proofErr w:type="gramStart"/>
            <w:r w:rsidR="00FD65B4" w:rsidRPr="0000129D">
              <w:rPr>
                <w:rFonts w:ascii="Times New Roman" w:eastAsia="宋体" w:hAnsi="Times New Roman" w:cs="Times New Roman"/>
                <w:szCs w:val="24"/>
                <w14:ligatures w14:val="none"/>
              </w:rPr>
              <w:t>个</w:t>
            </w:r>
            <w:proofErr w:type="gramEnd"/>
            <w:r w:rsidR="00FD65B4" w:rsidRPr="0000129D">
              <w:rPr>
                <w:rFonts w:ascii="Times New Roman" w:eastAsia="宋体" w:hAnsi="Times New Roman" w:cs="Times New Roman"/>
                <w:szCs w:val="24"/>
                <w14:ligatures w14:val="none"/>
              </w:rPr>
              <w:t>位数百分比的提升，这主要与年初实施的年度价格上调相关。正如上季度所讲，公司作为特定小型生产企业（</w:t>
            </w:r>
            <w:r w:rsidR="00FD65B4" w:rsidRPr="0000129D">
              <w:rPr>
                <w:rFonts w:ascii="Times New Roman" w:eastAsia="宋体" w:hAnsi="Times New Roman" w:cs="Times New Roman"/>
                <w:szCs w:val="24"/>
                <w14:ligatures w14:val="none"/>
              </w:rPr>
              <w:t>Specified Small Manufacturer</w:t>
            </w:r>
            <w:r w:rsidR="00FD65B4" w:rsidRPr="0000129D">
              <w:rPr>
                <w:rFonts w:ascii="Times New Roman" w:eastAsia="宋体" w:hAnsi="Times New Roman" w:cs="Times New Roman"/>
                <w:szCs w:val="24"/>
                <w14:ligatures w14:val="none"/>
              </w:rPr>
              <w:t>），能从</w:t>
            </w:r>
            <w:r w:rsidR="00FD65B4" w:rsidRPr="0000129D">
              <w:rPr>
                <w:rFonts w:ascii="Times New Roman" w:eastAsia="宋体" w:hAnsi="Times New Roman" w:cs="Times New Roman"/>
                <w:szCs w:val="24"/>
                <w14:ligatures w14:val="none"/>
              </w:rPr>
              <w:t>Medicare Part D</w:t>
            </w:r>
            <w:r w:rsidR="00FD65B4" w:rsidRPr="0000129D">
              <w:rPr>
                <w:rFonts w:ascii="Times New Roman" w:eastAsia="宋体" w:hAnsi="Times New Roman" w:cs="Times New Roman"/>
                <w:szCs w:val="24"/>
                <w14:ligatures w14:val="none"/>
              </w:rPr>
              <w:t>改革净定价中获得小幅度额外收益。公司对百悦泽</w:t>
            </w:r>
            <w:r w:rsidR="00FD65B4" w:rsidRPr="0000129D">
              <w:rPr>
                <w:rFonts w:ascii="Times New Roman" w:eastAsia="宋体" w:hAnsi="Times New Roman" w:cs="Times New Roman"/>
                <w:szCs w:val="24"/>
                <w:vertAlign w:val="superscript"/>
                <w14:ligatures w14:val="none"/>
              </w:rPr>
              <w:t>®</w:t>
            </w:r>
            <w:r w:rsidR="00FD65B4" w:rsidRPr="0000129D">
              <w:rPr>
                <w:rFonts w:ascii="Times New Roman" w:eastAsia="宋体" w:hAnsi="Times New Roman" w:cs="Times New Roman"/>
                <w:szCs w:val="24"/>
                <w14:ligatures w14:val="none"/>
              </w:rPr>
              <w:t>的长期市场领先地位充满信心。</w:t>
            </w:r>
            <w:r w:rsidR="00601129" w:rsidRPr="008F2EE2">
              <w:rPr>
                <w:rFonts w:ascii="Times New Roman" w:eastAsia="宋体" w:hAnsi="Times New Roman" w:cs="Times New Roman" w:hint="eastAsia"/>
                <w:szCs w:val="21"/>
              </w:rPr>
              <w:t>公司预计年内将维持百悦泽</w:t>
            </w:r>
            <w:r w:rsidR="00601129" w:rsidRPr="008F2EE2">
              <w:rPr>
                <w:rFonts w:ascii="Times New Roman" w:eastAsia="宋体" w:hAnsi="Times New Roman" w:cs="Times New Roman"/>
                <w:szCs w:val="21"/>
                <w:vertAlign w:val="superscript"/>
              </w:rPr>
              <w:t>®</w:t>
            </w:r>
            <w:r w:rsidR="00601129" w:rsidRPr="008F2EE2">
              <w:rPr>
                <w:rFonts w:ascii="Times New Roman" w:eastAsia="宋体" w:hAnsi="Times New Roman" w:cs="Times New Roman" w:hint="eastAsia"/>
                <w:szCs w:val="21"/>
              </w:rPr>
              <w:t>价格稳定</w:t>
            </w:r>
            <w:r w:rsidR="004532E5" w:rsidRPr="008F2EE2">
              <w:rPr>
                <w:rFonts w:ascii="Times New Roman" w:eastAsia="宋体" w:hAnsi="Times New Roman" w:cs="Times New Roman" w:hint="eastAsia"/>
                <w:szCs w:val="21"/>
              </w:rPr>
              <w:t>。</w:t>
            </w:r>
          </w:p>
          <w:p w14:paraId="37E0F04E" w14:textId="77777777" w:rsidR="008B3752" w:rsidRPr="008F2EE2" w:rsidRDefault="008B3752" w:rsidP="00C258C8">
            <w:pPr>
              <w:spacing w:line="360" w:lineRule="auto"/>
              <w:ind w:firstLine="440"/>
              <w:rPr>
                <w:rFonts w:ascii="Times New Roman" w:eastAsia="宋体" w:hAnsi="Times New Roman" w:cs="Times New Roman"/>
                <w:szCs w:val="21"/>
              </w:rPr>
            </w:pPr>
          </w:p>
          <w:p w14:paraId="5EAA57AC" w14:textId="7679C0A8" w:rsidR="008B3752" w:rsidRPr="008F2EE2" w:rsidRDefault="008B3752" w:rsidP="00C258C8">
            <w:pPr>
              <w:spacing w:line="360" w:lineRule="auto"/>
              <w:ind w:firstLine="440"/>
              <w:rPr>
                <w:rFonts w:ascii="Times New Roman" w:eastAsia="宋体" w:hAnsi="Times New Roman" w:cs="Times New Roman"/>
                <w:szCs w:val="21"/>
              </w:rPr>
            </w:pPr>
            <w:r w:rsidRPr="008F2EE2">
              <w:rPr>
                <w:rFonts w:ascii="Times New Roman" w:eastAsia="宋体" w:hAnsi="Times New Roman" w:cs="Times New Roman" w:hint="eastAsia"/>
                <w:szCs w:val="21"/>
              </w:rPr>
              <w:t>Q</w:t>
            </w:r>
            <w:r w:rsidRPr="008F2EE2">
              <w:rPr>
                <w:rFonts w:ascii="Times New Roman" w:eastAsia="宋体" w:hAnsi="Times New Roman" w:cs="Times New Roman" w:hint="eastAsia"/>
                <w:szCs w:val="21"/>
              </w:rPr>
              <w:t>：请介绍公司针对百悦泽</w:t>
            </w:r>
            <w:r w:rsidRPr="008F2EE2">
              <w:rPr>
                <w:rFonts w:ascii="Times New Roman" w:eastAsia="宋体" w:hAnsi="Times New Roman" w:cs="Times New Roman" w:hint="eastAsia"/>
                <w:szCs w:val="21"/>
                <w:vertAlign w:val="superscript"/>
              </w:rPr>
              <w:t>®</w:t>
            </w:r>
            <w:proofErr w:type="gramStart"/>
            <w:r w:rsidRPr="008F2EE2">
              <w:rPr>
                <w:rFonts w:ascii="Times New Roman" w:eastAsia="宋体" w:hAnsi="Times New Roman" w:cs="Times New Roman" w:hint="eastAsia"/>
                <w:szCs w:val="21"/>
              </w:rPr>
              <w:t>和百泽安</w:t>
            </w:r>
            <w:proofErr w:type="gramEnd"/>
            <w:r w:rsidRPr="008F2EE2">
              <w:rPr>
                <w:rFonts w:ascii="Times New Roman" w:eastAsia="宋体" w:hAnsi="Times New Roman" w:cs="Times New Roman" w:hint="eastAsia"/>
                <w:szCs w:val="21"/>
                <w:vertAlign w:val="superscript"/>
              </w:rPr>
              <w:t>®</w:t>
            </w:r>
            <w:r w:rsidRPr="008F2EE2">
              <w:rPr>
                <w:rFonts w:ascii="Times New Roman" w:eastAsia="宋体" w:hAnsi="Times New Roman" w:cs="Times New Roman" w:hint="eastAsia"/>
                <w:szCs w:val="21"/>
              </w:rPr>
              <w:t>的全球药政拓展情况。</w:t>
            </w:r>
          </w:p>
          <w:p w14:paraId="5D177086" w14:textId="77777777" w:rsidR="004532E5" w:rsidRPr="00E31B2F" w:rsidRDefault="008B3752" w:rsidP="00C258C8">
            <w:pPr>
              <w:spacing w:line="360" w:lineRule="auto"/>
              <w:ind w:firstLine="440"/>
              <w:rPr>
                <w:rFonts w:ascii="Times New Roman" w:eastAsia="宋体" w:hAnsi="Times New Roman" w:cs="Times New Roman"/>
                <w:szCs w:val="21"/>
              </w:rPr>
            </w:pPr>
            <w:r w:rsidRPr="008F2EE2">
              <w:rPr>
                <w:rFonts w:ascii="Times New Roman" w:eastAsia="宋体" w:hAnsi="Times New Roman" w:cs="Times New Roman" w:hint="eastAsia"/>
                <w:szCs w:val="21"/>
              </w:rPr>
              <w:t>A</w:t>
            </w:r>
            <w:r w:rsidRPr="008F2EE2">
              <w:rPr>
                <w:rFonts w:ascii="Times New Roman" w:eastAsia="宋体" w:hAnsi="Times New Roman" w:cs="Times New Roman" w:hint="eastAsia"/>
                <w:szCs w:val="21"/>
              </w:rPr>
              <w:t>：</w:t>
            </w:r>
            <w:r w:rsidRPr="00E31B2F">
              <w:rPr>
                <w:rFonts w:ascii="Times New Roman" w:eastAsia="宋体" w:hAnsi="Times New Roman" w:cs="Times New Roman" w:hint="eastAsia"/>
                <w:szCs w:val="21"/>
              </w:rPr>
              <w:t>百悦泽</w:t>
            </w:r>
            <w:r w:rsidRPr="00E31B2F">
              <w:rPr>
                <w:rFonts w:ascii="Times New Roman" w:eastAsia="宋体" w:hAnsi="Times New Roman" w:cs="Times New Roman" w:hint="eastAsia"/>
                <w:szCs w:val="21"/>
                <w:vertAlign w:val="superscript"/>
              </w:rPr>
              <w:t>®</w:t>
            </w:r>
            <w:r w:rsidRPr="00E31B2F">
              <w:rPr>
                <w:rFonts w:ascii="Times New Roman" w:eastAsia="宋体" w:hAnsi="Times New Roman" w:cs="Times New Roman" w:hint="eastAsia"/>
                <w:szCs w:val="21"/>
              </w:rPr>
              <w:t>目前已在全球</w:t>
            </w:r>
            <w:r w:rsidRPr="00E31B2F">
              <w:rPr>
                <w:rFonts w:ascii="Times New Roman" w:eastAsia="宋体" w:hAnsi="Times New Roman" w:cs="Times New Roman" w:hint="eastAsia"/>
                <w:szCs w:val="21"/>
              </w:rPr>
              <w:t>75</w:t>
            </w:r>
            <w:r w:rsidRPr="00E31B2F">
              <w:rPr>
                <w:rFonts w:ascii="Times New Roman" w:eastAsia="宋体" w:hAnsi="Times New Roman" w:cs="Times New Roman" w:hint="eastAsia"/>
                <w:szCs w:val="21"/>
              </w:rPr>
              <w:t>个市场获批，本季度在</w:t>
            </w:r>
            <w:r w:rsidRPr="00E31B2F">
              <w:rPr>
                <w:rFonts w:ascii="Times New Roman" w:eastAsia="宋体" w:hAnsi="Times New Roman" w:cs="Times New Roman" w:hint="eastAsia"/>
                <w:szCs w:val="21"/>
              </w:rPr>
              <w:t>5</w:t>
            </w:r>
            <w:r w:rsidRPr="00E31B2F">
              <w:rPr>
                <w:rFonts w:ascii="Times New Roman" w:eastAsia="宋体" w:hAnsi="Times New Roman" w:cs="Times New Roman" w:hint="eastAsia"/>
                <w:szCs w:val="21"/>
              </w:rPr>
              <w:t>个市场新增纳入或扩大报销范围。</w:t>
            </w:r>
            <w:proofErr w:type="gramStart"/>
            <w:r w:rsidRPr="00E31B2F">
              <w:rPr>
                <w:rFonts w:ascii="Times New Roman" w:eastAsia="宋体" w:hAnsi="Times New Roman" w:cs="Times New Roman" w:hint="eastAsia"/>
                <w:szCs w:val="21"/>
              </w:rPr>
              <w:t>百泽安</w:t>
            </w:r>
            <w:proofErr w:type="gramEnd"/>
            <w:r w:rsidRPr="00E31B2F">
              <w:rPr>
                <w:rFonts w:ascii="Times New Roman" w:eastAsia="宋体" w:hAnsi="Times New Roman" w:cs="Times New Roman" w:hint="eastAsia"/>
                <w:szCs w:val="21"/>
                <w:vertAlign w:val="superscript"/>
              </w:rPr>
              <w:t>®</w:t>
            </w:r>
            <w:r w:rsidRPr="00E31B2F">
              <w:rPr>
                <w:rFonts w:ascii="Times New Roman" w:eastAsia="宋体" w:hAnsi="Times New Roman" w:cs="Times New Roman" w:hint="eastAsia"/>
                <w:szCs w:val="21"/>
              </w:rPr>
              <w:t>目前已在全球</w:t>
            </w:r>
            <w:r w:rsidRPr="00E31B2F">
              <w:rPr>
                <w:rFonts w:ascii="Times New Roman" w:eastAsia="宋体" w:hAnsi="Times New Roman" w:cs="Times New Roman" w:hint="eastAsia"/>
                <w:szCs w:val="21"/>
              </w:rPr>
              <w:t>47</w:t>
            </w:r>
            <w:r w:rsidRPr="00E31B2F">
              <w:rPr>
                <w:rFonts w:ascii="Times New Roman" w:eastAsia="宋体" w:hAnsi="Times New Roman" w:cs="Times New Roman" w:hint="eastAsia"/>
                <w:szCs w:val="21"/>
              </w:rPr>
              <w:t>个市场获批，本季度在</w:t>
            </w:r>
            <w:r w:rsidRPr="00E31B2F">
              <w:rPr>
                <w:rFonts w:ascii="Times New Roman" w:eastAsia="宋体" w:hAnsi="Times New Roman" w:cs="Times New Roman" w:hint="eastAsia"/>
                <w:szCs w:val="21"/>
              </w:rPr>
              <w:t>20</w:t>
            </w:r>
            <w:r w:rsidRPr="00E31B2F">
              <w:rPr>
                <w:rFonts w:ascii="Times New Roman" w:eastAsia="宋体" w:hAnsi="Times New Roman" w:cs="Times New Roman" w:hint="eastAsia"/>
                <w:szCs w:val="21"/>
              </w:rPr>
              <w:t>个市场新增纳入报销范围，包括日本、欧洲和澳大利亚。不仅覆盖了美国、欧盟、中国和日本等主要市场，还在众多新兴市场获得了批准。公司将持续拓展百悦泽</w:t>
            </w:r>
            <w:r w:rsidRPr="00E31B2F">
              <w:rPr>
                <w:rFonts w:ascii="Times New Roman" w:eastAsia="宋体" w:hAnsi="Times New Roman" w:cs="Times New Roman" w:hint="eastAsia"/>
                <w:szCs w:val="21"/>
                <w:vertAlign w:val="superscript"/>
              </w:rPr>
              <w:t>®</w:t>
            </w:r>
            <w:proofErr w:type="gramStart"/>
            <w:r w:rsidRPr="00E31B2F">
              <w:rPr>
                <w:rFonts w:ascii="Times New Roman" w:eastAsia="宋体" w:hAnsi="Times New Roman" w:cs="Times New Roman" w:hint="eastAsia"/>
                <w:szCs w:val="21"/>
              </w:rPr>
              <w:t>和百泽安</w:t>
            </w:r>
            <w:proofErr w:type="gramEnd"/>
            <w:r w:rsidRPr="00E31B2F">
              <w:rPr>
                <w:rFonts w:ascii="Times New Roman" w:eastAsia="宋体" w:hAnsi="Times New Roman" w:cs="Times New Roman" w:hint="eastAsia"/>
                <w:szCs w:val="21"/>
                <w:vertAlign w:val="superscript"/>
              </w:rPr>
              <w:t>®</w:t>
            </w:r>
            <w:r w:rsidRPr="00E31B2F">
              <w:rPr>
                <w:rFonts w:ascii="Times New Roman" w:eastAsia="宋体" w:hAnsi="Times New Roman" w:cs="Times New Roman" w:hint="eastAsia"/>
                <w:szCs w:val="21"/>
              </w:rPr>
              <w:t>的全球药政注册项目，致力于让全世界更多的患者能够获得创新和</w:t>
            </w:r>
            <w:proofErr w:type="gramStart"/>
            <w:r w:rsidRPr="00E31B2F">
              <w:rPr>
                <w:rFonts w:ascii="Times New Roman" w:eastAsia="宋体" w:hAnsi="Times New Roman" w:cs="Times New Roman" w:hint="eastAsia"/>
                <w:szCs w:val="21"/>
              </w:rPr>
              <w:t>可</w:t>
            </w:r>
            <w:proofErr w:type="gramEnd"/>
            <w:r w:rsidRPr="00E31B2F">
              <w:rPr>
                <w:rFonts w:ascii="Times New Roman" w:eastAsia="宋体" w:hAnsi="Times New Roman" w:cs="Times New Roman" w:hint="eastAsia"/>
                <w:szCs w:val="21"/>
              </w:rPr>
              <w:t>负担的药物，为全球患者改善治疗效果、提高药物可及性。</w:t>
            </w:r>
          </w:p>
          <w:p w14:paraId="5E8C0607" w14:textId="6744B6F1" w:rsidR="00C258C8" w:rsidRPr="008F2EE2" w:rsidRDefault="00C258C8" w:rsidP="00C258C8">
            <w:pPr>
              <w:spacing w:line="360" w:lineRule="auto"/>
              <w:ind w:firstLine="440"/>
              <w:rPr>
                <w:rFonts w:ascii="Times New Roman" w:eastAsia="宋体" w:hAnsi="Times New Roman" w:cs="Times New Roman"/>
                <w:szCs w:val="21"/>
              </w:rPr>
            </w:pPr>
          </w:p>
          <w:p w14:paraId="1B4BD488" w14:textId="77777777" w:rsidR="00FE7FA4" w:rsidRPr="008F2EE2" w:rsidRDefault="00FE7FA4" w:rsidP="00C258C8">
            <w:pPr>
              <w:spacing w:line="360" w:lineRule="auto"/>
              <w:ind w:firstLine="440"/>
              <w:rPr>
                <w:rFonts w:ascii="Times New Roman" w:eastAsia="宋体" w:hAnsi="Times New Roman" w:cs="Times New Roman"/>
                <w:szCs w:val="21"/>
              </w:rPr>
            </w:pPr>
            <w:r w:rsidRPr="008F2EE2">
              <w:rPr>
                <w:rFonts w:ascii="Times New Roman" w:eastAsia="宋体" w:hAnsi="Times New Roman" w:cs="Times New Roman" w:hint="eastAsia"/>
                <w:szCs w:val="21"/>
              </w:rPr>
              <w:t>Q</w:t>
            </w:r>
            <w:r w:rsidRPr="008F2EE2">
              <w:rPr>
                <w:rFonts w:ascii="Times New Roman" w:eastAsia="宋体" w:hAnsi="Times New Roman" w:cs="Times New Roman" w:hint="eastAsia"/>
                <w:szCs w:val="21"/>
              </w:rPr>
              <w:t>：公司按地区分的收入结构未来趋势如何？</w:t>
            </w:r>
          </w:p>
          <w:p w14:paraId="68CE1DB9" w14:textId="62E60F2D" w:rsidR="00FE7FA4" w:rsidRPr="00B0641F" w:rsidRDefault="00FE7FA4" w:rsidP="00C258C8">
            <w:pPr>
              <w:spacing w:line="360" w:lineRule="auto"/>
              <w:ind w:firstLine="440"/>
              <w:rPr>
                <w:rFonts w:ascii="Times New Roman" w:eastAsia="宋体" w:hAnsi="Times New Roman" w:cs="Times New Roman"/>
                <w:szCs w:val="21"/>
              </w:rPr>
            </w:pPr>
            <w:r w:rsidRPr="008F2EE2">
              <w:rPr>
                <w:rFonts w:ascii="Times New Roman" w:eastAsia="宋体" w:hAnsi="Times New Roman" w:cs="Times New Roman" w:hint="eastAsia"/>
                <w:szCs w:val="21"/>
              </w:rPr>
              <w:t>A</w:t>
            </w:r>
            <w:r w:rsidRPr="008F2EE2">
              <w:rPr>
                <w:rFonts w:ascii="Times New Roman" w:eastAsia="宋体" w:hAnsi="Times New Roman" w:cs="Times New Roman" w:hint="eastAsia"/>
                <w:szCs w:val="21"/>
              </w:rPr>
              <w:t>：</w:t>
            </w:r>
            <w:r w:rsidRPr="00B0641F">
              <w:rPr>
                <w:rFonts w:ascii="Times New Roman" w:eastAsia="宋体" w:hAnsi="Times New Roman" w:cs="Times New Roman" w:hint="eastAsia"/>
                <w:szCs w:val="21"/>
              </w:rPr>
              <w:t>2025</w:t>
            </w:r>
            <w:r w:rsidRPr="00B0641F">
              <w:rPr>
                <w:rFonts w:ascii="Times New Roman" w:eastAsia="宋体" w:hAnsi="Times New Roman" w:cs="Times New Roman" w:hint="eastAsia"/>
                <w:szCs w:val="21"/>
              </w:rPr>
              <w:t>年第二季度，美国依然是公司的最大市场，同比增长</w:t>
            </w:r>
            <w:r w:rsidRPr="00B0641F">
              <w:rPr>
                <w:rFonts w:ascii="Times New Roman" w:eastAsia="宋体" w:hAnsi="Times New Roman" w:cs="Times New Roman"/>
                <w:szCs w:val="21"/>
              </w:rPr>
              <w:t>43%</w:t>
            </w:r>
            <w:r w:rsidRPr="00B0641F">
              <w:rPr>
                <w:rFonts w:ascii="Times New Roman" w:eastAsia="宋体" w:hAnsi="Times New Roman" w:cs="Times New Roman" w:hint="eastAsia"/>
                <w:szCs w:val="21"/>
              </w:rPr>
              <w:t>；</w:t>
            </w:r>
            <w:r w:rsidRPr="00B0641F">
              <w:rPr>
                <w:rFonts w:ascii="Times New Roman" w:eastAsia="宋体" w:hAnsi="Times New Roman" w:cs="Times New Roman"/>
                <w:szCs w:val="21"/>
              </w:rPr>
              <w:t>中国是第二大贡献者</w:t>
            </w:r>
            <w:r w:rsidRPr="00B0641F">
              <w:rPr>
                <w:rFonts w:ascii="Times New Roman" w:eastAsia="宋体" w:hAnsi="Times New Roman" w:cs="Times New Roman" w:hint="eastAsia"/>
                <w:szCs w:val="21"/>
              </w:rPr>
              <w:t>，同比增长</w:t>
            </w:r>
            <w:r w:rsidRPr="00B0641F">
              <w:rPr>
                <w:rFonts w:ascii="Times New Roman" w:eastAsia="宋体" w:hAnsi="Times New Roman" w:cs="Times New Roman"/>
                <w:szCs w:val="21"/>
              </w:rPr>
              <w:t>23%</w:t>
            </w:r>
            <w:r w:rsidRPr="00B0641F">
              <w:rPr>
                <w:rFonts w:ascii="Times New Roman" w:eastAsia="宋体" w:hAnsi="Times New Roman" w:cs="Times New Roman" w:hint="eastAsia"/>
                <w:szCs w:val="21"/>
              </w:rPr>
              <w:t>。其次是处于上市早期阶段的欧洲，在所有主要市场的份额不断提升，同比增长</w:t>
            </w:r>
            <w:r w:rsidRPr="00B0641F">
              <w:rPr>
                <w:rFonts w:ascii="Times New Roman" w:eastAsia="宋体" w:hAnsi="Times New Roman" w:cs="Times New Roman" w:hint="eastAsia"/>
                <w:szCs w:val="21"/>
              </w:rPr>
              <w:t>87%</w:t>
            </w:r>
            <w:r w:rsidRPr="00B0641F">
              <w:rPr>
                <w:rFonts w:ascii="Times New Roman" w:eastAsia="宋体" w:hAnsi="Times New Roman" w:cs="Times New Roman" w:hint="eastAsia"/>
                <w:szCs w:val="21"/>
              </w:rPr>
              <w:t>。全球其他市场处于上市更早期阶段，得益于市场扩张和新产品上市，同比增长</w:t>
            </w:r>
            <w:r w:rsidRPr="00B0641F">
              <w:rPr>
                <w:rFonts w:ascii="Times New Roman" w:eastAsia="宋体" w:hAnsi="Times New Roman" w:cs="Times New Roman"/>
                <w:szCs w:val="21"/>
              </w:rPr>
              <w:t>168%</w:t>
            </w:r>
            <w:r w:rsidRPr="00B0641F">
              <w:rPr>
                <w:rFonts w:ascii="Times New Roman" w:eastAsia="宋体" w:hAnsi="Times New Roman" w:cs="Times New Roman" w:hint="eastAsia"/>
                <w:szCs w:val="21"/>
              </w:rPr>
              <w:t>。百悦泽</w:t>
            </w:r>
            <w:r w:rsidRPr="00B0641F">
              <w:rPr>
                <w:rFonts w:ascii="Times New Roman" w:eastAsia="宋体" w:hAnsi="Times New Roman" w:cs="Times New Roman" w:hint="eastAsia"/>
                <w:szCs w:val="21"/>
                <w:vertAlign w:val="superscript"/>
              </w:rPr>
              <w:t>®</w:t>
            </w:r>
            <w:r w:rsidRPr="00B0641F">
              <w:rPr>
                <w:rFonts w:ascii="Times New Roman" w:eastAsia="宋体" w:hAnsi="Times New Roman" w:cs="Times New Roman" w:hint="eastAsia"/>
                <w:szCs w:val="21"/>
              </w:rPr>
              <w:t>于</w:t>
            </w:r>
            <w:r w:rsidRPr="00B0641F">
              <w:rPr>
                <w:rFonts w:ascii="Times New Roman" w:eastAsia="宋体" w:hAnsi="Times New Roman" w:cs="Times New Roman" w:hint="eastAsia"/>
                <w:szCs w:val="21"/>
              </w:rPr>
              <w:t>3</w:t>
            </w:r>
            <w:r w:rsidRPr="00B0641F">
              <w:rPr>
                <w:rFonts w:ascii="Times New Roman" w:eastAsia="宋体" w:hAnsi="Times New Roman" w:cs="Times New Roman" w:hint="eastAsia"/>
                <w:szCs w:val="21"/>
              </w:rPr>
              <w:t>月在日本上市，并在上市后三个月成为同类药物中增速最快的产品。</w:t>
            </w:r>
            <w:proofErr w:type="gramStart"/>
            <w:r w:rsidRPr="00B0641F">
              <w:rPr>
                <w:rFonts w:ascii="Times New Roman" w:eastAsia="宋体" w:hAnsi="Times New Roman" w:cs="Times New Roman" w:hint="eastAsia"/>
                <w:szCs w:val="21"/>
              </w:rPr>
              <w:t>百泽安</w:t>
            </w:r>
            <w:proofErr w:type="gramEnd"/>
            <w:r w:rsidRPr="00B0641F">
              <w:rPr>
                <w:rFonts w:ascii="Times New Roman" w:eastAsia="宋体" w:hAnsi="Times New Roman" w:cs="Times New Roman" w:hint="eastAsia"/>
                <w:szCs w:val="21"/>
                <w:vertAlign w:val="superscript"/>
              </w:rPr>
              <w:t>®</w:t>
            </w:r>
            <w:r w:rsidRPr="00B0641F">
              <w:rPr>
                <w:rFonts w:ascii="Times New Roman" w:eastAsia="宋体" w:hAnsi="Times New Roman" w:cs="Times New Roman" w:hint="eastAsia"/>
                <w:szCs w:val="21"/>
              </w:rPr>
              <w:t>也陆续进入日本、韩国和巴西等市场，早期市场反馈良好。当前公司业务</w:t>
            </w:r>
            <w:r w:rsidRPr="00B0641F">
              <w:rPr>
                <w:rFonts w:ascii="Times New Roman" w:eastAsia="宋体" w:hAnsi="Times New Roman" w:cs="Times New Roman"/>
                <w:szCs w:val="21"/>
              </w:rPr>
              <w:t>在</w:t>
            </w:r>
            <w:r w:rsidRPr="00B0641F">
              <w:rPr>
                <w:rFonts w:ascii="Times New Roman" w:eastAsia="宋体" w:hAnsi="Times New Roman" w:cs="Times New Roman" w:hint="eastAsia"/>
                <w:szCs w:val="21"/>
              </w:rPr>
              <w:t>全球</w:t>
            </w:r>
            <w:r w:rsidRPr="00B0641F">
              <w:rPr>
                <w:rFonts w:ascii="Times New Roman" w:eastAsia="宋体" w:hAnsi="Times New Roman" w:cs="Times New Roman"/>
                <w:szCs w:val="21"/>
              </w:rPr>
              <w:t>不断扩张，</w:t>
            </w:r>
            <w:r w:rsidRPr="00B0641F">
              <w:rPr>
                <w:rFonts w:ascii="Times New Roman" w:eastAsia="宋体" w:hAnsi="Times New Roman" w:cs="Times New Roman" w:hint="eastAsia"/>
                <w:szCs w:val="21"/>
              </w:rPr>
              <w:t>且每个</w:t>
            </w:r>
            <w:r w:rsidRPr="00B0641F">
              <w:rPr>
                <w:rFonts w:ascii="Times New Roman" w:eastAsia="宋体" w:hAnsi="Times New Roman" w:cs="Times New Roman"/>
                <w:szCs w:val="21"/>
              </w:rPr>
              <w:t>地区的增长速度</w:t>
            </w:r>
            <w:r w:rsidRPr="00B0641F">
              <w:rPr>
                <w:rFonts w:ascii="Times New Roman" w:eastAsia="宋体" w:hAnsi="Times New Roman" w:cs="Times New Roman" w:hint="eastAsia"/>
                <w:szCs w:val="21"/>
              </w:rPr>
              <w:t>各异，公司</w:t>
            </w:r>
            <w:r w:rsidRPr="00B0641F">
              <w:rPr>
                <w:rFonts w:ascii="Times New Roman" w:eastAsia="宋体" w:hAnsi="Times New Roman" w:cs="Times New Roman"/>
                <w:szCs w:val="21"/>
              </w:rPr>
              <w:t>预计</w:t>
            </w:r>
            <w:r w:rsidRPr="00B0641F">
              <w:rPr>
                <w:rFonts w:ascii="Times New Roman" w:eastAsia="宋体" w:hAnsi="Times New Roman" w:cs="Times New Roman" w:hint="eastAsia"/>
                <w:szCs w:val="21"/>
              </w:rPr>
              <w:t>按地区分的</w:t>
            </w:r>
            <w:r w:rsidRPr="00B0641F">
              <w:rPr>
                <w:rFonts w:ascii="Times New Roman" w:eastAsia="宋体" w:hAnsi="Times New Roman" w:cs="Times New Roman"/>
                <w:szCs w:val="21"/>
              </w:rPr>
              <w:t>收入</w:t>
            </w:r>
            <w:r w:rsidRPr="00B0641F">
              <w:rPr>
                <w:rFonts w:ascii="Times New Roman" w:eastAsia="宋体" w:hAnsi="Times New Roman" w:cs="Times New Roman" w:hint="eastAsia"/>
                <w:szCs w:val="21"/>
              </w:rPr>
              <w:t>结构</w:t>
            </w:r>
            <w:r w:rsidRPr="00B0641F">
              <w:rPr>
                <w:rFonts w:ascii="Times New Roman" w:eastAsia="宋体" w:hAnsi="Times New Roman" w:cs="Times New Roman"/>
                <w:szCs w:val="21"/>
              </w:rPr>
              <w:t>将随着时间逐渐</w:t>
            </w:r>
            <w:r w:rsidRPr="00B0641F">
              <w:rPr>
                <w:rFonts w:ascii="Times New Roman" w:eastAsia="宋体" w:hAnsi="Times New Roman" w:cs="Times New Roman" w:hint="eastAsia"/>
                <w:szCs w:val="21"/>
              </w:rPr>
              <w:t>多元化</w:t>
            </w:r>
            <w:r w:rsidRPr="00B0641F">
              <w:rPr>
                <w:rFonts w:ascii="Times New Roman" w:eastAsia="宋体" w:hAnsi="Times New Roman" w:cs="Times New Roman"/>
                <w:szCs w:val="21"/>
              </w:rPr>
              <w:t>。</w:t>
            </w:r>
          </w:p>
          <w:p w14:paraId="1A98AC81" w14:textId="77777777" w:rsidR="00C258C8" w:rsidRPr="008F2EE2" w:rsidRDefault="00C258C8" w:rsidP="00B0641F">
            <w:pPr>
              <w:spacing w:line="360" w:lineRule="auto"/>
              <w:rPr>
                <w:rFonts w:ascii="Times New Roman" w:eastAsia="宋体" w:hAnsi="Times New Roman" w:cs="Times New Roman"/>
                <w:szCs w:val="21"/>
              </w:rPr>
            </w:pPr>
          </w:p>
          <w:p w14:paraId="5D6A0BE9" w14:textId="77777777" w:rsidR="00D87A74" w:rsidRPr="008F2EE2" w:rsidRDefault="00D87A74" w:rsidP="00C258C8">
            <w:pPr>
              <w:spacing w:line="360" w:lineRule="auto"/>
              <w:ind w:firstLine="440"/>
              <w:rPr>
                <w:rFonts w:ascii="Times New Roman" w:eastAsia="宋体" w:hAnsi="Times New Roman" w:cs="Times New Roman"/>
                <w:szCs w:val="21"/>
              </w:rPr>
            </w:pPr>
            <w:r w:rsidRPr="008F2EE2">
              <w:rPr>
                <w:rFonts w:ascii="Times New Roman" w:eastAsia="宋体" w:hAnsi="Times New Roman" w:cs="Times New Roman" w:hint="eastAsia"/>
                <w:szCs w:val="21"/>
              </w:rPr>
              <w:t xml:space="preserve">Q: </w:t>
            </w:r>
            <w:r w:rsidRPr="008F2EE2">
              <w:rPr>
                <w:rFonts w:ascii="Times New Roman" w:eastAsia="宋体" w:hAnsi="Times New Roman" w:cs="Times New Roman" w:hint="eastAsia"/>
                <w:szCs w:val="21"/>
              </w:rPr>
              <w:t>公司调整收入指引下限的原因？</w:t>
            </w:r>
            <w:r w:rsidRPr="008F2EE2">
              <w:rPr>
                <w:rFonts w:ascii="Times New Roman" w:eastAsia="宋体" w:hAnsi="Times New Roman" w:cs="Times New Roman" w:hint="eastAsia"/>
                <w:szCs w:val="21"/>
              </w:rPr>
              <w:t xml:space="preserve"> </w:t>
            </w:r>
          </w:p>
          <w:p w14:paraId="4857D983" w14:textId="1A2385B7" w:rsidR="00D87A74" w:rsidRPr="008F2EE2" w:rsidRDefault="00D87A74" w:rsidP="00C258C8">
            <w:pPr>
              <w:spacing w:line="360" w:lineRule="auto"/>
              <w:ind w:firstLine="440"/>
              <w:rPr>
                <w:rFonts w:ascii="Times New Roman" w:eastAsia="宋体" w:hAnsi="Times New Roman" w:cs="Times New Roman"/>
                <w:szCs w:val="21"/>
              </w:rPr>
            </w:pPr>
            <w:r w:rsidRPr="008F2EE2">
              <w:rPr>
                <w:rFonts w:ascii="Times New Roman" w:eastAsia="宋体" w:hAnsi="Times New Roman" w:cs="Times New Roman" w:hint="eastAsia"/>
                <w:szCs w:val="21"/>
              </w:rPr>
              <w:lastRenderedPageBreak/>
              <w:t>A</w:t>
            </w:r>
            <w:r w:rsidRPr="008F2EE2">
              <w:rPr>
                <w:rFonts w:ascii="Times New Roman" w:eastAsia="宋体" w:hAnsi="Times New Roman" w:cs="Times New Roman" w:hint="eastAsia"/>
                <w:szCs w:val="21"/>
              </w:rPr>
              <w:t>：</w:t>
            </w:r>
            <w:r w:rsidRPr="008B158F">
              <w:rPr>
                <w:rFonts w:ascii="Times New Roman" w:eastAsia="宋体" w:hAnsi="Times New Roman" w:cs="Times New Roman" w:hint="eastAsia"/>
                <w:sz w:val="22"/>
              </w:rPr>
              <w:t>百济神州</w:t>
            </w:r>
            <w:r w:rsidRPr="008B158F">
              <w:rPr>
                <w:rFonts w:ascii="Times New Roman" w:eastAsia="宋体" w:hAnsi="Times New Roman" w:cs="Times New Roman" w:hint="eastAsia"/>
                <w:sz w:val="22"/>
              </w:rPr>
              <w:t>2025</w:t>
            </w:r>
            <w:r w:rsidRPr="008B158F">
              <w:rPr>
                <w:rFonts w:ascii="Times New Roman" w:eastAsia="宋体" w:hAnsi="Times New Roman" w:cs="Times New Roman" w:hint="eastAsia"/>
                <w:sz w:val="22"/>
              </w:rPr>
              <w:t>年全年总收入指引为</w:t>
            </w:r>
            <w:r w:rsidRPr="008B158F">
              <w:rPr>
                <w:rFonts w:ascii="Times New Roman" w:eastAsia="宋体" w:hAnsi="Times New Roman" w:cs="Times New Roman" w:hint="eastAsia"/>
                <w:sz w:val="22"/>
              </w:rPr>
              <w:t>50</w:t>
            </w:r>
            <w:r w:rsidRPr="008B158F">
              <w:rPr>
                <w:rFonts w:ascii="Times New Roman" w:eastAsia="宋体" w:hAnsi="Times New Roman" w:cs="Times New Roman" w:hint="eastAsia"/>
                <w:sz w:val="22"/>
              </w:rPr>
              <w:t>亿美元至</w:t>
            </w:r>
            <w:r w:rsidRPr="008B158F">
              <w:rPr>
                <w:rFonts w:ascii="Times New Roman" w:eastAsia="宋体" w:hAnsi="Times New Roman" w:cs="Times New Roman" w:hint="eastAsia"/>
                <w:sz w:val="22"/>
              </w:rPr>
              <w:t>53</w:t>
            </w:r>
            <w:r w:rsidRPr="008B158F">
              <w:rPr>
                <w:rFonts w:ascii="Times New Roman" w:eastAsia="宋体" w:hAnsi="Times New Roman" w:cs="Times New Roman" w:hint="eastAsia"/>
                <w:sz w:val="22"/>
              </w:rPr>
              <w:t>亿美元，其中包括收入强劲增长的预期，受益于百悦泽</w:t>
            </w:r>
            <w:r w:rsidRPr="008B158F">
              <w:rPr>
                <w:rFonts w:ascii="Times New Roman" w:eastAsia="宋体" w:hAnsi="Times New Roman" w:cs="Times New Roman" w:hint="eastAsia"/>
                <w:szCs w:val="24"/>
                <w:vertAlign w:val="superscript"/>
                <w14:ligatures w14:val="none"/>
              </w:rPr>
              <w:t>®</w:t>
            </w:r>
            <w:r w:rsidRPr="008B158F">
              <w:rPr>
                <w:rFonts w:ascii="Times New Roman" w:eastAsia="宋体" w:hAnsi="Times New Roman" w:cs="Times New Roman" w:hint="eastAsia"/>
                <w:sz w:val="22"/>
              </w:rPr>
              <w:t>在美国的领先地位以及在欧洲和全球其他重要市场的持续扩张。</w:t>
            </w:r>
          </w:p>
          <w:p w14:paraId="22CDBA88" w14:textId="77777777" w:rsidR="00C258C8" w:rsidRPr="008F2EE2" w:rsidRDefault="00C258C8" w:rsidP="00C258C8">
            <w:pPr>
              <w:spacing w:line="360" w:lineRule="auto"/>
              <w:ind w:firstLine="440"/>
              <w:rPr>
                <w:rFonts w:ascii="Times New Roman" w:eastAsia="宋体" w:hAnsi="Times New Roman" w:cs="Times New Roman"/>
                <w:szCs w:val="21"/>
              </w:rPr>
            </w:pPr>
          </w:p>
          <w:p w14:paraId="7B7BDFB8" w14:textId="77777777" w:rsidR="007F3F5E" w:rsidRPr="008F2EE2" w:rsidRDefault="007F3F5E" w:rsidP="00C258C8">
            <w:pPr>
              <w:spacing w:line="360" w:lineRule="auto"/>
              <w:ind w:firstLine="440"/>
              <w:rPr>
                <w:rFonts w:ascii="Times New Roman" w:eastAsia="宋体" w:hAnsi="Times New Roman" w:cs="Times New Roman"/>
                <w:szCs w:val="21"/>
              </w:rPr>
            </w:pPr>
            <w:r w:rsidRPr="008F2EE2">
              <w:rPr>
                <w:rFonts w:ascii="Times New Roman" w:eastAsia="宋体" w:hAnsi="Times New Roman" w:cs="Times New Roman" w:hint="eastAsia"/>
                <w:szCs w:val="21"/>
              </w:rPr>
              <w:t>Q</w:t>
            </w:r>
            <w:r w:rsidRPr="008F2EE2">
              <w:rPr>
                <w:rFonts w:ascii="Times New Roman" w:eastAsia="宋体" w:hAnsi="Times New Roman" w:cs="Times New Roman" w:hint="eastAsia"/>
                <w:szCs w:val="21"/>
              </w:rPr>
              <w:t>：公司</w:t>
            </w:r>
            <w:r w:rsidRPr="008F2EE2">
              <w:rPr>
                <w:rFonts w:ascii="Times New Roman" w:eastAsia="宋体" w:hAnsi="Times New Roman" w:cs="Times New Roman"/>
                <w:szCs w:val="21"/>
              </w:rPr>
              <w:t>是如何控制</w:t>
            </w:r>
            <w:r w:rsidRPr="008F2EE2">
              <w:rPr>
                <w:rFonts w:ascii="Times New Roman" w:eastAsia="宋体" w:hAnsi="Times New Roman" w:cs="Times New Roman" w:hint="eastAsia"/>
                <w:szCs w:val="21"/>
              </w:rPr>
              <w:t>产品生产</w:t>
            </w:r>
            <w:r w:rsidRPr="008F2EE2">
              <w:rPr>
                <w:rFonts w:ascii="Times New Roman" w:eastAsia="宋体" w:hAnsi="Times New Roman" w:cs="Times New Roman"/>
                <w:szCs w:val="21"/>
              </w:rPr>
              <w:t>成本并进行优化的？</w:t>
            </w:r>
            <w:r w:rsidRPr="008F2EE2">
              <w:rPr>
                <w:rFonts w:ascii="Times New Roman" w:eastAsia="宋体" w:hAnsi="Times New Roman" w:cs="Times New Roman" w:hint="eastAsia"/>
                <w:szCs w:val="21"/>
              </w:rPr>
              <w:t>更新的毛利率指引是否考虑了未来</w:t>
            </w:r>
            <w:r w:rsidRPr="008F2EE2">
              <w:rPr>
                <w:rFonts w:ascii="Times New Roman" w:eastAsia="宋体" w:hAnsi="Times New Roman" w:cs="Times New Roman"/>
                <w:szCs w:val="21"/>
              </w:rPr>
              <w:t>潜在的美国药品进口关税</w:t>
            </w:r>
            <w:r w:rsidRPr="008F2EE2">
              <w:rPr>
                <w:rFonts w:ascii="Times New Roman" w:eastAsia="宋体" w:hAnsi="Times New Roman" w:cs="Times New Roman" w:hint="eastAsia"/>
                <w:szCs w:val="21"/>
              </w:rPr>
              <w:t>的影响？</w:t>
            </w:r>
          </w:p>
          <w:p w14:paraId="5A428A0E" w14:textId="756F0CE0" w:rsidR="007F3F5E" w:rsidRPr="008F2EE2" w:rsidRDefault="007F3F5E" w:rsidP="00C258C8">
            <w:pPr>
              <w:spacing w:line="360" w:lineRule="auto"/>
              <w:ind w:firstLine="440"/>
              <w:rPr>
                <w:rFonts w:ascii="Times New Roman" w:eastAsia="宋体" w:hAnsi="Times New Roman" w:cs="Times New Roman"/>
                <w:szCs w:val="21"/>
              </w:rPr>
            </w:pPr>
            <w:r w:rsidRPr="008F2EE2">
              <w:rPr>
                <w:rFonts w:ascii="Times New Roman" w:eastAsia="宋体" w:hAnsi="Times New Roman" w:cs="Times New Roman" w:hint="eastAsia"/>
                <w:szCs w:val="21"/>
              </w:rPr>
              <w:t>A</w:t>
            </w:r>
            <w:r w:rsidRPr="008F2EE2">
              <w:rPr>
                <w:rFonts w:ascii="Times New Roman" w:eastAsia="宋体" w:hAnsi="Times New Roman" w:cs="Times New Roman" w:hint="eastAsia"/>
                <w:szCs w:val="21"/>
              </w:rPr>
              <w:t>：</w:t>
            </w:r>
            <w:r w:rsidRPr="00FC64CD">
              <w:rPr>
                <w:rFonts w:ascii="Times New Roman" w:eastAsia="宋体" w:hAnsi="Times New Roman" w:cs="Times New Roman" w:hint="eastAsia"/>
                <w:sz w:val="22"/>
              </w:rPr>
              <w:t>毛利率同比取得增长，主要因为与产品组合中的其他产品相比，百悦泽</w:t>
            </w:r>
            <w:r w:rsidRPr="00FC64CD">
              <w:rPr>
                <w:rFonts w:ascii="Times New Roman" w:eastAsia="宋体" w:hAnsi="Times New Roman" w:cs="Times New Roman" w:hint="eastAsia"/>
                <w:szCs w:val="24"/>
                <w:vertAlign w:val="superscript"/>
                <w14:ligatures w14:val="none"/>
              </w:rPr>
              <w:t>®</w:t>
            </w:r>
            <w:r w:rsidRPr="00FC64CD">
              <w:rPr>
                <w:rFonts w:ascii="Times New Roman" w:eastAsia="宋体" w:hAnsi="Times New Roman" w:cs="Times New Roman" w:hint="eastAsia"/>
                <w:sz w:val="22"/>
              </w:rPr>
              <w:t>在全球销售中占比更高。毛利率也受益于百悦泽</w:t>
            </w:r>
            <w:r w:rsidRPr="00FC64CD">
              <w:rPr>
                <w:rFonts w:ascii="Times New Roman" w:eastAsia="宋体" w:hAnsi="Times New Roman" w:cs="Times New Roman" w:hint="eastAsia"/>
                <w:szCs w:val="24"/>
                <w:vertAlign w:val="superscript"/>
                <w14:ligatures w14:val="none"/>
              </w:rPr>
              <w:t>®</w:t>
            </w:r>
            <w:proofErr w:type="gramStart"/>
            <w:r w:rsidRPr="00FC64CD">
              <w:rPr>
                <w:rFonts w:ascii="Times New Roman" w:eastAsia="宋体" w:hAnsi="Times New Roman" w:cs="Times New Roman" w:hint="eastAsia"/>
                <w:sz w:val="22"/>
              </w:rPr>
              <w:t>和百泽安</w:t>
            </w:r>
            <w:proofErr w:type="gramEnd"/>
            <w:r w:rsidRPr="00FC64CD">
              <w:rPr>
                <w:rFonts w:ascii="Times New Roman" w:eastAsia="宋体" w:hAnsi="Times New Roman" w:cs="Times New Roman" w:hint="eastAsia"/>
                <w:szCs w:val="24"/>
                <w:vertAlign w:val="superscript"/>
                <w14:ligatures w14:val="none"/>
              </w:rPr>
              <w:t>®</w:t>
            </w:r>
            <w:r w:rsidRPr="00FC64CD">
              <w:rPr>
                <w:rFonts w:ascii="Times New Roman" w:eastAsia="宋体" w:hAnsi="Times New Roman" w:cs="Times New Roman" w:hint="eastAsia"/>
                <w:sz w:val="22"/>
              </w:rPr>
              <w:t>生产效率的提高。现有财务指引已纳入已知关税政策影响，其风险通过供应链全球化与区域化布局（如百悦泽</w:t>
            </w:r>
            <w:r w:rsidRPr="00FC64CD">
              <w:rPr>
                <w:rFonts w:ascii="Times New Roman" w:eastAsia="宋体" w:hAnsi="Times New Roman" w:cs="Times New Roman"/>
                <w:szCs w:val="24"/>
                <w:vertAlign w:val="superscript"/>
                <w14:ligatures w14:val="none"/>
              </w:rPr>
              <w:t>®</w:t>
            </w:r>
            <w:r w:rsidRPr="00FC64CD">
              <w:rPr>
                <w:rFonts w:ascii="Times New Roman" w:eastAsia="宋体" w:hAnsi="Times New Roman" w:cs="Times New Roman" w:hint="eastAsia"/>
                <w:sz w:val="22"/>
              </w:rPr>
              <w:t>美国本土化生产）以及霍普韦尔生产基地建设得到有效缓解。</w:t>
            </w:r>
          </w:p>
          <w:p w14:paraId="5CF26787" w14:textId="77777777" w:rsidR="00C258C8" w:rsidRPr="008F2EE2" w:rsidRDefault="00C258C8" w:rsidP="00C258C8">
            <w:pPr>
              <w:spacing w:line="360" w:lineRule="auto"/>
              <w:ind w:firstLine="440"/>
              <w:rPr>
                <w:rFonts w:ascii="Times New Roman" w:eastAsia="宋体" w:hAnsi="Times New Roman" w:cs="Times New Roman"/>
                <w:szCs w:val="21"/>
              </w:rPr>
            </w:pPr>
          </w:p>
          <w:p w14:paraId="41BBFF5B" w14:textId="44F07D7E" w:rsidR="007F3F5E" w:rsidRPr="008F2EE2" w:rsidRDefault="00F01024" w:rsidP="00C258C8">
            <w:pPr>
              <w:spacing w:line="360" w:lineRule="auto"/>
              <w:ind w:firstLine="440"/>
              <w:rPr>
                <w:rFonts w:ascii="Times New Roman" w:eastAsia="宋体" w:hAnsi="Times New Roman" w:cs="Times New Roman"/>
                <w:szCs w:val="21"/>
              </w:rPr>
            </w:pPr>
            <w:r w:rsidRPr="008F2EE2">
              <w:rPr>
                <w:rFonts w:ascii="Times New Roman" w:eastAsia="宋体" w:hAnsi="Times New Roman" w:cs="Times New Roman" w:hint="eastAsia"/>
                <w:szCs w:val="21"/>
              </w:rPr>
              <w:t>Q:</w:t>
            </w:r>
            <w:r w:rsidRPr="008F2EE2">
              <w:rPr>
                <w:rFonts w:ascii="Times New Roman" w:eastAsia="宋体" w:hAnsi="Times New Roman" w:cs="Times New Roman" w:hint="eastAsia"/>
                <w:szCs w:val="21"/>
              </w:rPr>
              <w:t>公司如何解读</w:t>
            </w:r>
            <w:r w:rsidRPr="008F2EE2">
              <w:rPr>
                <w:rFonts w:ascii="Times New Roman" w:eastAsia="宋体" w:hAnsi="Times New Roman" w:cs="Times New Roman"/>
                <w:szCs w:val="21"/>
              </w:rPr>
              <w:t>BRUIN CLL-314</w:t>
            </w:r>
            <w:r w:rsidRPr="008F2EE2">
              <w:rPr>
                <w:rFonts w:ascii="Times New Roman" w:eastAsia="宋体" w:hAnsi="Times New Roman" w:cs="Times New Roman"/>
                <w:szCs w:val="21"/>
              </w:rPr>
              <w:t>试验</w:t>
            </w:r>
            <w:proofErr w:type="gramStart"/>
            <w:r w:rsidRPr="008F2EE2">
              <w:rPr>
                <w:rFonts w:ascii="Times New Roman" w:eastAsia="宋体" w:hAnsi="Times New Roman" w:cs="Times New Roman" w:hint="eastAsia"/>
                <w:szCs w:val="21"/>
              </w:rPr>
              <w:t>匹妥布替尼</w:t>
            </w:r>
            <w:proofErr w:type="gramEnd"/>
            <w:r w:rsidRPr="008F2EE2">
              <w:rPr>
                <w:rFonts w:ascii="Times New Roman" w:eastAsia="宋体" w:hAnsi="Times New Roman" w:cs="Times New Roman"/>
                <w:szCs w:val="21"/>
              </w:rPr>
              <w:t>与</w:t>
            </w:r>
            <w:proofErr w:type="gramStart"/>
            <w:r w:rsidRPr="008F2EE2">
              <w:rPr>
                <w:rFonts w:ascii="Times New Roman" w:eastAsia="宋体" w:hAnsi="Times New Roman" w:cs="Times New Roman" w:hint="eastAsia"/>
                <w:szCs w:val="21"/>
              </w:rPr>
              <w:t>伊布替尼</w:t>
            </w:r>
            <w:r w:rsidRPr="008F2EE2">
              <w:rPr>
                <w:rFonts w:ascii="Times New Roman" w:eastAsia="宋体" w:hAnsi="Times New Roman" w:cs="Times New Roman"/>
                <w:szCs w:val="21"/>
              </w:rPr>
              <w:t>在</w:t>
            </w:r>
            <w:proofErr w:type="gramEnd"/>
            <w:r w:rsidRPr="008F2EE2">
              <w:rPr>
                <w:rFonts w:ascii="Times New Roman" w:eastAsia="宋体" w:hAnsi="Times New Roman" w:cs="Times New Roman"/>
                <w:szCs w:val="21"/>
              </w:rPr>
              <w:t>混合一线和复发人群中的数据？</w:t>
            </w:r>
          </w:p>
          <w:p w14:paraId="6EF9C363" w14:textId="00173E58" w:rsidR="00B170F7" w:rsidRPr="00B170F7" w:rsidRDefault="0019431C" w:rsidP="00B170F7">
            <w:pPr>
              <w:spacing w:line="360" w:lineRule="auto"/>
              <w:ind w:firstLine="440"/>
              <w:rPr>
                <w:rFonts w:ascii="Times New Roman" w:eastAsia="宋体" w:hAnsi="Times New Roman" w:cs="Times New Roman"/>
                <w:bCs/>
                <w:szCs w:val="21"/>
              </w:rPr>
            </w:pPr>
            <w:r w:rsidRPr="008F2EE2">
              <w:rPr>
                <w:rFonts w:ascii="Times New Roman" w:eastAsia="宋体" w:hAnsi="Times New Roman" w:cs="Times New Roman"/>
                <w:szCs w:val="21"/>
              </w:rPr>
              <w:t>A</w:t>
            </w:r>
            <w:r w:rsidRPr="008F2EE2">
              <w:rPr>
                <w:rFonts w:ascii="Times New Roman" w:eastAsia="宋体" w:hAnsi="Times New Roman" w:cs="Times New Roman"/>
                <w:szCs w:val="21"/>
              </w:rPr>
              <w:t>：</w:t>
            </w:r>
            <w:r w:rsidR="00B170F7" w:rsidRPr="00B170F7">
              <w:rPr>
                <w:rFonts w:ascii="Times New Roman" w:eastAsia="宋体" w:hAnsi="Times New Roman" w:cs="Times New Roman"/>
                <w:bCs/>
                <w:szCs w:val="21"/>
              </w:rPr>
              <w:t>在</w:t>
            </w:r>
            <w:r w:rsidR="00B170F7" w:rsidRPr="00B170F7">
              <w:rPr>
                <w:rFonts w:ascii="Times New Roman" w:eastAsia="宋体" w:hAnsi="Times New Roman" w:cs="Times New Roman"/>
                <w:bCs/>
                <w:szCs w:val="21"/>
              </w:rPr>
              <w:t>BRUIN CLL-314</w:t>
            </w:r>
            <w:r w:rsidR="00B170F7" w:rsidRPr="00B170F7">
              <w:rPr>
                <w:rFonts w:ascii="Times New Roman" w:eastAsia="宋体" w:hAnsi="Times New Roman" w:cs="Times New Roman"/>
                <w:bCs/>
                <w:szCs w:val="21"/>
              </w:rPr>
              <w:t>研究中，需重点指出的是，客观缓解率（</w:t>
            </w:r>
            <w:r w:rsidR="00B170F7" w:rsidRPr="00B170F7">
              <w:rPr>
                <w:rFonts w:ascii="Times New Roman" w:eastAsia="宋体" w:hAnsi="Times New Roman" w:cs="Times New Roman"/>
                <w:bCs/>
                <w:szCs w:val="21"/>
              </w:rPr>
              <w:t>OR</w:t>
            </w:r>
            <w:r w:rsidR="00B170F7" w:rsidRPr="00B170F7">
              <w:rPr>
                <w:rFonts w:ascii="Times New Roman" w:eastAsia="宋体" w:hAnsi="Times New Roman" w:cs="Times New Roman" w:hint="eastAsia"/>
                <w:bCs/>
                <w:szCs w:val="21"/>
              </w:rPr>
              <w:t>R</w:t>
            </w:r>
            <w:r w:rsidR="00B170F7" w:rsidRPr="00B170F7">
              <w:rPr>
                <w:rFonts w:ascii="Times New Roman" w:eastAsia="宋体" w:hAnsi="Times New Roman" w:cs="Times New Roman"/>
                <w:bCs/>
                <w:szCs w:val="21"/>
              </w:rPr>
              <w:t>）</w:t>
            </w:r>
            <w:proofErr w:type="gramStart"/>
            <w:r w:rsidR="00B170F7" w:rsidRPr="00B170F7">
              <w:rPr>
                <w:rFonts w:ascii="Times New Roman" w:eastAsia="宋体" w:hAnsi="Times New Roman" w:cs="Times New Roman"/>
                <w:bCs/>
                <w:szCs w:val="21"/>
              </w:rPr>
              <w:t>的优效性</w:t>
            </w:r>
            <w:proofErr w:type="gramEnd"/>
            <w:r w:rsidR="00B170F7" w:rsidRPr="00B170F7">
              <w:rPr>
                <w:rFonts w:ascii="Times New Roman" w:eastAsia="宋体" w:hAnsi="Times New Roman" w:cs="Times New Roman" w:hint="eastAsia"/>
                <w:bCs/>
                <w:szCs w:val="21"/>
              </w:rPr>
              <w:t>并非经统计学设计的主要终点</w:t>
            </w:r>
            <w:r w:rsidR="00B170F7" w:rsidRPr="00B170F7">
              <w:rPr>
                <w:rFonts w:ascii="Times New Roman" w:eastAsia="宋体" w:hAnsi="Times New Roman" w:cs="Times New Roman"/>
                <w:bCs/>
                <w:szCs w:val="21"/>
              </w:rPr>
              <w:t>，因此不具备统计学显著性。此外需强调，纳入初治患者可能有助于提升</w:t>
            </w:r>
            <w:r w:rsidR="00B170F7" w:rsidRPr="00B170F7">
              <w:rPr>
                <w:rFonts w:ascii="Times New Roman" w:eastAsia="宋体" w:hAnsi="Times New Roman" w:cs="Times New Roman"/>
                <w:bCs/>
                <w:szCs w:val="21"/>
              </w:rPr>
              <w:t>OR</w:t>
            </w:r>
            <w:r w:rsidR="00B170F7" w:rsidRPr="00B170F7">
              <w:rPr>
                <w:rFonts w:ascii="Times New Roman" w:eastAsia="宋体" w:hAnsi="Times New Roman" w:cs="Times New Roman" w:hint="eastAsia"/>
                <w:bCs/>
                <w:szCs w:val="21"/>
              </w:rPr>
              <w:t>R</w:t>
            </w:r>
            <w:r w:rsidR="00B170F7" w:rsidRPr="00B170F7">
              <w:rPr>
                <w:rFonts w:ascii="Times New Roman" w:eastAsia="宋体" w:hAnsi="Times New Roman" w:cs="Times New Roman"/>
                <w:bCs/>
                <w:szCs w:val="21"/>
              </w:rPr>
              <w:t>差异。我们针对复发</w:t>
            </w:r>
            <w:r w:rsidR="00B170F7" w:rsidRPr="00B170F7">
              <w:rPr>
                <w:rFonts w:ascii="Times New Roman" w:eastAsia="宋体" w:hAnsi="Times New Roman" w:cs="Times New Roman"/>
                <w:bCs/>
                <w:szCs w:val="21"/>
              </w:rPr>
              <w:t>/</w:t>
            </w:r>
            <w:r w:rsidR="00B170F7" w:rsidRPr="00B170F7">
              <w:rPr>
                <w:rFonts w:ascii="Times New Roman" w:eastAsia="宋体" w:hAnsi="Times New Roman" w:cs="Times New Roman"/>
                <w:bCs/>
                <w:szCs w:val="21"/>
              </w:rPr>
              <w:t>难治性</w:t>
            </w:r>
            <w:r w:rsidR="00B170F7" w:rsidRPr="00B170F7">
              <w:rPr>
                <w:rFonts w:ascii="Times New Roman" w:eastAsia="宋体" w:hAnsi="Times New Roman" w:cs="Times New Roman"/>
                <w:bCs/>
                <w:szCs w:val="21"/>
              </w:rPr>
              <w:t>CLL</w:t>
            </w:r>
            <w:r w:rsidR="00B170F7" w:rsidRPr="00B170F7">
              <w:rPr>
                <w:rFonts w:ascii="Times New Roman" w:eastAsia="宋体" w:hAnsi="Times New Roman" w:cs="Times New Roman"/>
                <w:bCs/>
                <w:szCs w:val="21"/>
              </w:rPr>
              <w:t>开展的</w:t>
            </w:r>
            <w:r w:rsidR="00B170F7" w:rsidRPr="00B170F7">
              <w:rPr>
                <w:rFonts w:ascii="Times New Roman" w:eastAsia="宋体" w:hAnsi="Times New Roman" w:cs="Times New Roman"/>
                <w:bCs/>
                <w:szCs w:val="21"/>
              </w:rPr>
              <w:t>ALPINE</w:t>
            </w:r>
            <w:r w:rsidR="00B170F7" w:rsidRPr="00B170F7">
              <w:rPr>
                <w:rFonts w:ascii="Times New Roman" w:eastAsia="宋体" w:hAnsi="Times New Roman" w:cs="Times New Roman"/>
                <w:bCs/>
                <w:szCs w:val="21"/>
              </w:rPr>
              <w:t>研究（比较百悦泽</w:t>
            </w:r>
            <w:r w:rsidR="00B170F7" w:rsidRPr="00B170F7">
              <w:rPr>
                <w:rFonts w:ascii="Times New Roman" w:eastAsia="宋体" w:hAnsi="Times New Roman" w:cs="Times New Roman"/>
                <w:szCs w:val="21"/>
                <w:vertAlign w:val="superscript"/>
              </w:rPr>
              <w:t>®</w:t>
            </w:r>
            <w:r w:rsidR="00B170F7" w:rsidRPr="00B170F7">
              <w:rPr>
                <w:rFonts w:ascii="Times New Roman" w:eastAsia="宋体" w:hAnsi="Times New Roman" w:cs="Times New Roman"/>
                <w:bCs/>
                <w:szCs w:val="21"/>
              </w:rPr>
              <w:t>与伊布替尼）仍是目前唯一基于无进展生存期（</w:t>
            </w:r>
            <w:r w:rsidR="00B170F7" w:rsidRPr="00B170F7">
              <w:rPr>
                <w:rFonts w:ascii="Times New Roman" w:eastAsia="宋体" w:hAnsi="Times New Roman" w:cs="Times New Roman"/>
                <w:bCs/>
                <w:szCs w:val="21"/>
              </w:rPr>
              <w:t>PFS</w:t>
            </w:r>
            <w:r w:rsidR="00B170F7" w:rsidRPr="00B170F7">
              <w:rPr>
                <w:rFonts w:ascii="Times New Roman" w:eastAsia="宋体" w:hAnsi="Times New Roman" w:cs="Times New Roman"/>
                <w:bCs/>
                <w:szCs w:val="21"/>
              </w:rPr>
              <w:t>）终点证明一种</w:t>
            </w:r>
            <w:r w:rsidR="00B170F7" w:rsidRPr="00B170F7">
              <w:rPr>
                <w:rFonts w:ascii="Times New Roman" w:eastAsia="宋体" w:hAnsi="Times New Roman" w:cs="Times New Roman"/>
                <w:bCs/>
                <w:szCs w:val="21"/>
              </w:rPr>
              <w:t>BTK</w:t>
            </w:r>
            <w:r w:rsidR="00B170F7" w:rsidRPr="00B170F7">
              <w:rPr>
                <w:rFonts w:ascii="Times New Roman" w:eastAsia="宋体" w:hAnsi="Times New Roman" w:cs="Times New Roman"/>
                <w:bCs/>
                <w:szCs w:val="21"/>
              </w:rPr>
              <w:t>抑制剂优于另一种的头对头试验，而</w:t>
            </w:r>
            <w:r w:rsidR="00B170F7" w:rsidRPr="00B170F7">
              <w:rPr>
                <w:rFonts w:ascii="Times New Roman" w:eastAsia="宋体" w:hAnsi="Times New Roman" w:cs="Times New Roman"/>
                <w:bCs/>
                <w:szCs w:val="21"/>
              </w:rPr>
              <w:t>PFS</w:t>
            </w:r>
            <w:r w:rsidR="00B170F7" w:rsidRPr="00B170F7">
              <w:rPr>
                <w:rFonts w:ascii="Times New Roman" w:eastAsia="宋体" w:hAnsi="Times New Roman" w:cs="Times New Roman"/>
                <w:bCs/>
                <w:szCs w:val="21"/>
              </w:rPr>
              <w:t>是</w:t>
            </w:r>
            <w:r w:rsidR="00B170F7" w:rsidRPr="00B170F7">
              <w:rPr>
                <w:rFonts w:ascii="Times New Roman" w:eastAsia="宋体" w:hAnsi="Times New Roman" w:cs="Times New Roman"/>
                <w:bCs/>
                <w:szCs w:val="21"/>
              </w:rPr>
              <w:t>CLL</w:t>
            </w:r>
            <w:r w:rsidR="00B170F7" w:rsidRPr="00B170F7">
              <w:rPr>
                <w:rFonts w:ascii="Times New Roman" w:eastAsia="宋体" w:hAnsi="Times New Roman" w:cs="Times New Roman"/>
                <w:bCs/>
                <w:szCs w:val="21"/>
              </w:rPr>
              <w:t>领域</w:t>
            </w:r>
            <w:r w:rsidR="00B170F7" w:rsidRPr="00B170F7">
              <w:rPr>
                <w:rFonts w:ascii="Times New Roman" w:eastAsia="宋体" w:hAnsi="Times New Roman" w:cs="Times New Roman" w:hint="eastAsia"/>
                <w:bCs/>
                <w:szCs w:val="21"/>
              </w:rPr>
              <w:t>衡量疗效</w:t>
            </w:r>
            <w:r w:rsidR="00B170F7" w:rsidRPr="00B170F7">
              <w:rPr>
                <w:rFonts w:ascii="Times New Roman" w:eastAsia="宋体" w:hAnsi="Times New Roman" w:cs="Times New Roman"/>
                <w:bCs/>
                <w:szCs w:val="21"/>
              </w:rPr>
              <w:t>的金标准。我们认为，即使</w:t>
            </w:r>
            <w:proofErr w:type="gramStart"/>
            <w:r w:rsidR="00B170F7" w:rsidRPr="00B170F7">
              <w:rPr>
                <w:rFonts w:ascii="Times New Roman" w:eastAsia="宋体" w:hAnsi="Times New Roman" w:cs="Times New Roman"/>
                <w:bCs/>
                <w:szCs w:val="21"/>
              </w:rPr>
              <w:t>匹妥布替尼</w:t>
            </w:r>
            <w:proofErr w:type="gramEnd"/>
            <w:r w:rsidR="00B170F7" w:rsidRPr="00B170F7">
              <w:rPr>
                <w:rFonts w:ascii="Times New Roman" w:eastAsia="宋体" w:hAnsi="Times New Roman" w:cs="Times New Roman"/>
                <w:bCs/>
                <w:szCs w:val="21"/>
              </w:rPr>
              <w:t>对比</w:t>
            </w:r>
            <w:proofErr w:type="gramStart"/>
            <w:r w:rsidR="00B170F7" w:rsidRPr="00B170F7">
              <w:rPr>
                <w:rFonts w:ascii="Times New Roman" w:eastAsia="宋体" w:hAnsi="Times New Roman" w:cs="Times New Roman"/>
                <w:bCs/>
                <w:szCs w:val="21"/>
              </w:rPr>
              <w:t>伊布替尼的</w:t>
            </w:r>
            <w:proofErr w:type="gramEnd"/>
            <w:r w:rsidR="00B170F7" w:rsidRPr="00B170F7">
              <w:rPr>
                <w:rFonts w:ascii="Times New Roman" w:eastAsia="宋体" w:hAnsi="Times New Roman" w:cs="Times New Roman"/>
                <w:bCs/>
                <w:szCs w:val="21"/>
              </w:rPr>
              <w:t>OR</w:t>
            </w:r>
            <w:r w:rsidR="00B170F7" w:rsidRPr="00B170F7">
              <w:rPr>
                <w:rFonts w:ascii="Times New Roman" w:eastAsia="宋体" w:hAnsi="Times New Roman" w:cs="Times New Roman" w:hint="eastAsia"/>
                <w:bCs/>
                <w:szCs w:val="21"/>
              </w:rPr>
              <w:t>R</w:t>
            </w:r>
            <w:r w:rsidR="00B170F7" w:rsidRPr="00B170F7">
              <w:rPr>
                <w:rFonts w:ascii="Times New Roman" w:eastAsia="宋体" w:hAnsi="Times New Roman" w:cs="Times New Roman"/>
                <w:bCs/>
                <w:szCs w:val="21"/>
              </w:rPr>
              <w:t>数据呈阳性，也不太可能对临床实践产生变革性影响，原因如下：（</w:t>
            </w:r>
            <w:r w:rsidR="00B170F7" w:rsidRPr="00B170F7">
              <w:rPr>
                <w:rFonts w:ascii="Times New Roman" w:eastAsia="宋体" w:hAnsi="Times New Roman" w:cs="Times New Roman"/>
                <w:bCs/>
                <w:szCs w:val="21"/>
              </w:rPr>
              <w:t>1</w:t>
            </w:r>
            <w:r w:rsidR="00B170F7" w:rsidRPr="00B170F7">
              <w:rPr>
                <w:rFonts w:ascii="Times New Roman" w:eastAsia="宋体" w:hAnsi="Times New Roman" w:cs="Times New Roman"/>
                <w:bCs/>
                <w:szCs w:val="21"/>
              </w:rPr>
              <w:t>）目前缺乏</w:t>
            </w:r>
            <w:r w:rsidR="00B170F7" w:rsidRPr="00B170F7">
              <w:rPr>
                <w:rFonts w:ascii="Times New Roman" w:eastAsia="宋体" w:hAnsi="Times New Roman" w:cs="Times New Roman"/>
                <w:bCs/>
                <w:szCs w:val="21"/>
              </w:rPr>
              <w:t>PFS</w:t>
            </w:r>
            <w:r w:rsidR="00B170F7" w:rsidRPr="00B170F7">
              <w:rPr>
                <w:rFonts w:ascii="Times New Roman" w:eastAsia="宋体" w:hAnsi="Times New Roman" w:cs="Times New Roman"/>
                <w:bCs/>
                <w:szCs w:val="21"/>
              </w:rPr>
              <w:t>数据支持；（</w:t>
            </w:r>
            <w:r w:rsidR="00B170F7" w:rsidRPr="00B170F7">
              <w:rPr>
                <w:rFonts w:ascii="Times New Roman" w:eastAsia="宋体" w:hAnsi="Times New Roman" w:cs="Times New Roman"/>
                <w:bCs/>
                <w:szCs w:val="21"/>
              </w:rPr>
              <w:t>2</w:t>
            </w:r>
            <w:r w:rsidR="00B170F7" w:rsidRPr="00B170F7">
              <w:rPr>
                <w:rFonts w:ascii="Times New Roman" w:eastAsia="宋体" w:hAnsi="Times New Roman" w:cs="Times New Roman"/>
                <w:bCs/>
                <w:szCs w:val="21"/>
              </w:rPr>
              <w:t>）对照药物为</w:t>
            </w:r>
            <w:proofErr w:type="gramStart"/>
            <w:r w:rsidR="00B170F7" w:rsidRPr="00B170F7">
              <w:rPr>
                <w:rFonts w:ascii="Times New Roman" w:eastAsia="宋体" w:hAnsi="Times New Roman" w:cs="Times New Roman"/>
                <w:bCs/>
                <w:szCs w:val="21"/>
              </w:rPr>
              <w:t>伊布替尼</w:t>
            </w:r>
            <w:proofErr w:type="gramEnd"/>
            <w:r w:rsidR="00B170F7" w:rsidRPr="00B170F7">
              <w:rPr>
                <w:rFonts w:ascii="Times New Roman" w:eastAsia="宋体" w:hAnsi="Times New Roman" w:cs="Times New Roman"/>
                <w:bCs/>
                <w:szCs w:val="21"/>
              </w:rPr>
              <w:t>——</w:t>
            </w:r>
            <w:r w:rsidR="00B170F7" w:rsidRPr="00B170F7">
              <w:rPr>
                <w:rFonts w:ascii="Times New Roman" w:eastAsia="宋体" w:hAnsi="Times New Roman" w:cs="Times New Roman"/>
                <w:bCs/>
                <w:szCs w:val="21"/>
              </w:rPr>
              <w:t>我们</w:t>
            </w:r>
            <w:r w:rsidR="00B170F7" w:rsidRPr="00B170F7">
              <w:rPr>
                <w:rFonts w:ascii="Times New Roman" w:eastAsia="宋体" w:hAnsi="Times New Roman" w:cs="Times New Roman" w:hint="eastAsia"/>
                <w:bCs/>
                <w:szCs w:val="21"/>
              </w:rPr>
              <w:t>认为</w:t>
            </w:r>
            <w:r w:rsidR="00B170F7" w:rsidRPr="00B170F7">
              <w:rPr>
                <w:rFonts w:ascii="Times New Roman" w:eastAsia="宋体" w:hAnsi="Times New Roman" w:cs="Times New Roman"/>
                <w:bCs/>
                <w:szCs w:val="21"/>
              </w:rPr>
              <w:t>任何新型连续使用的</w:t>
            </w:r>
            <w:r w:rsidR="00B170F7" w:rsidRPr="00B170F7">
              <w:rPr>
                <w:rFonts w:ascii="Times New Roman" w:eastAsia="宋体" w:hAnsi="Times New Roman" w:cs="Times New Roman"/>
                <w:bCs/>
                <w:szCs w:val="21"/>
              </w:rPr>
              <w:t>BTK</w:t>
            </w:r>
            <w:r w:rsidR="00B170F7" w:rsidRPr="00B170F7">
              <w:rPr>
                <w:rFonts w:ascii="Times New Roman" w:eastAsia="宋体" w:hAnsi="Times New Roman" w:cs="Times New Roman"/>
                <w:bCs/>
                <w:szCs w:val="21"/>
              </w:rPr>
              <w:t>抑制剂需证明其优于百悦泽</w:t>
            </w:r>
            <w:r w:rsidR="00B170F7" w:rsidRPr="00B170F7">
              <w:rPr>
                <w:rFonts w:ascii="Times New Roman" w:eastAsia="宋体" w:hAnsi="Times New Roman" w:cs="Times New Roman"/>
                <w:szCs w:val="21"/>
                <w:vertAlign w:val="superscript"/>
              </w:rPr>
              <w:t>®</w:t>
            </w:r>
            <w:r w:rsidR="00B170F7" w:rsidRPr="00B170F7">
              <w:rPr>
                <w:rFonts w:ascii="Times New Roman" w:eastAsia="宋体" w:hAnsi="Times New Roman" w:cs="Times New Roman"/>
                <w:bCs/>
                <w:szCs w:val="21"/>
              </w:rPr>
              <w:t>而非伊布替尼，因百悦泽</w:t>
            </w:r>
            <w:r w:rsidR="00B170F7" w:rsidRPr="00B170F7">
              <w:rPr>
                <w:rFonts w:ascii="Times New Roman" w:eastAsia="宋体" w:hAnsi="Times New Roman" w:cs="Times New Roman"/>
                <w:szCs w:val="21"/>
                <w:vertAlign w:val="superscript"/>
              </w:rPr>
              <w:t>®</w:t>
            </w:r>
            <w:r w:rsidR="00B170F7" w:rsidRPr="00B170F7">
              <w:rPr>
                <w:rFonts w:ascii="Times New Roman" w:eastAsia="宋体" w:hAnsi="Times New Roman" w:cs="Times New Roman"/>
                <w:bCs/>
                <w:szCs w:val="21"/>
              </w:rPr>
              <w:t>现已成为初治</w:t>
            </w:r>
            <w:r w:rsidR="00B170F7" w:rsidRPr="00B170F7">
              <w:rPr>
                <w:rFonts w:ascii="Times New Roman" w:eastAsia="宋体" w:hAnsi="Times New Roman" w:cs="Times New Roman"/>
                <w:bCs/>
                <w:szCs w:val="21"/>
              </w:rPr>
              <w:t>CLL</w:t>
            </w:r>
            <w:r w:rsidR="00B170F7" w:rsidRPr="00B170F7">
              <w:rPr>
                <w:rFonts w:ascii="Times New Roman" w:eastAsia="宋体" w:hAnsi="Times New Roman" w:cs="Times New Roman"/>
                <w:bCs/>
                <w:szCs w:val="21"/>
              </w:rPr>
              <w:t>的真正标准疗法；（</w:t>
            </w:r>
            <w:r w:rsidR="00B170F7" w:rsidRPr="00B170F7">
              <w:rPr>
                <w:rFonts w:ascii="Times New Roman" w:eastAsia="宋体" w:hAnsi="Times New Roman" w:cs="Times New Roman"/>
                <w:bCs/>
                <w:szCs w:val="21"/>
              </w:rPr>
              <w:t>3</w:t>
            </w:r>
            <w:r w:rsidR="00B170F7" w:rsidRPr="00B170F7">
              <w:rPr>
                <w:rFonts w:ascii="Times New Roman" w:eastAsia="宋体" w:hAnsi="Times New Roman" w:cs="Times New Roman"/>
                <w:bCs/>
                <w:szCs w:val="21"/>
              </w:rPr>
              <w:t>）数据成熟度不足</w:t>
            </w:r>
            <w:r w:rsidR="00B170F7" w:rsidRPr="00B170F7">
              <w:rPr>
                <w:rFonts w:ascii="Times New Roman" w:eastAsia="宋体" w:hAnsi="Times New Roman" w:cs="Times New Roman"/>
                <w:bCs/>
                <w:szCs w:val="21"/>
              </w:rPr>
              <w:t>——BTK</w:t>
            </w:r>
            <w:r w:rsidR="00B170F7" w:rsidRPr="00B170F7">
              <w:rPr>
                <w:rFonts w:ascii="Times New Roman" w:eastAsia="宋体" w:hAnsi="Times New Roman" w:cs="Times New Roman"/>
                <w:bCs/>
                <w:szCs w:val="21"/>
              </w:rPr>
              <w:t>抑制剂的临床价值需通过长期随访验证。此外，我们预计</w:t>
            </w:r>
            <w:proofErr w:type="gramStart"/>
            <w:r w:rsidR="00B170F7" w:rsidRPr="00B170F7">
              <w:rPr>
                <w:rFonts w:ascii="Times New Roman" w:eastAsia="宋体" w:hAnsi="Times New Roman" w:cs="Times New Roman"/>
                <w:bCs/>
                <w:szCs w:val="21"/>
              </w:rPr>
              <w:t>匹妥布替尼</w:t>
            </w:r>
            <w:proofErr w:type="gramEnd"/>
            <w:r w:rsidR="00B170F7" w:rsidRPr="00B170F7">
              <w:rPr>
                <w:rFonts w:ascii="Times New Roman" w:eastAsia="宋体" w:hAnsi="Times New Roman" w:cs="Times New Roman"/>
                <w:bCs/>
                <w:szCs w:val="21"/>
              </w:rPr>
              <w:t>将主要作为共价</w:t>
            </w:r>
            <w:r w:rsidR="00B170F7" w:rsidRPr="00B170F7">
              <w:rPr>
                <w:rFonts w:ascii="Times New Roman" w:eastAsia="宋体" w:hAnsi="Times New Roman" w:cs="Times New Roman"/>
                <w:bCs/>
                <w:szCs w:val="21"/>
              </w:rPr>
              <w:t>BTK</w:t>
            </w:r>
            <w:r w:rsidR="00B170F7" w:rsidRPr="00B170F7">
              <w:rPr>
                <w:rFonts w:ascii="Times New Roman" w:eastAsia="宋体" w:hAnsi="Times New Roman" w:cs="Times New Roman"/>
                <w:bCs/>
                <w:szCs w:val="21"/>
              </w:rPr>
              <w:t>抑制剂</w:t>
            </w:r>
            <w:r w:rsidR="00B170F7" w:rsidRPr="00B170F7">
              <w:rPr>
                <w:rFonts w:ascii="Times New Roman" w:eastAsia="宋体" w:hAnsi="Times New Roman" w:cs="Times New Roman" w:hint="eastAsia"/>
                <w:bCs/>
                <w:szCs w:val="21"/>
              </w:rPr>
              <w:t>治疗</w:t>
            </w:r>
            <w:r w:rsidR="00B170F7" w:rsidRPr="00B170F7">
              <w:rPr>
                <w:rFonts w:ascii="Times New Roman" w:eastAsia="宋体" w:hAnsi="Times New Roman" w:cs="Times New Roman"/>
                <w:bCs/>
                <w:szCs w:val="21"/>
              </w:rPr>
              <w:t>后</w:t>
            </w:r>
            <w:r w:rsidR="00B170F7" w:rsidRPr="00B170F7">
              <w:rPr>
                <w:rFonts w:ascii="Times New Roman" w:eastAsia="宋体" w:hAnsi="Times New Roman" w:cs="Times New Roman" w:hint="eastAsia"/>
                <w:bCs/>
                <w:szCs w:val="21"/>
              </w:rPr>
              <w:t>进展</w:t>
            </w:r>
            <w:r w:rsidR="00B170F7" w:rsidRPr="00B170F7">
              <w:rPr>
                <w:rFonts w:ascii="Times New Roman" w:eastAsia="宋体" w:hAnsi="Times New Roman" w:cs="Times New Roman"/>
                <w:bCs/>
                <w:szCs w:val="21"/>
              </w:rPr>
              <w:t>的序</w:t>
            </w:r>
            <w:proofErr w:type="gramStart"/>
            <w:r w:rsidR="00B170F7" w:rsidRPr="00B170F7">
              <w:rPr>
                <w:rFonts w:ascii="Times New Roman" w:eastAsia="宋体" w:hAnsi="Times New Roman" w:cs="Times New Roman"/>
                <w:bCs/>
                <w:szCs w:val="21"/>
              </w:rPr>
              <w:t>贯治疗</w:t>
            </w:r>
            <w:proofErr w:type="gramEnd"/>
            <w:r w:rsidR="00B170F7" w:rsidRPr="00B170F7">
              <w:rPr>
                <w:rFonts w:ascii="Times New Roman" w:eastAsia="宋体" w:hAnsi="Times New Roman" w:cs="Times New Roman"/>
                <w:bCs/>
                <w:szCs w:val="21"/>
              </w:rPr>
              <w:t>方案。从</w:t>
            </w:r>
            <w:r w:rsidR="00B170F7" w:rsidRPr="00B170F7">
              <w:rPr>
                <w:rFonts w:ascii="Times New Roman" w:eastAsia="宋体" w:hAnsi="Times New Roman" w:cs="Times New Roman"/>
                <w:bCs/>
                <w:szCs w:val="21"/>
              </w:rPr>
              <w:t>CLL</w:t>
            </w:r>
            <w:r w:rsidR="00B170F7" w:rsidRPr="00B170F7">
              <w:rPr>
                <w:rFonts w:ascii="Times New Roman" w:eastAsia="宋体" w:hAnsi="Times New Roman" w:cs="Times New Roman"/>
                <w:bCs/>
                <w:szCs w:val="21"/>
              </w:rPr>
              <w:t>患者</w:t>
            </w:r>
            <w:proofErr w:type="gramStart"/>
            <w:r w:rsidR="00B170F7" w:rsidRPr="00B170F7">
              <w:rPr>
                <w:rFonts w:ascii="Times New Roman" w:eastAsia="宋体" w:hAnsi="Times New Roman" w:cs="Times New Roman"/>
                <w:bCs/>
                <w:szCs w:val="21"/>
              </w:rPr>
              <w:t>全治疗</w:t>
            </w:r>
            <w:proofErr w:type="gramEnd"/>
            <w:r w:rsidR="00B170F7" w:rsidRPr="00B170F7">
              <w:rPr>
                <w:rFonts w:ascii="Times New Roman" w:eastAsia="宋体" w:hAnsi="Times New Roman" w:cs="Times New Roman"/>
                <w:bCs/>
                <w:szCs w:val="21"/>
              </w:rPr>
              <w:t>路径来看，现有数据难以说服医生在初治阶段选择</w:t>
            </w:r>
            <w:proofErr w:type="gramStart"/>
            <w:r w:rsidR="00B170F7" w:rsidRPr="00B170F7">
              <w:rPr>
                <w:rFonts w:ascii="Times New Roman" w:eastAsia="宋体" w:hAnsi="Times New Roman" w:cs="Times New Roman"/>
                <w:bCs/>
                <w:szCs w:val="21"/>
              </w:rPr>
              <w:t>匹妥布替尼</w:t>
            </w:r>
            <w:proofErr w:type="gramEnd"/>
            <w:r w:rsidR="00B170F7" w:rsidRPr="00B170F7">
              <w:rPr>
                <w:rFonts w:ascii="Times New Roman" w:eastAsia="宋体" w:hAnsi="Times New Roman" w:cs="Times New Roman"/>
                <w:bCs/>
                <w:szCs w:val="21"/>
              </w:rPr>
              <w:t>而非百悦泽</w:t>
            </w:r>
            <w:r w:rsidR="00B170F7" w:rsidRPr="00B170F7">
              <w:rPr>
                <w:rFonts w:ascii="Times New Roman" w:eastAsia="宋体" w:hAnsi="Times New Roman" w:cs="Times New Roman"/>
                <w:szCs w:val="21"/>
                <w:vertAlign w:val="superscript"/>
              </w:rPr>
              <w:t>®</w:t>
            </w:r>
            <w:r w:rsidR="00B170F7" w:rsidRPr="00B170F7">
              <w:rPr>
                <w:rFonts w:ascii="Times New Roman" w:eastAsia="宋体" w:hAnsi="Times New Roman" w:cs="Times New Roman"/>
                <w:bCs/>
                <w:szCs w:val="21"/>
              </w:rPr>
              <w:t>。最后需说明，</w:t>
            </w:r>
            <w:r w:rsidR="00B170F7" w:rsidRPr="00B170F7">
              <w:rPr>
                <w:rFonts w:ascii="Times New Roman" w:eastAsia="宋体" w:hAnsi="Times New Roman" w:cs="Times New Roman"/>
                <w:bCs/>
                <w:szCs w:val="21"/>
              </w:rPr>
              <w:t>BRUIN CLL-314</w:t>
            </w:r>
            <w:r w:rsidR="00B170F7" w:rsidRPr="00B170F7">
              <w:rPr>
                <w:rFonts w:ascii="Times New Roman" w:eastAsia="宋体" w:hAnsi="Times New Roman" w:cs="Times New Roman"/>
                <w:bCs/>
                <w:szCs w:val="21"/>
              </w:rPr>
              <w:t>单独研究不足以支持监管申报。如礼来新闻稿所述，</w:t>
            </w:r>
            <w:proofErr w:type="gramStart"/>
            <w:r w:rsidR="00B170F7" w:rsidRPr="00B170F7">
              <w:rPr>
                <w:rFonts w:ascii="Times New Roman" w:eastAsia="宋体" w:hAnsi="Times New Roman" w:cs="Times New Roman"/>
                <w:bCs/>
                <w:szCs w:val="21"/>
              </w:rPr>
              <w:t>其需与</w:t>
            </w:r>
            <w:proofErr w:type="gramEnd"/>
            <w:r w:rsidR="00B170F7" w:rsidRPr="00B170F7">
              <w:rPr>
                <w:rFonts w:ascii="Times New Roman" w:eastAsia="宋体" w:hAnsi="Times New Roman" w:cs="Times New Roman"/>
                <w:bCs/>
                <w:szCs w:val="21"/>
              </w:rPr>
              <w:t>BRUIN CLL-313</w:t>
            </w:r>
            <w:r w:rsidR="00B170F7" w:rsidRPr="00B170F7">
              <w:rPr>
                <w:rFonts w:ascii="Times New Roman" w:eastAsia="宋体" w:hAnsi="Times New Roman" w:cs="Times New Roman"/>
                <w:bCs/>
                <w:szCs w:val="21"/>
              </w:rPr>
              <w:t>研究（</w:t>
            </w:r>
            <w:proofErr w:type="gramStart"/>
            <w:r w:rsidR="00B170F7" w:rsidRPr="00B170F7">
              <w:rPr>
                <w:rFonts w:ascii="Times New Roman" w:eastAsia="宋体" w:hAnsi="Times New Roman" w:cs="Times New Roman"/>
                <w:bCs/>
                <w:szCs w:val="21"/>
              </w:rPr>
              <w:t>匹妥布替尼</w:t>
            </w:r>
            <w:proofErr w:type="gramEnd"/>
            <w:r w:rsidR="00B170F7" w:rsidRPr="00B170F7">
              <w:rPr>
                <w:rFonts w:ascii="Times New Roman" w:eastAsia="宋体" w:hAnsi="Times New Roman" w:cs="Times New Roman"/>
                <w:bCs/>
                <w:szCs w:val="21"/>
              </w:rPr>
              <w:t>对比</w:t>
            </w:r>
            <w:r w:rsidR="00B170F7" w:rsidRPr="00B170F7">
              <w:rPr>
                <w:rFonts w:ascii="Times New Roman" w:eastAsia="宋体" w:hAnsi="Times New Roman" w:cs="Times New Roman"/>
                <w:bCs/>
                <w:szCs w:val="21"/>
              </w:rPr>
              <w:t>BR</w:t>
            </w:r>
            <w:r w:rsidR="00B170F7" w:rsidRPr="00B170F7">
              <w:rPr>
                <w:rFonts w:ascii="Times New Roman" w:eastAsia="宋体" w:hAnsi="Times New Roman" w:cs="Times New Roman"/>
                <w:bCs/>
                <w:szCs w:val="21"/>
              </w:rPr>
              <w:t>方案用于无</w:t>
            </w:r>
            <w:r w:rsidR="00B170F7" w:rsidRPr="00B170F7">
              <w:rPr>
                <w:rFonts w:ascii="Times New Roman" w:eastAsia="宋体" w:hAnsi="Times New Roman" w:cs="Times New Roman"/>
                <w:bCs/>
                <w:szCs w:val="21"/>
              </w:rPr>
              <w:t>17p</w:t>
            </w:r>
            <w:r w:rsidR="00B170F7" w:rsidRPr="00B170F7">
              <w:rPr>
                <w:rFonts w:ascii="Times New Roman" w:eastAsia="宋体" w:hAnsi="Times New Roman" w:cs="Times New Roman"/>
                <w:bCs/>
                <w:szCs w:val="21"/>
              </w:rPr>
              <w:t>缺失的初治</w:t>
            </w:r>
            <w:r w:rsidR="00B170F7" w:rsidRPr="00B170F7">
              <w:rPr>
                <w:rFonts w:ascii="Times New Roman" w:eastAsia="宋体" w:hAnsi="Times New Roman" w:cs="Times New Roman"/>
                <w:bCs/>
                <w:szCs w:val="21"/>
              </w:rPr>
              <w:t>CLL</w:t>
            </w:r>
            <w:r w:rsidR="00B170F7" w:rsidRPr="00B170F7">
              <w:rPr>
                <w:rFonts w:ascii="Times New Roman" w:eastAsia="宋体" w:hAnsi="Times New Roman" w:cs="Times New Roman"/>
                <w:bCs/>
                <w:szCs w:val="21"/>
              </w:rPr>
              <w:t>）联合作为申报基础。关键问题在于</w:t>
            </w:r>
            <w:r w:rsidR="00B170F7" w:rsidRPr="00B170F7">
              <w:rPr>
                <w:rFonts w:ascii="Times New Roman" w:eastAsia="宋体" w:hAnsi="Times New Roman" w:cs="Times New Roman"/>
                <w:bCs/>
                <w:szCs w:val="21"/>
              </w:rPr>
              <w:t>BR</w:t>
            </w:r>
            <w:r w:rsidR="00B170F7" w:rsidRPr="00B170F7">
              <w:rPr>
                <w:rFonts w:ascii="Times New Roman" w:eastAsia="宋体" w:hAnsi="Times New Roman" w:cs="Times New Roman"/>
                <w:bCs/>
                <w:szCs w:val="21"/>
              </w:rPr>
              <w:t>方案是否仍为有效对照，以及该试验结果呈阳性且总生存期（</w:t>
            </w:r>
            <w:r w:rsidR="00B170F7" w:rsidRPr="00B170F7">
              <w:rPr>
                <w:rFonts w:ascii="Times New Roman" w:eastAsia="宋体" w:hAnsi="Times New Roman" w:cs="Times New Roman"/>
                <w:bCs/>
                <w:szCs w:val="21"/>
              </w:rPr>
              <w:t>OS</w:t>
            </w:r>
            <w:r w:rsidR="00B170F7" w:rsidRPr="00B170F7">
              <w:rPr>
                <w:rFonts w:ascii="Times New Roman" w:eastAsia="宋体" w:hAnsi="Times New Roman" w:cs="Times New Roman"/>
                <w:bCs/>
                <w:szCs w:val="21"/>
              </w:rPr>
              <w:t>）趋势显现的可能性。</w:t>
            </w:r>
          </w:p>
          <w:p w14:paraId="796C57ED" w14:textId="77777777" w:rsidR="00983AE1" w:rsidRPr="008F2EE2" w:rsidRDefault="00983AE1" w:rsidP="00C258C8">
            <w:pPr>
              <w:spacing w:line="360" w:lineRule="auto"/>
              <w:ind w:firstLine="440"/>
              <w:rPr>
                <w:rFonts w:ascii="Times New Roman" w:eastAsia="宋体" w:hAnsi="Times New Roman" w:cs="Times New Roman"/>
                <w:szCs w:val="21"/>
              </w:rPr>
            </w:pPr>
          </w:p>
          <w:p w14:paraId="24301618" w14:textId="77777777" w:rsidR="00253BA3" w:rsidRPr="008F2EE2" w:rsidRDefault="00253BA3" w:rsidP="00C258C8">
            <w:pPr>
              <w:spacing w:line="360" w:lineRule="auto"/>
              <w:ind w:firstLine="440"/>
              <w:rPr>
                <w:rFonts w:ascii="Times New Roman" w:eastAsia="宋体" w:hAnsi="Times New Roman" w:cs="Times New Roman"/>
                <w:szCs w:val="21"/>
              </w:rPr>
            </w:pPr>
            <w:r w:rsidRPr="008F2EE2">
              <w:rPr>
                <w:rFonts w:ascii="Times New Roman" w:eastAsia="宋体" w:hAnsi="Times New Roman" w:cs="Times New Roman" w:hint="eastAsia"/>
                <w:szCs w:val="21"/>
              </w:rPr>
              <w:t>Q</w:t>
            </w:r>
            <w:r w:rsidRPr="008F2EE2">
              <w:rPr>
                <w:rFonts w:ascii="Times New Roman" w:eastAsia="宋体" w:hAnsi="Times New Roman" w:cs="Times New Roman" w:hint="eastAsia"/>
                <w:szCs w:val="21"/>
              </w:rPr>
              <w:t>：公司如何看待</w:t>
            </w:r>
            <w:r w:rsidRPr="008F2EE2">
              <w:rPr>
                <w:rFonts w:ascii="Times New Roman" w:eastAsia="宋体" w:hAnsi="Times New Roman" w:cs="Times New Roman" w:hint="eastAsia"/>
                <w:szCs w:val="21"/>
              </w:rPr>
              <w:t>BTK CDAC</w:t>
            </w:r>
            <w:r w:rsidRPr="008F2EE2">
              <w:rPr>
                <w:rFonts w:ascii="Times New Roman" w:eastAsia="宋体" w:hAnsi="Times New Roman" w:cs="Times New Roman"/>
                <w:szCs w:val="21"/>
              </w:rPr>
              <w:t>在</w:t>
            </w:r>
            <w:r w:rsidRPr="008F2EE2">
              <w:rPr>
                <w:rFonts w:ascii="Times New Roman" w:eastAsia="宋体" w:hAnsi="Times New Roman" w:cs="Times New Roman" w:hint="eastAsia"/>
                <w:szCs w:val="21"/>
              </w:rPr>
              <w:t>非肿瘤适应症特别是</w:t>
            </w:r>
            <w:r w:rsidRPr="008F2EE2">
              <w:rPr>
                <w:rFonts w:ascii="Times New Roman" w:eastAsia="宋体" w:hAnsi="Times New Roman" w:cs="Times New Roman"/>
                <w:szCs w:val="21"/>
              </w:rPr>
              <w:t>免疫和炎症方面的</w:t>
            </w:r>
            <w:r w:rsidRPr="008F2EE2">
              <w:rPr>
                <w:rFonts w:ascii="Times New Roman" w:eastAsia="宋体" w:hAnsi="Times New Roman" w:cs="Times New Roman" w:hint="eastAsia"/>
                <w:szCs w:val="21"/>
              </w:rPr>
              <w:t>应用</w:t>
            </w:r>
            <w:r w:rsidRPr="008F2EE2">
              <w:rPr>
                <w:rFonts w:ascii="Times New Roman" w:eastAsia="宋体" w:hAnsi="Times New Roman" w:cs="Times New Roman"/>
                <w:szCs w:val="21"/>
              </w:rPr>
              <w:t>潜力？</w:t>
            </w:r>
          </w:p>
          <w:p w14:paraId="1DF3C63D" w14:textId="0BC93CDC" w:rsidR="006E756D" w:rsidRDefault="00253BA3" w:rsidP="006E756D">
            <w:pPr>
              <w:spacing w:line="360" w:lineRule="auto"/>
              <w:ind w:firstLine="440"/>
              <w:rPr>
                <w:rFonts w:ascii="Times New Roman" w:eastAsia="宋体" w:hAnsi="Times New Roman" w:cs="Times New Roman"/>
                <w:sz w:val="22"/>
              </w:rPr>
            </w:pPr>
            <w:r w:rsidRPr="008F2EE2">
              <w:rPr>
                <w:rFonts w:ascii="Times New Roman" w:eastAsia="宋体" w:hAnsi="Times New Roman" w:cs="Times New Roman" w:hint="eastAsia"/>
                <w:szCs w:val="21"/>
              </w:rPr>
              <w:lastRenderedPageBreak/>
              <w:t>A</w:t>
            </w:r>
            <w:r w:rsidRPr="008F2EE2">
              <w:rPr>
                <w:rFonts w:ascii="Times New Roman" w:eastAsia="宋体" w:hAnsi="Times New Roman" w:cs="Times New Roman" w:hint="eastAsia"/>
                <w:szCs w:val="21"/>
              </w:rPr>
              <w:t>：</w:t>
            </w:r>
            <w:r w:rsidRPr="002776CD">
              <w:rPr>
                <w:rFonts w:ascii="Times New Roman" w:eastAsia="宋体" w:hAnsi="Times New Roman" w:cs="Times New Roman"/>
                <w:sz w:val="22"/>
              </w:rPr>
              <w:t>BTK</w:t>
            </w:r>
            <w:r w:rsidRPr="002776CD">
              <w:rPr>
                <w:rFonts w:ascii="Times New Roman" w:eastAsia="宋体" w:hAnsi="Times New Roman" w:cs="Times New Roman" w:hint="eastAsia"/>
                <w:sz w:val="22"/>
              </w:rPr>
              <w:t xml:space="preserve"> CDAC</w:t>
            </w:r>
            <w:r w:rsidRPr="002776CD">
              <w:rPr>
                <w:rFonts w:ascii="Times New Roman" w:eastAsia="宋体" w:hAnsi="Times New Roman" w:cs="Times New Roman" w:hint="eastAsia"/>
                <w:sz w:val="22"/>
              </w:rPr>
              <w:t>具有以下特征：首先其</w:t>
            </w:r>
            <w:r w:rsidRPr="002776CD">
              <w:rPr>
                <w:rFonts w:ascii="Times New Roman" w:eastAsia="宋体" w:hAnsi="Times New Roman" w:cs="Times New Roman"/>
                <w:sz w:val="22"/>
              </w:rPr>
              <w:t>临床研究中的长半衰期意味着每日给药即可保持持续</w:t>
            </w:r>
            <w:r w:rsidRPr="002776CD">
              <w:rPr>
                <w:rFonts w:ascii="Times New Roman" w:eastAsia="宋体" w:hAnsi="Times New Roman" w:cs="Times New Roman"/>
                <w:sz w:val="22"/>
              </w:rPr>
              <w:t>BTK</w:t>
            </w:r>
            <w:r w:rsidRPr="002776CD">
              <w:rPr>
                <w:rFonts w:ascii="Times New Roman" w:eastAsia="宋体" w:hAnsi="Times New Roman" w:cs="Times New Roman"/>
                <w:sz w:val="22"/>
              </w:rPr>
              <w:t>降解，这为不同的给药频率提供了可能性。</w:t>
            </w:r>
            <w:r w:rsidRPr="002776CD">
              <w:rPr>
                <w:rFonts w:ascii="Times New Roman" w:eastAsia="宋体" w:hAnsi="Times New Roman" w:cs="Times New Roman" w:hint="eastAsia"/>
                <w:sz w:val="22"/>
              </w:rPr>
              <w:t>其次，</w:t>
            </w:r>
            <w:r w:rsidRPr="002776CD">
              <w:rPr>
                <w:rFonts w:ascii="Times New Roman" w:eastAsia="宋体" w:hAnsi="Times New Roman" w:cs="Times New Roman"/>
                <w:sz w:val="22"/>
              </w:rPr>
              <w:t>它具有穿透性，这对于某些自身免疫性疾病同样适用。</w:t>
            </w:r>
            <w:r w:rsidRPr="002776CD">
              <w:rPr>
                <w:rFonts w:ascii="Times New Roman" w:eastAsia="宋体" w:hAnsi="Times New Roman" w:cs="Times New Roman" w:hint="eastAsia"/>
                <w:sz w:val="22"/>
              </w:rPr>
              <w:t>最后</w:t>
            </w:r>
            <w:r w:rsidRPr="002776CD">
              <w:rPr>
                <w:rFonts w:ascii="Times New Roman" w:eastAsia="宋体" w:hAnsi="Times New Roman" w:cs="Times New Roman"/>
                <w:sz w:val="22"/>
              </w:rPr>
              <w:t>，降解能够克服并预防新出现耐药突变，并能够破坏</w:t>
            </w:r>
            <w:r w:rsidRPr="002776CD">
              <w:rPr>
                <w:rFonts w:ascii="Times New Roman" w:eastAsia="宋体" w:hAnsi="Times New Roman" w:cs="Times New Roman"/>
                <w:sz w:val="22"/>
              </w:rPr>
              <w:t>BTK</w:t>
            </w:r>
            <w:r w:rsidRPr="002776CD">
              <w:rPr>
                <w:rFonts w:ascii="Times New Roman" w:eastAsia="宋体" w:hAnsi="Times New Roman" w:cs="Times New Roman"/>
                <w:sz w:val="22"/>
              </w:rPr>
              <w:t>蛋白支架功能，这在某些疾病领域也非常重要。</w:t>
            </w:r>
            <w:r w:rsidRPr="002776CD">
              <w:rPr>
                <w:rFonts w:ascii="Times New Roman" w:eastAsia="宋体" w:hAnsi="Times New Roman" w:cs="Times New Roman" w:hint="eastAsia"/>
                <w:sz w:val="22"/>
              </w:rPr>
              <w:t>公司</w:t>
            </w:r>
            <w:r w:rsidRPr="002776CD">
              <w:rPr>
                <w:rFonts w:ascii="Times New Roman" w:eastAsia="宋体" w:hAnsi="Times New Roman" w:cs="Times New Roman"/>
                <w:sz w:val="22"/>
              </w:rPr>
              <w:t>正在积极探索</w:t>
            </w:r>
            <w:r w:rsidRPr="002776CD">
              <w:rPr>
                <w:rFonts w:ascii="Times New Roman" w:eastAsia="宋体" w:hAnsi="Times New Roman" w:cs="Times New Roman" w:hint="eastAsia"/>
                <w:sz w:val="22"/>
              </w:rPr>
              <w:t>BTK CDAC</w:t>
            </w:r>
            <w:r w:rsidRPr="002776CD">
              <w:rPr>
                <w:rFonts w:ascii="Times New Roman" w:eastAsia="宋体" w:hAnsi="Times New Roman" w:cs="Times New Roman" w:hint="eastAsia"/>
                <w:sz w:val="22"/>
              </w:rPr>
              <w:t>在疾病领域的各种</w:t>
            </w:r>
            <w:r w:rsidRPr="002776CD">
              <w:rPr>
                <w:rFonts w:ascii="Times New Roman" w:eastAsia="宋体" w:hAnsi="Times New Roman" w:cs="Times New Roman"/>
                <w:sz w:val="22"/>
              </w:rPr>
              <w:t>潜</w:t>
            </w:r>
            <w:r w:rsidRPr="002776CD">
              <w:rPr>
                <w:rFonts w:ascii="Times New Roman" w:eastAsia="宋体" w:hAnsi="Times New Roman" w:cs="Times New Roman" w:hint="eastAsia"/>
                <w:sz w:val="22"/>
              </w:rPr>
              <w:t>力。目前</w:t>
            </w:r>
            <w:r w:rsidRPr="002776CD">
              <w:rPr>
                <w:rFonts w:ascii="Times New Roman" w:eastAsia="宋体" w:hAnsi="Times New Roman" w:cs="Times New Roman" w:hint="eastAsia"/>
                <w:sz w:val="22"/>
              </w:rPr>
              <w:t>BTK CDAC</w:t>
            </w:r>
            <w:r w:rsidRPr="002776CD">
              <w:rPr>
                <w:rFonts w:ascii="Times New Roman" w:eastAsia="宋体" w:hAnsi="Times New Roman" w:cs="Times New Roman" w:hint="eastAsia"/>
                <w:sz w:val="22"/>
              </w:rPr>
              <w:t>用于慢性自发性荨麻疹</w:t>
            </w:r>
            <w:r w:rsidRPr="002776CD">
              <w:rPr>
                <w:rFonts w:ascii="Times New Roman" w:eastAsia="宋体" w:hAnsi="Times New Roman" w:cs="Times New Roman"/>
                <w:sz w:val="22"/>
              </w:rPr>
              <w:t>1</w:t>
            </w:r>
            <w:r w:rsidRPr="002776CD">
              <w:rPr>
                <w:rFonts w:ascii="Times New Roman" w:eastAsia="宋体" w:hAnsi="Times New Roman" w:cs="Times New Roman" w:hint="eastAsia"/>
                <w:sz w:val="22"/>
              </w:rPr>
              <w:t>期试验</w:t>
            </w:r>
            <w:bookmarkStart w:id="0" w:name="OLE_LINK4"/>
            <w:bookmarkEnd w:id="0"/>
            <w:r w:rsidRPr="002776CD">
              <w:rPr>
                <w:rFonts w:ascii="Times New Roman" w:eastAsia="宋体" w:hAnsi="Times New Roman" w:cs="Times New Roman" w:hint="eastAsia"/>
                <w:sz w:val="22"/>
              </w:rPr>
              <w:t>已完成首例受试者入组。</w:t>
            </w:r>
          </w:p>
          <w:p w14:paraId="608674E6" w14:textId="77777777" w:rsidR="002776CD" w:rsidRPr="008F2EE2" w:rsidRDefault="002776CD" w:rsidP="006E756D">
            <w:pPr>
              <w:spacing w:line="360" w:lineRule="auto"/>
              <w:ind w:firstLine="440"/>
              <w:rPr>
                <w:rFonts w:ascii="Times New Roman" w:eastAsia="宋体" w:hAnsi="Times New Roman" w:cs="Times New Roman"/>
                <w:szCs w:val="21"/>
              </w:rPr>
            </w:pPr>
          </w:p>
          <w:p w14:paraId="62E61803" w14:textId="595AD00F" w:rsidR="006E756D" w:rsidRPr="008F2EE2" w:rsidRDefault="006E756D" w:rsidP="006E756D">
            <w:pPr>
              <w:spacing w:line="360" w:lineRule="auto"/>
              <w:ind w:firstLine="440"/>
              <w:rPr>
                <w:rFonts w:ascii="Times New Roman" w:eastAsia="宋体" w:hAnsi="Times New Roman" w:cs="Times New Roman"/>
                <w:szCs w:val="21"/>
              </w:rPr>
            </w:pPr>
            <w:r w:rsidRPr="008F2EE2">
              <w:rPr>
                <w:rFonts w:ascii="Times New Roman" w:eastAsia="宋体" w:hAnsi="Times New Roman" w:cs="Times New Roman" w:hint="eastAsia"/>
                <w:szCs w:val="21"/>
              </w:rPr>
              <w:t>Q:</w:t>
            </w:r>
            <w:r w:rsidRPr="008F2EE2">
              <w:rPr>
                <w:rFonts w:ascii="Times New Roman" w:eastAsia="宋体" w:hAnsi="Times New Roman" w:cs="Times New Roman" w:hint="eastAsia"/>
                <w:szCs w:val="21"/>
              </w:rPr>
              <w:t>在启动</w:t>
            </w:r>
            <w:r w:rsidRPr="008F2EE2">
              <w:rPr>
                <w:rFonts w:ascii="Times New Roman" w:eastAsia="宋体" w:hAnsi="Times New Roman" w:cs="Times New Roman" w:hint="eastAsia"/>
                <w:szCs w:val="21"/>
              </w:rPr>
              <w:t>CDK4</w:t>
            </w:r>
            <w:r w:rsidRPr="008F2EE2">
              <w:rPr>
                <w:rFonts w:ascii="Times New Roman" w:eastAsia="宋体" w:hAnsi="Times New Roman" w:cs="Times New Roman" w:hint="eastAsia"/>
                <w:szCs w:val="21"/>
              </w:rPr>
              <w:t>的二线</w:t>
            </w:r>
            <w:r w:rsidRPr="008F2EE2">
              <w:rPr>
                <w:rFonts w:ascii="Times New Roman" w:eastAsia="宋体" w:hAnsi="Times New Roman" w:cs="Times New Roman" w:hint="eastAsia"/>
                <w:szCs w:val="21"/>
              </w:rPr>
              <w:t>3</w:t>
            </w:r>
            <w:r w:rsidRPr="008F2EE2">
              <w:rPr>
                <w:rFonts w:ascii="Times New Roman" w:eastAsia="宋体" w:hAnsi="Times New Roman" w:cs="Times New Roman" w:hint="eastAsia"/>
                <w:szCs w:val="21"/>
              </w:rPr>
              <w:t>期试验之前，公司期望看到哪些数据以及今年预期会披露哪些数据？</w:t>
            </w:r>
            <w:r w:rsidR="006E5594" w:rsidRPr="008F2EE2">
              <w:rPr>
                <w:rFonts w:ascii="Times New Roman" w:eastAsia="宋体" w:hAnsi="Times New Roman" w:cs="Times New Roman"/>
                <w:szCs w:val="21"/>
              </w:rPr>
              <w:t>如何评估该药物的市场前景？</w:t>
            </w:r>
            <w:r w:rsidR="00521152" w:rsidRPr="008F2EE2">
              <w:rPr>
                <w:rFonts w:ascii="Times New Roman" w:eastAsia="宋体" w:hAnsi="Times New Roman" w:cs="Times New Roman"/>
                <w:szCs w:val="21"/>
              </w:rPr>
              <w:t>公司是否考虑</w:t>
            </w:r>
            <w:r w:rsidR="00060AF7" w:rsidRPr="008F2EE2">
              <w:rPr>
                <w:rFonts w:ascii="Times New Roman" w:eastAsia="宋体" w:hAnsi="Times New Roman" w:cs="Times New Roman"/>
                <w:szCs w:val="21"/>
              </w:rPr>
              <w:t>对外合作共同开发</w:t>
            </w:r>
            <w:r w:rsidR="00060AF7" w:rsidRPr="008F2EE2">
              <w:rPr>
                <w:rFonts w:ascii="Times New Roman" w:eastAsia="宋体" w:hAnsi="Times New Roman" w:cs="Times New Roman"/>
                <w:szCs w:val="21"/>
              </w:rPr>
              <w:t>CDK4</w:t>
            </w:r>
            <w:r w:rsidR="00060AF7" w:rsidRPr="008F2EE2">
              <w:rPr>
                <w:rFonts w:ascii="Times New Roman" w:eastAsia="宋体" w:hAnsi="Times New Roman" w:cs="Times New Roman"/>
                <w:szCs w:val="21"/>
              </w:rPr>
              <w:t>抑制剂？</w:t>
            </w:r>
          </w:p>
          <w:p w14:paraId="7AA1C29D" w14:textId="57024854" w:rsidR="008E5A25" w:rsidRPr="008F2EE2" w:rsidRDefault="006E756D" w:rsidP="008E5A25">
            <w:pPr>
              <w:spacing w:line="360" w:lineRule="auto"/>
              <w:ind w:firstLine="440"/>
              <w:rPr>
                <w:rFonts w:ascii="Times New Roman" w:eastAsia="宋体" w:hAnsi="Times New Roman" w:cs="Times New Roman"/>
                <w:szCs w:val="21"/>
              </w:rPr>
            </w:pPr>
            <w:r w:rsidRPr="008F2EE2">
              <w:rPr>
                <w:rFonts w:ascii="Times New Roman" w:eastAsia="宋体" w:hAnsi="Times New Roman" w:cs="Times New Roman" w:hint="eastAsia"/>
                <w:szCs w:val="21"/>
              </w:rPr>
              <w:t>A</w:t>
            </w:r>
            <w:r w:rsidRPr="008F2EE2">
              <w:rPr>
                <w:rFonts w:ascii="Times New Roman" w:eastAsia="宋体" w:hAnsi="Times New Roman" w:cs="Times New Roman" w:hint="eastAsia"/>
                <w:szCs w:val="21"/>
              </w:rPr>
              <w:t>：</w:t>
            </w:r>
            <w:r w:rsidR="008E5A25" w:rsidRPr="007E2E44">
              <w:rPr>
                <w:rFonts w:ascii="Times New Roman" w:eastAsia="宋体" w:hAnsi="Times New Roman" w:cs="Times New Roman" w:hint="eastAsia"/>
                <w:szCs w:val="21"/>
              </w:rPr>
              <w:t>公司原计划于</w:t>
            </w:r>
            <w:r w:rsidR="008E5A25" w:rsidRPr="007E2E44">
              <w:rPr>
                <w:rFonts w:ascii="Times New Roman" w:eastAsia="宋体" w:hAnsi="Times New Roman" w:cs="Times New Roman" w:hint="eastAsia"/>
                <w:szCs w:val="21"/>
              </w:rPr>
              <w:t>2025</w:t>
            </w:r>
            <w:r w:rsidR="008E5A25" w:rsidRPr="007E2E44">
              <w:rPr>
                <w:rFonts w:ascii="Times New Roman" w:eastAsia="宋体" w:hAnsi="Times New Roman" w:cs="Times New Roman" w:hint="eastAsia"/>
                <w:szCs w:val="21"/>
              </w:rPr>
              <w:t>年底启动首个</w:t>
            </w:r>
            <w:r w:rsidR="008E5A25" w:rsidRPr="007E2E44">
              <w:rPr>
                <w:rFonts w:ascii="Times New Roman" w:eastAsia="宋体" w:hAnsi="Times New Roman" w:cs="Times New Roman" w:hint="eastAsia"/>
                <w:szCs w:val="21"/>
              </w:rPr>
              <w:t>CDK4</w:t>
            </w:r>
            <w:r w:rsidR="008E5A25" w:rsidRPr="007E2E44">
              <w:rPr>
                <w:rFonts w:ascii="Times New Roman" w:eastAsia="宋体" w:hAnsi="Times New Roman" w:cs="Times New Roman" w:hint="eastAsia"/>
                <w:szCs w:val="21"/>
              </w:rPr>
              <w:t>的</w:t>
            </w:r>
            <w:r w:rsidR="008E5A25" w:rsidRPr="007E2E44">
              <w:rPr>
                <w:rFonts w:ascii="Times New Roman" w:eastAsia="宋体" w:hAnsi="Times New Roman" w:cs="Times New Roman" w:hint="eastAsia"/>
                <w:szCs w:val="21"/>
              </w:rPr>
              <w:t>III</w:t>
            </w:r>
            <w:r w:rsidR="008E5A25" w:rsidRPr="007E2E44">
              <w:rPr>
                <w:rFonts w:ascii="Times New Roman" w:eastAsia="宋体" w:hAnsi="Times New Roman" w:cs="Times New Roman" w:hint="eastAsia"/>
                <w:szCs w:val="21"/>
              </w:rPr>
              <w:t>期研究，但基于现有数据，我们将进一步确认</w:t>
            </w:r>
            <w:r w:rsidR="008E5A25" w:rsidRPr="007E2E44">
              <w:rPr>
                <w:rFonts w:ascii="Times New Roman" w:eastAsia="宋体" w:hAnsi="Times New Roman" w:cs="Times New Roman" w:hint="eastAsia"/>
                <w:szCs w:val="21"/>
              </w:rPr>
              <w:t>III</w:t>
            </w:r>
            <w:r w:rsidR="008E5A25" w:rsidRPr="007E2E44">
              <w:rPr>
                <w:rFonts w:ascii="Times New Roman" w:eastAsia="宋体" w:hAnsi="Times New Roman" w:cs="Times New Roman" w:hint="eastAsia"/>
                <w:szCs w:val="21"/>
              </w:rPr>
              <w:t>期剂量选择。时间调整幅度极小，仅从</w:t>
            </w:r>
            <w:r w:rsidR="008E5A25" w:rsidRPr="007E2E44">
              <w:rPr>
                <w:rFonts w:ascii="Times New Roman" w:eastAsia="宋体" w:hAnsi="Times New Roman" w:cs="Times New Roman" w:hint="eastAsia"/>
                <w:szCs w:val="21"/>
              </w:rPr>
              <w:t>2025</w:t>
            </w:r>
            <w:r w:rsidR="008E5A25" w:rsidRPr="007E2E44">
              <w:rPr>
                <w:rFonts w:ascii="Times New Roman" w:eastAsia="宋体" w:hAnsi="Times New Roman" w:cs="Times New Roman" w:hint="eastAsia"/>
                <w:szCs w:val="21"/>
              </w:rPr>
              <w:t>年底延至</w:t>
            </w:r>
            <w:r w:rsidR="008E5A25" w:rsidRPr="007E2E44">
              <w:rPr>
                <w:rFonts w:ascii="Times New Roman" w:eastAsia="宋体" w:hAnsi="Times New Roman" w:cs="Times New Roman" w:hint="eastAsia"/>
                <w:szCs w:val="21"/>
              </w:rPr>
              <w:t>2026</w:t>
            </w:r>
            <w:r w:rsidR="008E5A25" w:rsidRPr="007E2E44">
              <w:rPr>
                <w:rFonts w:ascii="Times New Roman" w:eastAsia="宋体" w:hAnsi="Times New Roman" w:cs="Times New Roman" w:hint="eastAsia"/>
                <w:szCs w:val="21"/>
              </w:rPr>
              <w:t>年初，故更新相关指引。公司还披露计划于</w:t>
            </w:r>
            <w:r w:rsidR="008E5A25" w:rsidRPr="007E2E44">
              <w:rPr>
                <w:rFonts w:ascii="Times New Roman" w:eastAsia="宋体" w:hAnsi="Times New Roman" w:cs="Times New Roman" w:hint="eastAsia"/>
                <w:szCs w:val="21"/>
              </w:rPr>
              <w:t>2026</w:t>
            </w:r>
            <w:r w:rsidR="008E5A25" w:rsidRPr="007E2E44">
              <w:rPr>
                <w:rFonts w:ascii="Times New Roman" w:eastAsia="宋体" w:hAnsi="Times New Roman" w:cs="Times New Roman" w:hint="eastAsia"/>
                <w:szCs w:val="21"/>
              </w:rPr>
              <w:t>年启动</w:t>
            </w:r>
            <w:r w:rsidR="008E5A25" w:rsidRPr="007E2E44">
              <w:rPr>
                <w:rFonts w:ascii="Times New Roman" w:eastAsia="宋体" w:hAnsi="Times New Roman" w:cs="Times New Roman" w:hint="eastAsia"/>
                <w:szCs w:val="21"/>
              </w:rPr>
              <w:t>CDK4</w:t>
            </w:r>
            <w:r w:rsidR="008E5A25" w:rsidRPr="007E2E44">
              <w:rPr>
                <w:rFonts w:ascii="Times New Roman" w:eastAsia="宋体" w:hAnsi="Times New Roman" w:cs="Times New Roman" w:hint="eastAsia"/>
                <w:szCs w:val="21"/>
              </w:rPr>
              <w:t>抑制剂一线治疗研究。我们拟于今年圣安东尼奥乳腺癌研讨会（</w:t>
            </w:r>
            <w:r w:rsidR="008E5A25" w:rsidRPr="007E2E44">
              <w:rPr>
                <w:rFonts w:ascii="Times New Roman" w:eastAsia="宋体" w:hAnsi="Times New Roman" w:cs="Times New Roman" w:hint="eastAsia"/>
                <w:szCs w:val="21"/>
              </w:rPr>
              <w:t>SABCS</w:t>
            </w:r>
            <w:r w:rsidR="008E5A25" w:rsidRPr="007E2E44">
              <w:rPr>
                <w:rFonts w:ascii="Times New Roman" w:eastAsia="宋体" w:hAnsi="Times New Roman" w:cs="Times New Roman" w:hint="eastAsia"/>
                <w:szCs w:val="21"/>
              </w:rPr>
              <w:t>）公布</w:t>
            </w:r>
            <w:r w:rsidR="008E5A25" w:rsidRPr="007E2E44">
              <w:rPr>
                <w:rFonts w:ascii="Times New Roman" w:eastAsia="宋体" w:hAnsi="Times New Roman" w:cs="Times New Roman" w:hint="eastAsia"/>
                <w:szCs w:val="21"/>
              </w:rPr>
              <w:t>CDK4</w:t>
            </w:r>
            <w:r w:rsidR="008E5A25" w:rsidRPr="007E2E44">
              <w:rPr>
                <w:rFonts w:ascii="Times New Roman" w:eastAsia="宋体" w:hAnsi="Times New Roman" w:cs="Times New Roman" w:hint="eastAsia"/>
                <w:szCs w:val="21"/>
              </w:rPr>
              <w:t>抑制剂与</w:t>
            </w:r>
            <w:proofErr w:type="gramStart"/>
            <w:r w:rsidR="008E5A25" w:rsidRPr="007E2E44">
              <w:rPr>
                <w:rFonts w:ascii="Times New Roman" w:eastAsia="宋体" w:hAnsi="Times New Roman" w:cs="Times New Roman" w:hint="eastAsia"/>
                <w:szCs w:val="21"/>
              </w:rPr>
              <w:t>氟维司群</w:t>
            </w:r>
            <w:proofErr w:type="gramEnd"/>
            <w:r w:rsidR="008E5A25" w:rsidRPr="007E2E44">
              <w:rPr>
                <w:rFonts w:ascii="Times New Roman" w:eastAsia="宋体" w:hAnsi="Times New Roman" w:cs="Times New Roman" w:hint="eastAsia"/>
                <w:szCs w:val="21"/>
              </w:rPr>
              <w:t>联合治疗的剂量优化数据。</w:t>
            </w:r>
            <w:r w:rsidR="002D3BF1" w:rsidRPr="008F2EE2">
              <w:rPr>
                <w:rFonts w:ascii="Times New Roman" w:eastAsia="宋体" w:hAnsi="Times New Roman" w:cs="Times New Roman"/>
                <w:szCs w:val="21"/>
              </w:rPr>
              <w:t>公司认为</w:t>
            </w:r>
            <w:r w:rsidR="006E7F44" w:rsidRPr="008F2EE2">
              <w:rPr>
                <w:rFonts w:ascii="Times New Roman" w:eastAsia="宋体" w:hAnsi="Times New Roman" w:cs="Times New Roman"/>
                <w:szCs w:val="21"/>
              </w:rPr>
              <w:t>CDK4</w:t>
            </w:r>
            <w:r w:rsidR="006E7F44" w:rsidRPr="008F2EE2">
              <w:rPr>
                <w:rFonts w:ascii="Times New Roman" w:eastAsia="宋体" w:hAnsi="Times New Roman" w:cs="Times New Roman"/>
                <w:szCs w:val="21"/>
              </w:rPr>
              <w:t>抑制剂最大的市场为乳腺癌的</w:t>
            </w:r>
            <w:r w:rsidR="00BD152F" w:rsidRPr="008F2EE2">
              <w:rPr>
                <w:rFonts w:ascii="Times New Roman" w:eastAsia="宋体" w:hAnsi="Times New Roman" w:cs="Times New Roman"/>
                <w:szCs w:val="21"/>
              </w:rPr>
              <w:t>一线</w:t>
            </w:r>
            <w:r w:rsidR="006E7F44" w:rsidRPr="008F2EE2">
              <w:rPr>
                <w:rFonts w:ascii="Times New Roman" w:eastAsia="宋体" w:hAnsi="Times New Roman" w:cs="Times New Roman"/>
                <w:szCs w:val="21"/>
              </w:rPr>
              <w:t>和辅助治疗</w:t>
            </w:r>
            <w:r w:rsidR="00255F23" w:rsidRPr="008F2EE2">
              <w:rPr>
                <w:rFonts w:ascii="Times New Roman" w:eastAsia="宋体" w:hAnsi="Times New Roman" w:cs="Times New Roman"/>
                <w:szCs w:val="21"/>
              </w:rPr>
              <w:t>，在</w:t>
            </w:r>
            <w:r w:rsidR="00BD152F" w:rsidRPr="008F2EE2">
              <w:rPr>
                <w:rFonts w:ascii="Times New Roman" w:eastAsia="宋体" w:hAnsi="Times New Roman" w:cs="Times New Roman"/>
                <w:szCs w:val="21"/>
              </w:rPr>
              <w:t>二线开展试验有助于更快取得数据读出并</w:t>
            </w:r>
            <w:proofErr w:type="gramStart"/>
            <w:r w:rsidR="00BD152F" w:rsidRPr="008F2EE2">
              <w:rPr>
                <w:rFonts w:ascii="Times New Roman" w:eastAsia="宋体" w:hAnsi="Times New Roman" w:cs="Times New Roman"/>
                <w:szCs w:val="21"/>
              </w:rPr>
              <w:t>方便联</w:t>
            </w:r>
            <w:proofErr w:type="gramEnd"/>
            <w:r w:rsidR="00BD152F" w:rsidRPr="008F2EE2">
              <w:rPr>
                <w:rFonts w:ascii="Times New Roman" w:eastAsia="宋体" w:hAnsi="Times New Roman" w:cs="Times New Roman"/>
                <w:szCs w:val="21"/>
              </w:rPr>
              <w:t>用</w:t>
            </w:r>
            <w:r w:rsidR="006E7F44" w:rsidRPr="008F2EE2">
              <w:rPr>
                <w:rFonts w:ascii="Times New Roman" w:eastAsia="宋体" w:hAnsi="Times New Roman" w:cs="Times New Roman"/>
                <w:szCs w:val="21"/>
              </w:rPr>
              <w:t>。</w:t>
            </w:r>
            <w:r w:rsidR="00877145" w:rsidRPr="008F2EE2">
              <w:rPr>
                <w:rFonts w:ascii="Times New Roman" w:eastAsia="宋体" w:hAnsi="Times New Roman" w:cs="Times New Roman"/>
                <w:szCs w:val="21"/>
              </w:rPr>
              <w:t>公司对该分子的对外合作持开放态度。</w:t>
            </w:r>
          </w:p>
          <w:p w14:paraId="3E3F2B65" w14:textId="77777777" w:rsidR="00FE7FA4" w:rsidRPr="008F2EE2" w:rsidRDefault="00FE7FA4" w:rsidP="00C258C8">
            <w:pPr>
              <w:spacing w:line="360" w:lineRule="auto"/>
              <w:ind w:firstLine="440"/>
              <w:rPr>
                <w:rFonts w:ascii="Times New Roman" w:eastAsia="宋体" w:hAnsi="Times New Roman" w:cs="Times New Roman"/>
                <w:szCs w:val="21"/>
              </w:rPr>
            </w:pPr>
          </w:p>
          <w:p w14:paraId="3DC959D0" w14:textId="475201EF" w:rsidR="00DE2D4B" w:rsidRPr="008F2EE2" w:rsidRDefault="00C738B6" w:rsidP="00C258C8">
            <w:pPr>
              <w:spacing w:line="360" w:lineRule="auto"/>
              <w:ind w:firstLine="440"/>
              <w:rPr>
                <w:rFonts w:ascii="Times New Roman" w:eastAsia="宋体" w:hAnsi="Times New Roman" w:cs="Times New Roman"/>
                <w:szCs w:val="21"/>
              </w:rPr>
            </w:pPr>
            <w:r w:rsidRPr="008F2EE2">
              <w:rPr>
                <w:rFonts w:ascii="Times New Roman" w:eastAsia="宋体" w:hAnsi="Times New Roman" w:cs="Times New Roman"/>
                <w:szCs w:val="21"/>
              </w:rPr>
              <w:t>Q</w:t>
            </w:r>
            <w:r w:rsidRPr="008F2EE2">
              <w:rPr>
                <w:rFonts w:ascii="Times New Roman" w:eastAsia="宋体" w:hAnsi="Times New Roman" w:cs="Times New Roman"/>
                <w:szCs w:val="21"/>
              </w:rPr>
              <w:t>：请介绍</w:t>
            </w:r>
            <w:r w:rsidR="00F9274E" w:rsidRPr="008F2EE2">
              <w:rPr>
                <w:rFonts w:ascii="Times New Roman" w:eastAsia="宋体" w:hAnsi="Times New Roman" w:cs="Times New Roman"/>
                <w:szCs w:val="21"/>
              </w:rPr>
              <w:t>BTK CDAC</w:t>
            </w:r>
            <w:r w:rsidR="00F9274E" w:rsidRPr="008F2EE2">
              <w:rPr>
                <w:rFonts w:ascii="Times New Roman" w:eastAsia="宋体" w:hAnsi="Times New Roman" w:cs="Times New Roman"/>
                <w:szCs w:val="21"/>
              </w:rPr>
              <w:t>的上市注册路径？</w:t>
            </w:r>
          </w:p>
          <w:p w14:paraId="7EA5B120" w14:textId="4DED77B2" w:rsidR="00F9274E" w:rsidRPr="008F2EE2" w:rsidRDefault="00F9274E" w:rsidP="00C258C8">
            <w:pPr>
              <w:spacing w:line="360" w:lineRule="auto"/>
              <w:ind w:firstLine="440"/>
              <w:rPr>
                <w:rFonts w:ascii="Times New Roman" w:eastAsia="宋体" w:hAnsi="Times New Roman" w:cs="Times New Roman"/>
                <w:szCs w:val="21"/>
              </w:rPr>
            </w:pPr>
            <w:r w:rsidRPr="008F2EE2">
              <w:rPr>
                <w:rFonts w:ascii="Times New Roman" w:eastAsia="宋体" w:hAnsi="Times New Roman" w:cs="Times New Roman"/>
                <w:szCs w:val="21"/>
              </w:rPr>
              <w:t>A</w:t>
            </w:r>
            <w:r w:rsidRPr="008F2EE2">
              <w:rPr>
                <w:rFonts w:ascii="Times New Roman" w:eastAsia="宋体" w:hAnsi="Times New Roman" w:cs="Times New Roman"/>
                <w:szCs w:val="21"/>
              </w:rPr>
              <w:t>：</w:t>
            </w:r>
            <w:r w:rsidR="00080691" w:rsidRPr="00080691">
              <w:rPr>
                <w:rFonts w:ascii="Times New Roman" w:eastAsia="宋体" w:hAnsi="Times New Roman" w:cs="Times New Roman"/>
                <w:bCs/>
                <w:sz w:val="22"/>
              </w:rPr>
              <w:t>关于</w:t>
            </w:r>
            <w:r w:rsidR="00080691" w:rsidRPr="00080691">
              <w:rPr>
                <w:rFonts w:ascii="Times New Roman" w:eastAsia="宋体" w:hAnsi="Times New Roman" w:cs="Times New Roman"/>
                <w:bCs/>
                <w:sz w:val="22"/>
              </w:rPr>
              <w:t>BGB-16673</w:t>
            </w:r>
            <w:r w:rsidR="00080691" w:rsidRPr="00080691">
              <w:rPr>
                <w:rFonts w:ascii="Times New Roman" w:eastAsia="宋体" w:hAnsi="Times New Roman" w:cs="Times New Roman"/>
                <w:bCs/>
                <w:sz w:val="22"/>
              </w:rPr>
              <w:t>（</w:t>
            </w:r>
            <w:r w:rsidR="00080691" w:rsidRPr="00080691">
              <w:rPr>
                <w:rFonts w:ascii="Times New Roman" w:eastAsia="宋体" w:hAnsi="Times New Roman" w:cs="Times New Roman"/>
                <w:bCs/>
                <w:sz w:val="22"/>
              </w:rPr>
              <w:t>BTK CDAC</w:t>
            </w:r>
            <w:r w:rsidR="00080691" w:rsidRPr="00080691">
              <w:rPr>
                <w:rFonts w:ascii="Times New Roman" w:eastAsia="宋体" w:hAnsi="Times New Roman" w:cs="Times New Roman"/>
                <w:bCs/>
                <w:sz w:val="22"/>
              </w:rPr>
              <w:t>），公司预计将于</w:t>
            </w:r>
            <w:r w:rsidR="00080691" w:rsidRPr="00080691">
              <w:rPr>
                <w:rFonts w:ascii="Times New Roman" w:eastAsia="宋体" w:hAnsi="Times New Roman" w:cs="Times New Roman"/>
                <w:bCs/>
                <w:sz w:val="22"/>
              </w:rPr>
              <w:t>2025</w:t>
            </w:r>
            <w:r w:rsidR="00080691" w:rsidRPr="00080691">
              <w:rPr>
                <w:rFonts w:ascii="Times New Roman" w:eastAsia="宋体" w:hAnsi="Times New Roman" w:cs="Times New Roman"/>
                <w:bCs/>
                <w:sz w:val="22"/>
              </w:rPr>
              <w:t>年下半年启动</w:t>
            </w:r>
            <w:r w:rsidR="00080691" w:rsidRPr="00080691">
              <w:rPr>
                <w:rFonts w:ascii="Times New Roman" w:eastAsia="宋体" w:hAnsi="Times New Roman" w:cs="Times New Roman"/>
                <w:bCs/>
                <w:sz w:val="22"/>
              </w:rPr>
              <w:t>“</w:t>
            </w:r>
            <w:r w:rsidR="00080691" w:rsidRPr="00080691">
              <w:rPr>
                <w:rFonts w:ascii="Times New Roman" w:eastAsia="宋体" w:hAnsi="Times New Roman" w:cs="Times New Roman"/>
                <w:bCs/>
                <w:sz w:val="22"/>
              </w:rPr>
              <w:t>头对头</w:t>
            </w:r>
            <w:r w:rsidR="00080691" w:rsidRPr="00080691">
              <w:rPr>
                <w:rFonts w:ascii="Times New Roman" w:eastAsia="宋体" w:hAnsi="Times New Roman" w:cs="Times New Roman"/>
                <w:bCs/>
                <w:sz w:val="22"/>
              </w:rPr>
              <w:t>”</w:t>
            </w:r>
            <w:proofErr w:type="gramStart"/>
            <w:r w:rsidR="00080691" w:rsidRPr="00080691">
              <w:rPr>
                <w:rFonts w:ascii="Times New Roman" w:eastAsia="宋体" w:hAnsi="Times New Roman" w:cs="Times New Roman"/>
                <w:bCs/>
                <w:sz w:val="22"/>
              </w:rPr>
              <w:t>对比非</w:t>
            </w:r>
            <w:proofErr w:type="gramEnd"/>
            <w:r w:rsidR="00080691" w:rsidRPr="00080691">
              <w:rPr>
                <w:rFonts w:ascii="Times New Roman" w:eastAsia="宋体" w:hAnsi="Times New Roman" w:cs="Times New Roman"/>
                <w:bCs/>
                <w:sz w:val="22"/>
              </w:rPr>
              <w:t>共价</w:t>
            </w:r>
            <w:r w:rsidR="00080691" w:rsidRPr="00080691">
              <w:rPr>
                <w:rFonts w:ascii="Times New Roman" w:eastAsia="宋体" w:hAnsi="Times New Roman" w:cs="Times New Roman"/>
                <w:bCs/>
                <w:sz w:val="22"/>
              </w:rPr>
              <w:t>BTK</w:t>
            </w:r>
            <w:r w:rsidR="00080691" w:rsidRPr="00080691">
              <w:rPr>
                <w:rFonts w:ascii="Times New Roman" w:eastAsia="宋体" w:hAnsi="Times New Roman" w:cs="Times New Roman"/>
                <w:bCs/>
                <w:sz w:val="22"/>
              </w:rPr>
              <w:t>抑制剂</w:t>
            </w:r>
            <w:proofErr w:type="gramStart"/>
            <w:r w:rsidR="00080691" w:rsidRPr="00080691">
              <w:rPr>
                <w:rFonts w:ascii="Times New Roman" w:eastAsia="宋体" w:hAnsi="Times New Roman" w:cs="Times New Roman"/>
                <w:bCs/>
                <w:sz w:val="22"/>
              </w:rPr>
              <w:t>匹妥布替尼用于</w:t>
            </w:r>
            <w:proofErr w:type="gramEnd"/>
            <w:r w:rsidR="00080691" w:rsidRPr="00080691">
              <w:rPr>
                <w:rFonts w:ascii="Times New Roman" w:eastAsia="宋体" w:hAnsi="Times New Roman" w:cs="Times New Roman"/>
                <w:bCs/>
                <w:sz w:val="22"/>
              </w:rPr>
              <w:t>治疗</w:t>
            </w:r>
            <w:r w:rsidR="00080691" w:rsidRPr="00080691">
              <w:rPr>
                <w:rFonts w:ascii="Times New Roman" w:eastAsia="宋体" w:hAnsi="Times New Roman" w:cs="Times New Roman"/>
                <w:bCs/>
                <w:sz w:val="22"/>
              </w:rPr>
              <w:t>R/R CLL</w:t>
            </w:r>
            <w:r w:rsidR="00080691" w:rsidRPr="00080691">
              <w:rPr>
                <w:rFonts w:ascii="Times New Roman" w:eastAsia="宋体" w:hAnsi="Times New Roman" w:cs="Times New Roman"/>
                <w:bCs/>
                <w:sz w:val="22"/>
              </w:rPr>
              <w:t>患者的三期临床试验，同时预计将于</w:t>
            </w:r>
            <w:r w:rsidR="00080691" w:rsidRPr="00080691">
              <w:rPr>
                <w:rFonts w:ascii="Times New Roman" w:eastAsia="宋体" w:hAnsi="Times New Roman" w:cs="Times New Roman"/>
                <w:bCs/>
                <w:sz w:val="22"/>
              </w:rPr>
              <w:t>2026</w:t>
            </w:r>
            <w:r w:rsidR="00080691" w:rsidRPr="00080691">
              <w:rPr>
                <w:rFonts w:ascii="Times New Roman" w:eastAsia="宋体" w:hAnsi="Times New Roman" w:cs="Times New Roman"/>
                <w:bCs/>
                <w:sz w:val="22"/>
              </w:rPr>
              <w:t>年进行</w:t>
            </w:r>
            <w:r w:rsidR="00080691" w:rsidRPr="00080691">
              <w:rPr>
                <w:rFonts w:ascii="Times New Roman" w:eastAsia="宋体" w:hAnsi="Times New Roman" w:cs="Times New Roman"/>
                <w:bCs/>
                <w:sz w:val="22"/>
              </w:rPr>
              <w:t>CaDAnCe-101 R/R CLL 2</w:t>
            </w:r>
            <w:r w:rsidR="00080691" w:rsidRPr="00080691">
              <w:rPr>
                <w:rFonts w:ascii="Times New Roman" w:eastAsia="宋体" w:hAnsi="Times New Roman" w:cs="Times New Roman"/>
                <w:bCs/>
                <w:sz w:val="22"/>
              </w:rPr>
              <w:t>期潜在关键性试验的数据读出，并基于</w:t>
            </w:r>
            <w:r w:rsidR="00080691" w:rsidRPr="00080691">
              <w:rPr>
                <w:rFonts w:ascii="Times New Roman" w:eastAsia="宋体" w:hAnsi="Times New Roman" w:cs="Times New Roman" w:hint="eastAsia"/>
                <w:bCs/>
                <w:sz w:val="22"/>
              </w:rPr>
              <w:t>该</w:t>
            </w:r>
            <w:r w:rsidR="00080691" w:rsidRPr="00080691">
              <w:rPr>
                <w:rFonts w:ascii="Times New Roman" w:eastAsia="宋体" w:hAnsi="Times New Roman" w:cs="Times New Roman"/>
                <w:bCs/>
                <w:sz w:val="22"/>
              </w:rPr>
              <w:t>试验在全球范围内提交注册申报以获得</w:t>
            </w:r>
            <w:r w:rsidR="00080691" w:rsidRPr="00080691">
              <w:rPr>
                <w:rFonts w:ascii="Times New Roman" w:eastAsia="宋体" w:hAnsi="Times New Roman" w:cs="Times New Roman"/>
                <w:bCs/>
                <w:sz w:val="22"/>
              </w:rPr>
              <w:t>CLL</w:t>
            </w:r>
            <w:r w:rsidR="00080691" w:rsidRPr="00080691">
              <w:rPr>
                <w:rFonts w:ascii="Times New Roman" w:eastAsia="宋体" w:hAnsi="Times New Roman" w:cs="Times New Roman"/>
                <w:bCs/>
                <w:sz w:val="22"/>
              </w:rPr>
              <w:t>适应症的潜在加速批准。</w:t>
            </w:r>
          </w:p>
          <w:p w14:paraId="3D62FA30" w14:textId="77777777" w:rsidR="006036F6" w:rsidRPr="008F2EE2" w:rsidRDefault="006036F6" w:rsidP="00C258C8">
            <w:pPr>
              <w:spacing w:line="360" w:lineRule="auto"/>
              <w:ind w:firstLine="440"/>
              <w:rPr>
                <w:rFonts w:ascii="Times New Roman" w:eastAsia="宋体" w:hAnsi="Times New Roman" w:cs="Times New Roman"/>
                <w:szCs w:val="21"/>
              </w:rPr>
            </w:pPr>
          </w:p>
          <w:p w14:paraId="2DC05B53" w14:textId="7C242787" w:rsidR="00E96E84" w:rsidRPr="008F2EE2" w:rsidRDefault="00E96E84" w:rsidP="00C258C8">
            <w:pPr>
              <w:spacing w:line="360" w:lineRule="auto"/>
              <w:ind w:firstLine="440"/>
              <w:rPr>
                <w:rFonts w:ascii="Times New Roman" w:eastAsia="宋体" w:hAnsi="Times New Roman" w:cs="Times New Roman"/>
                <w:szCs w:val="21"/>
              </w:rPr>
            </w:pPr>
            <w:r w:rsidRPr="008F2EE2">
              <w:rPr>
                <w:rFonts w:ascii="Times New Roman" w:eastAsia="宋体" w:hAnsi="Times New Roman" w:cs="Times New Roman"/>
                <w:szCs w:val="21"/>
              </w:rPr>
              <w:t>Q</w:t>
            </w:r>
            <w:r w:rsidRPr="008F2EE2">
              <w:rPr>
                <w:rFonts w:ascii="Times New Roman" w:eastAsia="宋体" w:hAnsi="Times New Roman" w:cs="Times New Roman"/>
                <w:szCs w:val="21"/>
              </w:rPr>
              <w:t>：请介绍</w:t>
            </w:r>
            <w:r w:rsidR="00954680" w:rsidRPr="008F2EE2">
              <w:rPr>
                <w:rFonts w:ascii="Times New Roman" w:eastAsia="宋体" w:hAnsi="Times New Roman" w:cs="Times New Roman"/>
                <w:szCs w:val="21"/>
              </w:rPr>
              <w:t>公司的产品组合开发策略</w:t>
            </w:r>
            <w:r w:rsidR="00441BFB">
              <w:rPr>
                <w:rFonts w:ascii="Times New Roman" w:eastAsia="宋体" w:hAnsi="Times New Roman" w:cs="Times New Roman" w:hint="eastAsia"/>
                <w:szCs w:val="21"/>
              </w:rPr>
              <w:t>？</w:t>
            </w:r>
          </w:p>
          <w:p w14:paraId="341657D0" w14:textId="4975703B" w:rsidR="006036F6" w:rsidRPr="008F2EE2" w:rsidRDefault="00954680" w:rsidP="00C258C8">
            <w:pPr>
              <w:spacing w:line="360" w:lineRule="auto"/>
              <w:ind w:firstLine="440"/>
              <w:rPr>
                <w:rFonts w:ascii="Times New Roman" w:eastAsia="宋体" w:hAnsi="Times New Roman" w:cs="Times New Roman"/>
                <w:szCs w:val="21"/>
              </w:rPr>
            </w:pPr>
            <w:r w:rsidRPr="008F2EE2">
              <w:rPr>
                <w:rFonts w:ascii="Times New Roman" w:eastAsia="宋体" w:hAnsi="Times New Roman" w:cs="Times New Roman"/>
                <w:szCs w:val="21"/>
              </w:rPr>
              <w:t>A</w:t>
            </w:r>
            <w:r w:rsidRPr="008F2EE2">
              <w:rPr>
                <w:rFonts w:ascii="Times New Roman" w:eastAsia="宋体" w:hAnsi="Times New Roman" w:cs="Times New Roman"/>
                <w:szCs w:val="21"/>
              </w:rPr>
              <w:t>：</w:t>
            </w:r>
            <w:r w:rsidR="00E96E84" w:rsidRPr="008F2EE2">
              <w:rPr>
                <w:rFonts w:ascii="Times New Roman" w:eastAsia="宋体" w:hAnsi="Times New Roman" w:cs="Times New Roman"/>
                <w:szCs w:val="21"/>
              </w:rPr>
              <w:t>公司的产品组合策略强调快速生成早期临床概念验证数据，这得益于公司具备速度及成本优势的全球开发运营模式（</w:t>
            </w:r>
            <w:r w:rsidR="00E96E84" w:rsidRPr="008F2EE2">
              <w:rPr>
                <w:rFonts w:ascii="Times New Roman" w:eastAsia="宋体" w:hAnsi="Times New Roman" w:cs="Times New Roman"/>
                <w:szCs w:val="21"/>
              </w:rPr>
              <w:t>“</w:t>
            </w:r>
            <w:r w:rsidR="00E96E84" w:rsidRPr="008F2EE2">
              <w:rPr>
                <w:rFonts w:ascii="Times New Roman" w:eastAsia="宋体" w:hAnsi="Times New Roman" w:cs="Times New Roman"/>
                <w:szCs w:val="21"/>
              </w:rPr>
              <w:t>快速概念验证</w:t>
            </w:r>
            <w:r w:rsidR="00E96E84" w:rsidRPr="008F2EE2">
              <w:rPr>
                <w:rFonts w:ascii="Times New Roman" w:eastAsia="宋体" w:hAnsi="Times New Roman" w:cs="Times New Roman"/>
                <w:szCs w:val="21"/>
              </w:rPr>
              <w:t>”</w:t>
            </w:r>
            <w:r w:rsidR="00E96E84" w:rsidRPr="008F2EE2">
              <w:rPr>
                <w:rFonts w:ascii="Times New Roman" w:eastAsia="宋体" w:hAnsi="Times New Roman" w:cs="Times New Roman"/>
                <w:szCs w:val="21"/>
              </w:rPr>
              <w:t>）。公司内部全球研发（包括临床运营及开发）团队拥有超过</w:t>
            </w:r>
            <w:r w:rsidR="00E96E84" w:rsidRPr="008F2EE2">
              <w:rPr>
                <w:rFonts w:ascii="Times New Roman" w:eastAsia="宋体" w:hAnsi="Times New Roman" w:cs="Times New Roman"/>
                <w:szCs w:val="21"/>
              </w:rPr>
              <w:t>3,700</w:t>
            </w:r>
            <w:r w:rsidR="00E96E84" w:rsidRPr="008F2EE2">
              <w:rPr>
                <w:rFonts w:ascii="Times New Roman" w:eastAsia="宋体" w:hAnsi="Times New Roman" w:cs="Times New Roman"/>
                <w:szCs w:val="21"/>
              </w:rPr>
              <w:t>人，在六大洲开展试验，并通过与超过</w:t>
            </w:r>
            <w:r w:rsidR="00E96E84" w:rsidRPr="008F2EE2">
              <w:rPr>
                <w:rFonts w:ascii="Times New Roman" w:eastAsia="宋体" w:hAnsi="Times New Roman" w:cs="Times New Roman"/>
                <w:szCs w:val="21"/>
              </w:rPr>
              <w:t>45</w:t>
            </w:r>
            <w:r w:rsidR="00E96E84" w:rsidRPr="008F2EE2">
              <w:rPr>
                <w:rFonts w:ascii="Times New Roman" w:eastAsia="宋体" w:hAnsi="Times New Roman" w:cs="Times New Roman"/>
                <w:szCs w:val="21"/>
              </w:rPr>
              <w:t>个国家的监管机构和研究人员合作，致力于确保数据质量符合严格的标准。这种战略性研发模式以数据为导向，助力公司将资源迅速投入到最有前景的、有临床差异化的候选项目中，并调整其他项目的优</w:t>
            </w:r>
            <w:r w:rsidR="00E96E84" w:rsidRPr="008F2EE2">
              <w:rPr>
                <w:rFonts w:ascii="Times New Roman" w:eastAsia="宋体" w:hAnsi="Times New Roman" w:cs="Times New Roman"/>
                <w:szCs w:val="21"/>
              </w:rPr>
              <w:lastRenderedPageBreak/>
              <w:t>先级，从而最大限度地利用资源。百济神州拥有业内规模最大的肿瘤研究团队之一，在小分子和抗体药物的转化发现方面颇具实力，其中包括三种自主研发的平台技术：抗体偶联药物（</w:t>
            </w:r>
            <w:r w:rsidR="00E96E84" w:rsidRPr="008F2EE2">
              <w:rPr>
                <w:rFonts w:ascii="Times New Roman" w:eastAsia="宋体" w:hAnsi="Times New Roman" w:cs="Times New Roman"/>
                <w:szCs w:val="21"/>
              </w:rPr>
              <w:t>ADC</w:t>
            </w:r>
            <w:r w:rsidR="00E96E84" w:rsidRPr="008F2EE2">
              <w:rPr>
                <w:rFonts w:ascii="Times New Roman" w:eastAsia="宋体" w:hAnsi="Times New Roman" w:cs="Times New Roman"/>
                <w:szCs w:val="21"/>
              </w:rPr>
              <w:t>）、多特异性抗体和嵌合式降解激活化合物（</w:t>
            </w:r>
            <w:r w:rsidR="00E96E84" w:rsidRPr="008F2EE2">
              <w:rPr>
                <w:rFonts w:ascii="Times New Roman" w:eastAsia="宋体" w:hAnsi="Times New Roman" w:cs="Times New Roman"/>
                <w:szCs w:val="21"/>
              </w:rPr>
              <w:t>CDAC</w:t>
            </w:r>
            <w:r w:rsidR="00E96E84" w:rsidRPr="008F2EE2">
              <w:rPr>
                <w:rFonts w:ascii="Times New Roman" w:eastAsia="宋体" w:hAnsi="Times New Roman" w:cs="Times New Roman"/>
                <w:szCs w:val="21"/>
              </w:rPr>
              <w:t>）。公司预计今年将在抗体偶联药物、多特异性抗体和</w:t>
            </w:r>
            <w:proofErr w:type="gramStart"/>
            <w:r w:rsidR="00E96E84" w:rsidRPr="008F2EE2">
              <w:rPr>
                <w:rFonts w:ascii="Times New Roman" w:eastAsia="宋体" w:hAnsi="Times New Roman" w:cs="Times New Roman"/>
                <w:szCs w:val="21"/>
              </w:rPr>
              <w:t>靶向</w:t>
            </w:r>
            <w:proofErr w:type="gramEnd"/>
            <w:r w:rsidR="00E96E84" w:rsidRPr="008F2EE2">
              <w:rPr>
                <w:rFonts w:ascii="Times New Roman" w:eastAsia="宋体" w:hAnsi="Times New Roman" w:cs="Times New Roman"/>
                <w:szCs w:val="21"/>
              </w:rPr>
              <w:t>蛋白降解剂等广泛的产品组合中进行多项概念验证数据读出。未来</w:t>
            </w:r>
            <w:r w:rsidR="00E96E84" w:rsidRPr="008F2EE2">
              <w:rPr>
                <w:rFonts w:ascii="Times New Roman" w:eastAsia="宋体" w:hAnsi="Times New Roman" w:cs="Times New Roman"/>
                <w:szCs w:val="21"/>
              </w:rPr>
              <w:t>18</w:t>
            </w:r>
            <w:r w:rsidR="00E96E84" w:rsidRPr="008F2EE2">
              <w:rPr>
                <w:rFonts w:ascii="Times New Roman" w:eastAsia="宋体" w:hAnsi="Times New Roman" w:cs="Times New Roman"/>
                <w:szCs w:val="21"/>
              </w:rPr>
              <w:t>个月内，公司预计将在血液肿瘤和实体瘤管线中迎来超过</w:t>
            </w:r>
            <w:r w:rsidR="00E96E84" w:rsidRPr="008F2EE2">
              <w:rPr>
                <w:rFonts w:ascii="Times New Roman" w:eastAsia="宋体" w:hAnsi="Times New Roman" w:cs="Times New Roman"/>
                <w:szCs w:val="21"/>
              </w:rPr>
              <w:t>20</w:t>
            </w:r>
            <w:r w:rsidR="00E96E84" w:rsidRPr="008F2EE2">
              <w:rPr>
                <w:rFonts w:ascii="Times New Roman" w:eastAsia="宋体" w:hAnsi="Times New Roman" w:cs="Times New Roman"/>
                <w:szCs w:val="21"/>
              </w:rPr>
              <w:t>项里程碑进展。</w:t>
            </w:r>
          </w:p>
          <w:p w14:paraId="7C2D5E48" w14:textId="0C4475B5" w:rsidR="00FD65B4" w:rsidRPr="008F2EE2" w:rsidRDefault="00FD65B4" w:rsidP="00C258C8">
            <w:pPr>
              <w:spacing w:line="360" w:lineRule="auto"/>
              <w:ind w:firstLine="440"/>
              <w:rPr>
                <w:rFonts w:ascii="宋体" w:eastAsia="宋体" w:hAnsi="宋体" w:cs="Times New Roman"/>
                <w:szCs w:val="21"/>
              </w:rPr>
            </w:pPr>
          </w:p>
        </w:tc>
      </w:tr>
      <w:tr w:rsidR="005100C9" w:rsidRPr="005100C9" w14:paraId="15516B5D" w14:textId="77777777" w:rsidTr="3676609B">
        <w:trPr>
          <w:jc w:val="center"/>
        </w:trPr>
        <w:tc>
          <w:tcPr>
            <w:tcW w:w="1526" w:type="dxa"/>
          </w:tcPr>
          <w:p w14:paraId="1852E71B" w14:textId="77777777" w:rsidR="005100C9" w:rsidRPr="008F2EE2" w:rsidRDefault="005100C9" w:rsidP="005100C9">
            <w:pPr>
              <w:adjustRightInd w:val="0"/>
              <w:spacing w:line="276" w:lineRule="auto"/>
              <w:contextualSpacing/>
              <w:rPr>
                <w:rFonts w:ascii="Times New Roman" w:eastAsia="宋体" w:hAnsi="Times New Roman" w:cs="Times New Roman"/>
                <w:szCs w:val="21"/>
                <w14:ligatures w14:val="none"/>
              </w:rPr>
            </w:pPr>
            <w:r w:rsidRPr="008F2EE2">
              <w:rPr>
                <w:rFonts w:ascii="Times New Roman" w:eastAsia="宋体" w:hAnsi="Times New Roman" w:cs="Times New Roman"/>
                <w:szCs w:val="21"/>
                <w14:ligatures w14:val="none"/>
              </w:rPr>
              <w:lastRenderedPageBreak/>
              <w:t>附件清单（如有）</w:t>
            </w:r>
          </w:p>
        </w:tc>
        <w:tc>
          <w:tcPr>
            <w:tcW w:w="7238" w:type="dxa"/>
          </w:tcPr>
          <w:p w14:paraId="3F78B8AC" w14:textId="77777777" w:rsidR="005100C9" w:rsidRPr="008F2EE2" w:rsidRDefault="005100C9" w:rsidP="005100C9">
            <w:pPr>
              <w:adjustRightInd w:val="0"/>
              <w:spacing w:line="360" w:lineRule="auto"/>
              <w:contextualSpacing/>
              <w:rPr>
                <w:rFonts w:ascii="Times New Roman" w:eastAsia="宋体" w:hAnsi="Times New Roman" w:cs="Times New Roman"/>
                <w:szCs w:val="21"/>
                <w14:ligatures w14:val="none"/>
              </w:rPr>
            </w:pPr>
            <w:r w:rsidRPr="008F2EE2">
              <w:rPr>
                <w:rFonts w:ascii="Times New Roman" w:eastAsia="宋体" w:hAnsi="Times New Roman" w:cs="Times New Roman"/>
                <w:szCs w:val="21"/>
                <w14:ligatures w14:val="none"/>
              </w:rPr>
              <w:t>无</w:t>
            </w:r>
          </w:p>
        </w:tc>
      </w:tr>
      <w:tr w:rsidR="005100C9" w:rsidRPr="005100C9" w14:paraId="3C9C3A25" w14:textId="77777777" w:rsidTr="3676609B">
        <w:trPr>
          <w:jc w:val="center"/>
        </w:trPr>
        <w:tc>
          <w:tcPr>
            <w:tcW w:w="1526" w:type="dxa"/>
          </w:tcPr>
          <w:p w14:paraId="6F909032" w14:textId="77777777" w:rsidR="005100C9" w:rsidRPr="008F2EE2" w:rsidRDefault="005100C9" w:rsidP="005100C9">
            <w:pPr>
              <w:adjustRightInd w:val="0"/>
              <w:spacing w:line="360" w:lineRule="auto"/>
              <w:contextualSpacing/>
              <w:rPr>
                <w:rFonts w:ascii="Times New Roman" w:eastAsia="宋体" w:hAnsi="Times New Roman" w:cs="Times New Roman"/>
                <w:szCs w:val="21"/>
                <w14:ligatures w14:val="none"/>
              </w:rPr>
            </w:pPr>
            <w:r w:rsidRPr="008F2EE2">
              <w:rPr>
                <w:rFonts w:ascii="Times New Roman" w:eastAsia="宋体" w:hAnsi="Times New Roman" w:cs="Times New Roman"/>
                <w:szCs w:val="21"/>
                <w14:ligatures w14:val="none"/>
              </w:rPr>
              <w:t>日期</w:t>
            </w:r>
          </w:p>
        </w:tc>
        <w:tc>
          <w:tcPr>
            <w:tcW w:w="7238" w:type="dxa"/>
          </w:tcPr>
          <w:p w14:paraId="17F8BDF6" w14:textId="5D17FC47" w:rsidR="005100C9" w:rsidRPr="008F2EE2" w:rsidRDefault="005100C9" w:rsidP="005100C9">
            <w:pPr>
              <w:adjustRightInd w:val="0"/>
              <w:spacing w:line="360" w:lineRule="auto"/>
              <w:contextualSpacing/>
              <w:rPr>
                <w:rFonts w:ascii="Times New Roman" w:eastAsia="宋体" w:hAnsi="Times New Roman" w:cs="Times New Roman"/>
                <w:szCs w:val="21"/>
                <w14:ligatures w14:val="none"/>
              </w:rPr>
            </w:pPr>
            <w:r w:rsidRPr="008F2EE2">
              <w:rPr>
                <w:rFonts w:ascii="Times New Roman" w:eastAsia="宋体" w:hAnsi="Times New Roman" w:cs="Times New Roman"/>
                <w:szCs w:val="21"/>
                <w14:ligatures w14:val="none"/>
              </w:rPr>
              <w:t>202</w:t>
            </w:r>
            <w:r w:rsidRPr="008F2EE2">
              <w:rPr>
                <w:rFonts w:ascii="Times New Roman" w:eastAsia="宋体" w:hAnsi="Times New Roman" w:cs="Times New Roman" w:hint="eastAsia"/>
                <w:szCs w:val="21"/>
                <w14:ligatures w14:val="none"/>
              </w:rPr>
              <w:t>5</w:t>
            </w:r>
            <w:r w:rsidRPr="008F2EE2">
              <w:rPr>
                <w:rFonts w:ascii="Times New Roman" w:eastAsia="宋体" w:hAnsi="Times New Roman" w:cs="Times New Roman"/>
                <w:szCs w:val="21"/>
                <w14:ligatures w14:val="none"/>
              </w:rPr>
              <w:t>年</w:t>
            </w:r>
            <w:r w:rsidR="00C97D92" w:rsidRPr="008F2EE2">
              <w:rPr>
                <w:rFonts w:ascii="Times New Roman" w:eastAsia="宋体" w:hAnsi="Times New Roman" w:cs="Times New Roman" w:hint="eastAsia"/>
                <w:szCs w:val="21"/>
                <w14:ligatures w14:val="none"/>
              </w:rPr>
              <w:t>8</w:t>
            </w:r>
            <w:r w:rsidRPr="008F2EE2">
              <w:rPr>
                <w:rFonts w:ascii="Times New Roman" w:eastAsia="宋体" w:hAnsi="Times New Roman" w:cs="Times New Roman"/>
                <w:szCs w:val="21"/>
                <w14:ligatures w14:val="none"/>
              </w:rPr>
              <w:t>月</w:t>
            </w:r>
            <w:r w:rsidR="00C97D92" w:rsidRPr="008F2EE2">
              <w:rPr>
                <w:rFonts w:ascii="Times New Roman" w:eastAsia="宋体" w:hAnsi="Times New Roman" w:cs="Times New Roman" w:hint="eastAsia"/>
                <w:szCs w:val="21"/>
                <w14:ligatures w14:val="none"/>
              </w:rPr>
              <w:t>7</w:t>
            </w:r>
            <w:r w:rsidRPr="008F2EE2">
              <w:rPr>
                <w:rFonts w:ascii="Times New Roman" w:eastAsia="宋体" w:hAnsi="Times New Roman" w:cs="Times New Roman"/>
                <w:szCs w:val="21"/>
                <w14:ligatures w14:val="none"/>
              </w:rPr>
              <w:t>日</w:t>
            </w:r>
          </w:p>
        </w:tc>
      </w:tr>
    </w:tbl>
    <w:p w14:paraId="506F649F" w14:textId="77777777" w:rsidR="005100C9" w:rsidRPr="008F2EE2" w:rsidRDefault="005100C9" w:rsidP="005100C9">
      <w:pPr>
        <w:adjustRightInd w:val="0"/>
        <w:spacing w:line="360" w:lineRule="auto"/>
        <w:contextualSpacing/>
        <w:jc w:val="left"/>
        <w:rPr>
          <w:rFonts w:ascii="Times New Roman" w:eastAsia="宋体" w:hAnsi="Times New Roman" w:cs="Times New Roman"/>
          <w:szCs w:val="21"/>
          <w14:ligatures w14:val="none"/>
        </w:rPr>
      </w:pPr>
    </w:p>
    <w:sectPr w:rsidR="005100C9" w:rsidRPr="008F2EE2" w:rsidSect="000A313C">
      <w:pgSz w:w="11906" w:h="16838"/>
      <w:pgMar w:top="1440" w:right="1559"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CF67E" w14:textId="77777777" w:rsidR="00103AC7" w:rsidRDefault="00103AC7" w:rsidP="00045FAD">
      <w:r>
        <w:separator/>
      </w:r>
    </w:p>
  </w:endnote>
  <w:endnote w:type="continuationSeparator" w:id="0">
    <w:p w14:paraId="0DDF2636" w14:textId="77777777" w:rsidR="00103AC7" w:rsidRDefault="00103AC7" w:rsidP="00045FAD">
      <w:r>
        <w:continuationSeparator/>
      </w:r>
    </w:p>
  </w:endnote>
  <w:endnote w:type="continuationNotice" w:id="1">
    <w:p w14:paraId="039E8F6E" w14:textId="77777777" w:rsidR="00103AC7" w:rsidRDefault="00103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67167" w14:textId="77777777" w:rsidR="00103AC7" w:rsidRDefault="00103AC7" w:rsidP="00045FAD">
      <w:r>
        <w:separator/>
      </w:r>
    </w:p>
  </w:footnote>
  <w:footnote w:type="continuationSeparator" w:id="0">
    <w:p w14:paraId="1BCB6BE4" w14:textId="77777777" w:rsidR="00103AC7" w:rsidRDefault="00103AC7" w:rsidP="00045FAD">
      <w:r>
        <w:continuationSeparator/>
      </w:r>
    </w:p>
  </w:footnote>
  <w:footnote w:type="continuationNotice" w:id="1">
    <w:p w14:paraId="48E8470E" w14:textId="77777777" w:rsidR="00103AC7" w:rsidRDefault="00103A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E486E"/>
    <w:multiLevelType w:val="hybridMultilevel"/>
    <w:tmpl w:val="0CEE4B4C"/>
    <w:lvl w:ilvl="0" w:tplc="DCD43EE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EB2216"/>
    <w:multiLevelType w:val="hybridMultilevel"/>
    <w:tmpl w:val="BEFA2D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011326">
    <w:abstractNumId w:val="0"/>
  </w:num>
  <w:num w:numId="2" w16cid:durableId="1571889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25"/>
    <w:rsid w:val="00000A60"/>
    <w:rsid w:val="0000112E"/>
    <w:rsid w:val="0000129D"/>
    <w:rsid w:val="00001ABC"/>
    <w:rsid w:val="00002CF9"/>
    <w:rsid w:val="00010A37"/>
    <w:rsid w:val="00010E4D"/>
    <w:rsid w:val="00010FF9"/>
    <w:rsid w:val="00011D93"/>
    <w:rsid w:val="0001368F"/>
    <w:rsid w:val="000141B0"/>
    <w:rsid w:val="00014292"/>
    <w:rsid w:val="00014818"/>
    <w:rsid w:val="00014C56"/>
    <w:rsid w:val="00015CA8"/>
    <w:rsid w:val="00015DE3"/>
    <w:rsid w:val="00017201"/>
    <w:rsid w:val="0002060D"/>
    <w:rsid w:val="00021608"/>
    <w:rsid w:val="00021725"/>
    <w:rsid w:val="00022440"/>
    <w:rsid w:val="00023337"/>
    <w:rsid w:val="000234DB"/>
    <w:rsid w:val="000238B2"/>
    <w:rsid w:val="00024D92"/>
    <w:rsid w:val="00025FD1"/>
    <w:rsid w:val="0002614F"/>
    <w:rsid w:val="00027809"/>
    <w:rsid w:val="000338E7"/>
    <w:rsid w:val="00033976"/>
    <w:rsid w:val="00034701"/>
    <w:rsid w:val="0003723E"/>
    <w:rsid w:val="0004051C"/>
    <w:rsid w:val="000410D6"/>
    <w:rsid w:val="000411AA"/>
    <w:rsid w:val="0004417D"/>
    <w:rsid w:val="0004468A"/>
    <w:rsid w:val="000447E8"/>
    <w:rsid w:val="000448CC"/>
    <w:rsid w:val="00045FAD"/>
    <w:rsid w:val="00047149"/>
    <w:rsid w:val="00047691"/>
    <w:rsid w:val="00047975"/>
    <w:rsid w:val="000500A7"/>
    <w:rsid w:val="000510A4"/>
    <w:rsid w:val="00052E92"/>
    <w:rsid w:val="00053A1A"/>
    <w:rsid w:val="0005453F"/>
    <w:rsid w:val="00054587"/>
    <w:rsid w:val="00054766"/>
    <w:rsid w:val="0005500A"/>
    <w:rsid w:val="000567C1"/>
    <w:rsid w:val="00056CFE"/>
    <w:rsid w:val="00057E5E"/>
    <w:rsid w:val="00060093"/>
    <w:rsid w:val="00060AF7"/>
    <w:rsid w:val="00060BA5"/>
    <w:rsid w:val="00062608"/>
    <w:rsid w:val="00063FAD"/>
    <w:rsid w:val="00065840"/>
    <w:rsid w:val="00066B83"/>
    <w:rsid w:val="000677AF"/>
    <w:rsid w:val="00067E6F"/>
    <w:rsid w:val="000703A6"/>
    <w:rsid w:val="0007148D"/>
    <w:rsid w:val="0007168F"/>
    <w:rsid w:val="00072231"/>
    <w:rsid w:val="000730F8"/>
    <w:rsid w:val="000741AE"/>
    <w:rsid w:val="00074B16"/>
    <w:rsid w:val="0007562B"/>
    <w:rsid w:val="00075853"/>
    <w:rsid w:val="0007596B"/>
    <w:rsid w:val="000764F8"/>
    <w:rsid w:val="0008028B"/>
    <w:rsid w:val="00080691"/>
    <w:rsid w:val="000806D2"/>
    <w:rsid w:val="00080858"/>
    <w:rsid w:val="00081638"/>
    <w:rsid w:val="000826A7"/>
    <w:rsid w:val="00082C54"/>
    <w:rsid w:val="00082E64"/>
    <w:rsid w:val="00084382"/>
    <w:rsid w:val="00086206"/>
    <w:rsid w:val="000868DF"/>
    <w:rsid w:val="00086DDF"/>
    <w:rsid w:val="000874A4"/>
    <w:rsid w:val="000878A8"/>
    <w:rsid w:val="00087DB1"/>
    <w:rsid w:val="000901E5"/>
    <w:rsid w:val="00090398"/>
    <w:rsid w:val="00091733"/>
    <w:rsid w:val="00091EA3"/>
    <w:rsid w:val="0009358F"/>
    <w:rsid w:val="000938CB"/>
    <w:rsid w:val="0009471E"/>
    <w:rsid w:val="000971E1"/>
    <w:rsid w:val="000A2FE4"/>
    <w:rsid w:val="000A313C"/>
    <w:rsid w:val="000A3B16"/>
    <w:rsid w:val="000A4EA5"/>
    <w:rsid w:val="000A577D"/>
    <w:rsid w:val="000A6007"/>
    <w:rsid w:val="000A6FA1"/>
    <w:rsid w:val="000A6FD1"/>
    <w:rsid w:val="000B4F1F"/>
    <w:rsid w:val="000B5776"/>
    <w:rsid w:val="000B5A12"/>
    <w:rsid w:val="000B5E64"/>
    <w:rsid w:val="000B7D9F"/>
    <w:rsid w:val="000C0EEF"/>
    <w:rsid w:val="000C34FD"/>
    <w:rsid w:val="000C3C0E"/>
    <w:rsid w:val="000C4A20"/>
    <w:rsid w:val="000C4BA2"/>
    <w:rsid w:val="000C5299"/>
    <w:rsid w:val="000C5A84"/>
    <w:rsid w:val="000C617C"/>
    <w:rsid w:val="000C7822"/>
    <w:rsid w:val="000C7FCA"/>
    <w:rsid w:val="000D03E7"/>
    <w:rsid w:val="000D12D8"/>
    <w:rsid w:val="000D1844"/>
    <w:rsid w:val="000D1C89"/>
    <w:rsid w:val="000D34A8"/>
    <w:rsid w:val="000D3BCC"/>
    <w:rsid w:val="000D4522"/>
    <w:rsid w:val="000D55F9"/>
    <w:rsid w:val="000D65A7"/>
    <w:rsid w:val="000E02A2"/>
    <w:rsid w:val="000E28D5"/>
    <w:rsid w:val="000E297B"/>
    <w:rsid w:val="000E315E"/>
    <w:rsid w:val="000E34B6"/>
    <w:rsid w:val="000E3686"/>
    <w:rsid w:val="000E3E53"/>
    <w:rsid w:val="000E562A"/>
    <w:rsid w:val="000E7310"/>
    <w:rsid w:val="000E747A"/>
    <w:rsid w:val="000F0A2C"/>
    <w:rsid w:val="000F0C50"/>
    <w:rsid w:val="000F133B"/>
    <w:rsid w:val="000F1672"/>
    <w:rsid w:val="000F1714"/>
    <w:rsid w:val="000F1725"/>
    <w:rsid w:val="000F2B59"/>
    <w:rsid w:val="000F3F32"/>
    <w:rsid w:val="000F4540"/>
    <w:rsid w:val="000F596B"/>
    <w:rsid w:val="000F621C"/>
    <w:rsid w:val="000F69A0"/>
    <w:rsid w:val="000F7A01"/>
    <w:rsid w:val="000F7D63"/>
    <w:rsid w:val="0010026E"/>
    <w:rsid w:val="001006CB"/>
    <w:rsid w:val="0010153A"/>
    <w:rsid w:val="0010278B"/>
    <w:rsid w:val="001030A0"/>
    <w:rsid w:val="0010355B"/>
    <w:rsid w:val="00103AC7"/>
    <w:rsid w:val="0010412E"/>
    <w:rsid w:val="00105B21"/>
    <w:rsid w:val="0010633A"/>
    <w:rsid w:val="00107A3A"/>
    <w:rsid w:val="0011126C"/>
    <w:rsid w:val="001112E1"/>
    <w:rsid w:val="00111422"/>
    <w:rsid w:val="00112A47"/>
    <w:rsid w:val="001130D7"/>
    <w:rsid w:val="0011425E"/>
    <w:rsid w:val="00115617"/>
    <w:rsid w:val="00116A5F"/>
    <w:rsid w:val="00116FDB"/>
    <w:rsid w:val="001201EB"/>
    <w:rsid w:val="00120764"/>
    <w:rsid w:val="00121A1C"/>
    <w:rsid w:val="001220CC"/>
    <w:rsid w:val="00123C63"/>
    <w:rsid w:val="001245AA"/>
    <w:rsid w:val="00124BCB"/>
    <w:rsid w:val="00124D81"/>
    <w:rsid w:val="00126DB9"/>
    <w:rsid w:val="0013088E"/>
    <w:rsid w:val="001309C4"/>
    <w:rsid w:val="00131770"/>
    <w:rsid w:val="001327FB"/>
    <w:rsid w:val="00133D16"/>
    <w:rsid w:val="001375A4"/>
    <w:rsid w:val="00140512"/>
    <w:rsid w:val="00140EB3"/>
    <w:rsid w:val="00140F99"/>
    <w:rsid w:val="00141F83"/>
    <w:rsid w:val="001421AB"/>
    <w:rsid w:val="001421E1"/>
    <w:rsid w:val="0014238B"/>
    <w:rsid w:val="001424E1"/>
    <w:rsid w:val="001428D8"/>
    <w:rsid w:val="001450BC"/>
    <w:rsid w:val="0014577C"/>
    <w:rsid w:val="001468AF"/>
    <w:rsid w:val="001472CE"/>
    <w:rsid w:val="00150187"/>
    <w:rsid w:val="00151063"/>
    <w:rsid w:val="0015126B"/>
    <w:rsid w:val="00153685"/>
    <w:rsid w:val="00153899"/>
    <w:rsid w:val="001540AC"/>
    <w:rsid w:val="00154B66"/>
    <w:rsid w:val="00155D09"/>
    <w:rsid w:val="001571E2"/>
    <w:rsid w:val="001604EA"/>
    <w:rsid w:val="0016407C"/>
    <w:rsid w:val="00165FB9"/>
    <w:rsid w:val="00166658"/>
    <w:rsid w:val="00167287"/>
    <w:rsid w:val="0016734A"/>
    <w:rsid w:val="00167CE7"/>
    <w:rsid w:val="0017072B"/>
    <w:rsid w:val="001728C5"/>
    <w:rsid w:val="001731FE"/>
    <w:rsid w:val="00173852"/>
    <w:rsid w:val="001744E2"/>
    <w:rsid w:val="00175444"/>
    <w:rsid w:val="0017569B"/>
    <w:rsid w:val="001807A2"/>
    <w:rsid w:val="00181363"/>
    <w:rsid w:val="00182357"/>
    <w:rsid w:val="001854FD"/>
    <w:rsid w:val="0018555A"/>
    <w:rsid w:val="001859CF"/>
    <w:rsid w:val="00186C67"/>
    <w:rsid w:val="001875AE"/>
    <w:rsid w:val="001876E5"/>
    <w:rsid w:val="0018797E"/>
    <w:rsid w:val="00187CF4"/>
    <w:rsid w:val="00190B72"/>
    <w:rsid w:val="00190CAF"/>
    <w:rsid w:val="00190DC9"/>
    <w:rsid w:val="00190E9E"/>
    <w:rsid w:val="0019431C"/>
    <w:rsid w:val="001945D9"/>
    <w:rsid w:val="001953E7"/>
    <w:rsid w:val="00197C4A"/>
    <w:rsid w:val="001A1298"/>
    <w:rsid w:val="001A38E7"/>
    <w:rsid w:val="001A3AFB"/>
    <w:rsid w:val="001A4391"/>
    <w:rsid w:val="001A446C"/>
    <w:rsid w:val="001A6A36"/>
    <w:rsid w:val="001A7ADC"/>
    <w:rsid w:val="001B0457"/>
    <w:rsid w:val="001B076B"/>
    <w:rsid w:val="001B286A"/>
    <w:rsid w:val="001B2CC6"/>
    <w:rsid w:val="001B3938"/>
    <w:rsid w:val="001B6724"/>
    <w:rsid w:val="001B697A"/>
    <w:rsid w:val="001B782E"/>
    <w:rsid w:val="001C0416"/>
    <w:rsid w:val="001C1812"/>
    <w:rsid w:val="001C1E75"/>
    <w:rsid w:val="001C3F3F"/>
    <w:rsid w:val="001C4693"/>
    <w:rsid w:val="001C6FBE"/>
    <w:rsid w:val="001C73A1"/>
    <w:rsid w:val="001C7A77"/>
    <w:rsid w:val="001D0C1C"/>
    <w:rsid w:val="001D0C9C"/>
    <w:rsid w:val="001D0FF5"/>
    <w:rsid w:val="001D4D90"/>
    <w:rsid w:val="001D4DB1"/>
    <w:rsid w:val="001D5D03"/>
    <w:rsid w:val="001D5F5D"/>
    <w:rsid w:val="001D643B"/>
    <w:rsid w:val="001D69C9"/>
    <w:rsid w:val="001D6BDD"/>
    <w:rsid w:val="001D6EC2"/>
    <w:rsid w:val="001E0041"/>
    <w:rsid w:val="001E0665"/>
    <w:rsid w:val="001E0739"/>
    <w:rsid w:val="001E2747"/>
    <w:rsid w:val="001E2E76"/>
    <w:rsid w:val="001E341B"/>
    <w:rsid w:val="001E38F8"/>
    <w:rsid w:val="001E49B8"/>
    <w:rsid w:val="001E5476"/>
    <w:rsid w:val="001E64E0"/>
    <w:rsid w:val="001E6BF6"/>
    <w:rsid w:val="001E79FB"/>
    <w:rsid w:val="001F1F8E"/>
    <w:rsid w:val="001F252C"/>
    <w:rsid w:val="001F3F3B"/>
    <w:rsid w:val="001F405A"/>
    <w:rsid w:val="001F4809"/>
    <w:rsid w:val="001F57C7"/>
    <w:rsid w:val="001F5C68"/>
    <w:rsid w:val="001F5CDE"/>
    <w:rsid w:val="001F61C9"/>
    <w:rsid w:val="001F64D2"/>
    <w:rsid w:val="00200A17"/>
    <w:rsid w:val="00201454"/>
    <w:rsid w:val="0020186A"/>
    <w:rsid w:val="0020235C"/>
    <w:rsid w:val="002032BA"/>
    <w:rsid w:val="0020330C"/>
    <w:rsid w:val="0020429F"/>
    <w:rsid w:val="0020507C"/>
    <w:rsid w:val="00205521"/>
    <w:rsid w:val="00205FD9"/>
    <w:rsid w:val="0020618D"/>
    <w:rsid w:val="00206B01"/>
    <w:rsid w:val="002070A8"/>
    <w:rsid w:val="002104FB"/>
    <w:rsid w:val="0021151C"/>
    <w:rsid w:val="002118B3"/>
    <w:rsid w:val="00212631"/>
    <w:rsid w:val="00215A0E"/>
    <w:rsid w:val="00215C6A"/>
    <w:rsid w:val="002164F6"/>
    <w:rsid w:val="00216E67"/>
    <w:rsid w:val="0021742D"/>
    <w:rsid w:val="00217B9D"/>
    <w:rsid w:val="00221AE9"/>
    <w:rsid w:val="002221DF"/>
    <w:rsid w:val="002227AB"/>
    <w:rsid w:val="00222D88"/>
    <w:rsid w:val="002236D4"/>
    <w:rsid w:val="0022375C"/>
    <w:rsid w:val="00223BB0"/>
    <w:rsid w:val="00223C43"/>
    <w:rsid w:val="002240A6"/>
    <w:rsid w:val="00226469"/>
    <w:rsid w:val="002276C6"/>
    <w:rsid w:val="00230E7D"/>
    <w:rsid w:val="00230F87"/>
    <w:rsid w:val="00231345"/>
    <w:rsid w:val="00231559"/>
    <w:rsid w:val="002325D0"/>
    <w:rsid w:val="00235FC7"/>
    <w:rsid w:val="00240932"/>
    <w:rsid w:val="002418FD"/>
    <w:rsid w:val="00242A49"/>
    <w:rsid w:val="00243AF7"/>
    <w:rsid w:val="00243F47"/>
    <w:rsid w:val="002441C0"/>
    <w:rsid w:val="0024432F"/>
    <w:rsid w:val="002454E0"/>
    <w:rsid w:val="0024718C"/>
    <w:rsid w:val="002472C2"/>
    <w:rsid w:val="002479EC"/>
    <w:rsid w:val="00247C06"/>
    <w:rsid w:val="00247D11"/>
    <w:rsid w:val="00250617"/>
    <w:rsid w:val="002528FE"/>
    <w:rsid w:val="00252C8D"/>
    <w:rsid w:val="0025306E"/>
    <w:rsid w:val="00253915"/>
    <w:rsid w:val="00253BA3"/>
    <w:rsid w:val="00253E79"/>
    <w:rsid w:val="00255113"/>
    <w:rsid w:val="0025571A"/>
    <w:rsid w:val="00255F12"/>
    <w:rsid w:val="00255F23"/>
    <w:rsid w:val="00257F92"/>
    <w:rsid w:val="002609FF"/>
    <w:rsid w:val="0026400E"/>
    <w:rsid w:val="00264F97"/>
    <w:rsid w:val="002650B6"/>
    <w:rsid w:val="00265554"/>
    <w:rsid w:val="002658C1"/>
    <w:rsid w:val="00267BB9"/>
    <w:rsid w:val="00270838"/>
    <w:rsid w:val="002719B9"/>
    <w:rsid w:val="002730F6"/>
    <w:rsid w:val="00273180"/>
    <w:rsid w:val="00274DAD"/>
    <w:rsid w:val="00274FA8"/>
    <w:rsid w:val="00276821"/>
    <w:rsid w:val="00277037"/>
    <w:rsid w:val="002776CD"/>
    <w:rsid w:val="002777E2"/>
    <w:rsid w:val="00280626"/>
    <w:rsid w:val="00281526"/>
    <w:rsid w:val="002815D9"/>
    <w:rsid w:val="00281675"/>
    <w:rsid w:val="0028186E"/>
    <w:rsid w:val="00281AAF"/>
    <w:rsid w:val="002824E5"/>
    <w:rsid w:val="002840A7"/>
    <w:rsid w:val="002843B9"/>
    <w:rsid w:val="00284522"/>
    <w:rsid w:val="00285E8C"/>
    <w:rsid w:val="002879CF"/>
    <w:rsid w:val="00290785"/>
    <w:rsid w:val="00290C2A"/>
    <w:rsid w:val="00291D55"/>
    <w:rsid w:val="00293818"/>
    <w:rsid w:val="00293D66"/>
    <w:rsid w:val="00294B84"/>
    <w:rsid w:val="00296305"/>
    <w:rsid w:val="00297B7F"/>
    <w:rsid w:val="002A0FE1"/>
    <w:rsid w:val="002A2B4C"/>
    <w:rsid w:val="002A43DA"/>
    <w:rsid w:val="002A558E"/>
    <w:rsid w:val="002A5659"/>
    <w:rsid w:val="002A5DCE"/>
    <w:rsid w:val="002A6D21"/>
    <w:rsid w:val="002B0175"/>
    <w:rsid w:val="002B0EE0"/>
    <w:rsid w:val="002B2664"/>
    <w:rsid w:val="002B2E34"/>
    <w:rsid w:val="002B3AFA"/>
    <w:rsid w:val="002C0C76"/>
    <w:rsid w:val="002C0E34"/>
    <w:rsid w:val="002C16FD"/>
    <w:rsid w:val="002C1CA9"/>
    <w:rsid w:val="002C2082"/>
    <w:rsid w:val="002C268D"/>
    <w:rsid w:val="002C2BB3"/>
    <w:rsid w:val="002C2C03"/>
    <w:rsid w:val="002C2EA0"/>
    <w:rsid w:val="002C4D22"/>
    <w:rsid w:val="002C524D"/>
    <w:rsid w:val="002C5719"/>
    <w:rsid w:val="002C5771"/>
    <w:rsid w:val="002C6693"/>
    <w:rsid w:val="002C67F5"/>
    <w:rsid w:val="002D1480"/>
    <w:rsid w:val="002D1908"/>
    <w:rsid w:val="002D1B2A"/>
    <w:rsid w:val="002D1BB5"/>
    <w:rsid w:val="002D26A0"/>
    <w:rsid w:val="002D3422"/>
    <w:rsid w:val="002D3BF1"/>
    <w:rsid w:val="002D4FDC"/>
    <w:rsid w:val="002D5259"/>
    <w:rsid w:val="002D57D3"/>
    <w:rsid w:val="002D59A9"/>
    <w:rsid w:val="002D6724"/>
    <w:rsid w:val="002D79BD"/>
    <w:rsid w:val="002D7C54"/>
    <w:rsid w:val="002E03C0"/>
    <w:rsid w:val="002E05D1"/>
    <w:rsid w:val="002E07D6"/>
    <w:rsid w:val="002E0F39"/>
    <w:rsid w:val="002E10C0"/>
    <w:rsid w:val="002E1473"/>
    <w:rsid w:val="002E1B8B"/>
    <w:rsid w:val="002E3445"/>
    <w:rsid w:val="002E49AA"/>
    <w:rsid w:val="002E4BF2"/>
    <w:rsid w:val="002E55D2"/>
    <w:rsid w:val="002E74DA"/>
    <w:rsid w:val="002F00E5"/>
    <w:rsid w:val="002F029C"/>
    <w:rsid w:val="002F09D0"/>
    <w:rsid w:val="002F0B97"/>
    <w:rsid w:val="002F1618"/>
    <w:rsid w:val="002F2F65"/>
    <w:rsid w:val="002F3198"/>
    <w:rsid w:val="002F3693"/>
    <w:rsid w:val="002F47A2"/>
    <w:rsid w:val="002F4D6F"/>
    <w:rsid w:val="002F503D"/>
    <w:rsid w:val="002F643B"/>
    <w:rsid w:val="002F6459"/>
    <w:rsid w:val="002F6A39"/>
    <w:rsid w:val="002F7142"/>
    <w:rsid w:val="002F7760"/>
    <w:rsid w:val="00302533"/>
    <w:rsid w:val="00302D55"/>
    <w:rsid w:val="00302DB1"/>
    <w:rsid w:val="00304C84"/>
    <w:rsid w:val="003062FC"/>
    <w:rsid w:val="00307C4C"/>
    <w:rsid w:val="00310439"/>
    <w:rsid w:val="00310547"/>
    <w:rsid w:val="0031218E"/>
    <w:rsid w:val="00312483"/>
    <w:rsid w:val="00312735"/>
    <w:rsid w:val="003137A5"/>
    <w:rsid w:val="00314DB2"/>
    <w:rsid w:val="0031677F"/>
    <w:rsid w:val="00316D08"/>
    <w:rsid w:val="00317C3D"/>
    <w:rsid w:val="00320210"/>
    <w:rsid w:val="00320FD5"/>
    <w:rsid w:val="00321996"/>
    <w:rsid w:val="00322202"/>
    <w:rsid w:val="003236A6"/>
    <w:rsid w:val="00323AF1"/>
    <w:rsid w:val="00324469"/>
    <w:rsid w:val="00327456"/>
    <w:rsid w:val="003275C4"/>
    <w:rsid w:val="0032784C"/>
    <w:rsid w:val="003327B0"/>
    <w:rsid w:val="00332E0A"/>
    <w:rsid w:val="003345BA"/>
    <w:rsid w:val="00337556"/>
    <w:rsid w:val="00337EAA"/>
    <w:rsid w:val="00340617"/>
    <w:rsid w:val="00340F61"/>
    <w:rsid w:val="00343CA3"/>
    <w:rsid w:val="00344B6A"/>
    <w:rsid w:val="00345536"/>
    <w:rsid w:val="00345C33"/>
    <w:rsid w:val="00346B5E"/>
    <w:rsid w:val="00347A73"/>
    <w:rsid w:val="00347C37"/>
    <w:rsid w:val="00350B24"/>
    <w:rsid w:val="00350EAB"/>
    <w:rsid w:val="003513EA"/>
    <w:rsid w:val="003521D4"/>
    <w:rsid w:val="00352A24"/>
    <w:rsid w:val="003532D5"/>
    <w:rsid w:val="003536ED"/>
    <w:rsid w:val="00354E1D"/>
    <w:rsid w:val="0035596B"/>
    <w:rsid w:val="003571D2"/>
    <w:rsid w:val="0035745C"/>
    <w:rsid w:val="00361C6B"/>
    <w:rsid w:val="00362716"/>
    <w:rsid w:val="00362904"/>
    <w:rsid w:val="0036373D"/>
    <w:rsid w:val="0036386C"/>
    <w:rsid w:val="00364806"/>
    <w:rsid w:val="003648E2"/>
    <w:rsid w:val="00365233"/>
    <w:rsid w:val="003700F3"/>
    <w:rsid w:val="00370266"/>
    <w:rsid w:val="0037110C"/>
    <w:rsid w:val="003714A7"/>
    <w:rsid w:val="00371B0D"/>
    <w:rsid w:val="00372AB4"/>
    <w:rsid w:val="00372B4B"/>
    <w:rsid w:val="00373998"/>
    <w:rsid w:val="00373D62"/>
    <w:rsid w:val="00374030"/>
    <w:rsid w:val="003741C7"/>
    <w:rsid w:val="003743E3"/>
    <w:rsid w:val="00374B87"/>
    <w:rsid w:val="00375610"/>
    <w:rsid w:val="00376A56"/>
    <w:rsid w:val="0038066F"/>
    <w:rsid w:val="00383E14"/>
    <w:rsid w:val="00385B03"/>
    <w:rsid w:val="00385F64"/>
    <w:rsid w:val="00386548"/>
    <w:rsid w:val="003868D4"/>
    <w:rsid w:val="003868F2"/>
    <w:rsid w:val="00390B21"/>
    <w:rsid w:val="00390E6D"/>
    <w:rsid w:val="00391DAC"/>
    <w:rsid w:val="00397A76"/>
    <w:rsid w:val="00397D8E"/>
    <w:rsid w:val="003A061F"/>
    <w:rsid w:val="003A11CD"/>
    <w:rsid w:val="003A4B49"/>
    <w:rsid w:val="003A50CF"/>
    <w:rsid w:val="003A558C"/>
    <w:rsid w:val="003A7D74"/>
    <w:rsid w:val="003B0850"/>
    <w:rsid w:val="003B0FBF"/>
    <w:rsid w:val="003B2EB9"/>
    <w:rsid w:val="003B4400"/>
    <w:rsid w:val="003B58C3"/>
    <w:rsid w:val="003B58EC"/>
    <w:rsid w:val="003B5FCF"/>
    <w:rsid w:val="003B6F7C"/>
    <w:rsid w:val="003B7049"/>
    <w:rsid w:val="003B7923"/>
    <w:rsid w:val="003C1050"/>
    <w:rsid w:val="003C155E"/>
    <w:rsid w:val="003C1965"/>
    <w:rsid w:val="003C1B47"/>
    <w:rsid w:val="003C35D1"/>
    <w:rsid w:val="003C39F5"/>
    <w:rsid w:val="003C3B2C"/>
    <w:rsid w:val="003C4394"/>
    <w:rsid w:val="003C507F"/>
    <w:rsid w:val="003C5D54"/>
    <w:rsid w:val="003C6FED"/>
    <w:rsid w:val="003D01B5"/>
    <w:rsid w:val="003D0E68"/>
    <w:rsid w:val="003D1D43"/>
    <w:rsid w:val="003D23F1"/>
    <w:rsid w:val="003D33EC"/>
    <w:rsid w:val="003D4AC0"/>
    <w:rsid w:val="003D54E3"/>
    <w:rsid w:val="003D57BB"/>
    <w:rsid w:val="003D5EE9"/>
    <w:rsid w:val="003D6637"/>
    <w:rsid w:val="003D6744"/>
    <w:rsid w:val="003D696F"/>
    <w:rsid w:val="003D7591"/>
    <w:rsid w:val="003D7D1F"/>
    <w:rsid w:val="003D7E62"/>
    <w:rsid w:val="003E075E"/>
    <w:rsid w:val="003E3FAD"/>
    <w:rsid w:val="003E429E"/>
    <w:rsid w:val="003E472D"/>
    <w:rsid w:val="003E5A8F"/>
    <w:rsid w:val="003E6063"/>
    <w:rsid w:val="003F0549"/>
    <w:rsid w:val="003F2136"/>
    <w:rsid w:val="003F21A4"/>
    <w:rsid w:val="003F32AF"/>
    <w:rsid w:val="003F3439"/>
    <w:rsid w:val="003F3642"/>
    <w:rsid w:val="003F36AD"/>
    <w:rsid w:val="003F3EB0"/>
    <w:rsid w:val="003F413F"/>
    <w:rsid w:val="003F700A"/>
    <w:rsid w:val="00400F84"/>
    <w:rsid w:val="00400FC2"/>
    <w:rsid w:val="0040121E"/>
    <w:rsid w:val="00401312"/>
    <w:rsid w:val="004016B5"/>
    <w:rsid w:val="004029CF"/>
    <w:rsid w:val="00403428"/>
    <w:rsid w:val="00403C09"/>
    <w:rsid w:val="00403FDF"/>
    <w:rsid w:val="00404342"/>
    <w:rsid w:val="00406A2C"/>
    <w:rsid w:val="00407385"/>
    <w:rsid w:val="00407601"/>
    <w:rsid w:val="00411B6D"/>
    <w:rsid w:val="00412B7E"/>
    <w:rsid w:val="00413FBB"/>
    <w:rsid w:val="00413FCA"/>
    <w:rsid w:val="0041611D"/>
    <w:rsid w:val="004161BC"/>
    <w:rsid w:val="0042029D"/>
    <w:rsid w:val="004203EB"/>
    <w:rsid w:val="0042064C"/>
    <w:rsid w:val="004209D6"/>
    <w:rsid w:val="00421264"/>
    <w:rsid w:val="00424518"/>
    <w:rsid w:val="00425643"/>
    <w:rsid w:val="00426FE7"/>
    <w:rsid w:val="004301DB"/>
    <w:rsid w:val="004308B1"/>
    <w:rsid w:val="004314D5"/>
    <w:rsid w:val="0043174B"/>
    <w:rsid w:val="00432096"/>
    <w:rsid w:val="00432602"/>
    <w:rsid w:val="00432A80"/>
    <w:rsid w:val="00432BB4"/>
    <w:rsid w:val="00432D14"/>
    <w:rsid w:val="004342B8"/>
    <w:rsid w:val="00434BF9"/>
    <w:rsid w:val="004359AB"/>
    <w:rsid w:val="00436D37"/>
    <w:rsid w:val="004378A2"/>
    <w:rsid w:val="00440129"/>
    <w:rsid w:val="004401EE"/>
    <w:rsid w:val="00440A78"/>
    <w:rsid w:val="00441200"/>
    <w:rsid w:val="00441BFB"/>
    <w:rsid w:val="00443B00"/>
    <w:rsid w:val="004446D6"/>
    <w:rsid w:val="004451B8"/>
    <w:rsid w:val="004467F6"/>
    <w:rsid w:val="00447095"/>
    <w:rsid w:val="00447681"/>
    <w:rsid w:val="0045030D"/>
    <w:rsid w:val="004514ED"/>
    <w:rsid w:val="00451881"/>
    <w:rsid w:val="00451F30"/>
    <w:rsid w:val="004524BE"/>
    <w:rsid w:val="004532E5"/>
    <w:rsid w:val="00453FE8"/>
    <w:rsid w:val="00454F75"/>
    <w:rsid w:val="00455605"/>
    <w:rsid w:val="00455FB6"/>
    <w:rsid w:val="00461AB8"/>
    <w:rsid w:val="0046234C"/>
    <w:rsid w:val="00463367"/>
    <w:rsid w:val="00464EAD"/>
    <w:rsid w:val="00465176"/>
    <w:rsid w:val="00467A9D"/>
    <w:rsid w:val="00470BA9"/>
    <w:rsid w:val="00471051"/>
    <w:rsid w:val="004721C1"/>
    <w:rsid w:val="004721EC"/>
    <w:rsid w:val="0047312A"/>
    <w:rsid w:val="0047676A"/>
    <w:rsid w:val="00476B86"/>
    <w:rsid w:val="00477641"/>
    <w:rsid w:val="004807D2"/>
    <w:rsid w:val="004808B9"/>
    <w:rsid w:val="00481D1C"/>
    <w:rsid w:val="00482640"/>
    <w:rsid w:val="00483363"/>
    <w:rsid w:val="004847FA"/>
    <w:rsid w:val="00484D2B"/>
    <w:rsid w:val="00485027"/>
    <w:rsid w:val="004858D9"/>
    <w:rsid w:val="0048677E"/>
    <w:rsid w:val="004867C3"/>
    <w:rsid w:val="00486884"/>
    <w:rsid w:val="00486B7F"/>
    <w:rsid w:val="004902C8"/>
    <w:rsid w:val="00491C3A"/>
    <w:rsid w:val="00492FE4"/>
    <w:rsid w:val="004939F4"/>
    <w:rsid w:val="0049482C"/>
    <w:rsid w:val="00494F19"/>
    <w:rsid w:val="00495F47"/>
    <w:rsid w:val="00496D97"/>
    <w:rsid w:val="004973C2"/>
    <w:rsid w:val="004A03ED"/>
    <w:rsid w:val="004A0A20"/>
    <w:rsid w:val="004A0C8A"/>
    <w:rsid w:val="004A1589"/>
    <w:rsid w:val="004A203D"/>
    <w:rsid w:val="004A26A2"/>
    <w:rsid w:val="004A385F"/>
    <w:rsid w:val="004A599C"/>
    <w:rsid w:val="004A6258"/>
    <w:rsid w:val="004A6D55"/>
    <w:rsid w:val="004A79E8"/>
    <w:rsid w:val="004B040D"/>
    <w:rsid w:val="004B08D0"/>
    <w:rsid w:val="004B0DF1"/>
    <w:rsid w:val="004B121E"/>
    <w:rsid w:val="004B2DE9"/>
    <w:rsid w:val="004C0427"/>
    <w:rsid w:val="004C0BAD"/>
    <w:rsid w:val="004C1700"/>
    <w:rsid w:val="004C34C3"/>
    <w:rsid w:val="004C466C"/>
    <w:rsid w:val="004C489B"/>
    <w:rsid w:val="004C4B42"/>
    <w:rsid w:val="004C52D2"/>
    <w:rsid w:val="004C5D8F"/>
    <w:rsid w:val="004C62DE"/>
    <w:rsid w:val="004D0C50"/>
    <w:rsid w:val="004D153F"/>
    <w:rsid w:val="004D545C"/>
    <w:rsid w:val="004D555A"/>
    <w:rsid w:val="004D5FA9"/>
    <w:rsid w:val="004D654C"/>
    <w:rsid w:val="004E045D"/>
    <w:rsid w:val="004E3B96"/>
    <w:rsid w:val="004E4D2C"/>
    <w:rsid w:val="004E5EDB"/>
    <w:rsid w:val="004E799E"/>
    <w:rsid w:val="004F0659"/>
    <w:rsid w:val="004F07B1"/>
    <w:rsid w:val="004F2065"/>
    <w:rsid w:val="004F432D"/>
    <w:rsid w:val="004F4919"/>
    <w:rsid w:val="004F4FF7"/>
    <w:rsid w:val="004F5C49"/>
    <w:rsid w:val="004F6426"/>
    <w:rsid w:val="004F752B"/>
    <w:rsid w:val="004F75BD"/>
    <w:rsid w:val="004F7A2E"/>
    <w:rsid w:val="004F7FB3"/>
    <w:rsid w:val="00500C11"/>
    <w:rsid w:val="0050157F"/>
    <w:rsid w:val="00501D02"/>
    <w:rsid w:val="00501E6F"/>
    <w:rsid w:val="0050320B"/>
    <w:rsid w:val="00503A04"/>
    <w:rsid w:val="005065DE"/>
    <w:rsid w:val="00506975"/>
    <w:rsid w:val="00506E42"/>
    <w:rsid w:val="00507409"/>
    <w:rsid w:val="00507DD5"/>
    <w:rsid w:val="005100C9"/>
    <w:rsid w:val="0051041E"/>
    <w:rsid w:val="005106D7"/>
    <w:rsid w:val="0051151C"/>
    <w:rsid w:val="00512494"/>
    <w:rsid w:val="005128C2"/>
    <w:rsid w:val="005135F7"/>
    <w:rsid w:val="0051415F"/>
    <w:rsid w:val="00515830"/>
    <w:rsid w:val="00515ACD"/>
    <w:rsid w:val="00516ADC"/>
    <w:rsid w:val="0051716E"/>
    <w:rsid w:val="005172CA"/>
    <w:rsid w:val="00517391"/>
    <w:rsid w:val="005179AB"/>
    <w:rsid w:val="00517B8E"/>
    <w:rsid w:val="00517EE8"/>
    <w:rsid w:val="00517F83"/>
    <w:rsid w:val="005200E9"/>
    <w:rsid w:val="00520AD5"/>
    <w:rsid w:val="0052113E"/>
    <w:rsid w:val="00521152"/>
    <w:rsid w:val="00521D27"/>
    <w:rsid w:val="005245B7"/>
    <w:rsid w:val="0052488A"/>
    <w:rsid w:val="005265E6"/>
    <w:rsid w:val="00527D31"/>
    <w:rsid w:val="00530429"/>
    <w:rsid w:val="00531415"/>
    <w:rsid w:val="00531800"/>
    <w:rsid w:val="00532BD0"/>
    <w:rsid w:val="00535366"/>
    <w:rsid w:val="00535C0D"/>
    <w:rsid w:val="0053620F"/>
    <w:rsid w:val="005364C1"/>
    <w:rsid w:val="00537D20"/>
    <w:rsid w:val="0054056B"/>
    <w:rsid w:val="005409C5"/>
    <w:rsid w:val="00541491"/>
    <w:rsid w:val="00541703"/>
    <w:rsid w:val="00541F3E"/>
    <w:rsid w:val="005421C9"/>
    <w:rsid w:val="005423BC"/>
    <w:rsid w:val="00543E55"/>
    <w:rsid w:val="005459D2"/>
    <w:rsid w:val="005505ED"/>
    <w:rsid w:val="005517C4"/>
    <w:rsid w:val="00552023"/>
    <w:rsid w:val="00552260"/>
    <w:rsid w:val="00553841"/>
    <w:rsid w:val="00554537"/>
    <w:rsid w:val="0055530A"/>
    <w:rsid w:val="0055567B"/>
    <w:rsid w:val="0055599E"/>
    <w:rsid w:val="005616B7"/>
    <w:rsid w:val="0056180C"/>
    <w:rsid w:val="00563D10"/>
    <w:rsid w:val="00563F56"/>
    <w:rsid w:val="005648B5"/>
    <w:rsid w:val="00565F8B"/>
    <w:rsid w:val="00566B19"/>
    <w:rsid w:val="00567081"/>
    <w:rsid w:val="005745D3"/>
    <w:rsid w:val="0057587E"/>
    <w:rsid w:val="005758B2"/>
    <w:rsid w:val="00575B22"/>
    <w:rsid w:val="005762BC"/>
    <w:rsid w:val="00580C04"/>
    <w:rsid w:val="00580C72"/>
    <w:rsid w:val="005810F3"/>
    <w:rsid w:val="005813C2"/>
    <w:rsid w:val="0058144E"/>
    <w:rsid w:val="00581672"/>
    <w:rsid w:val="005838E3"/>
    <w:rsid w:val="00586F60"/>
    <w:rsid w:val="00587B1B"/>
    <w:rsid w:val="00590BA4"/>
    <w:rsid w:val="005911B1"/>
    <w:rsid w:val="0059133F"/>
    <w:rsid w:val="005917D5"/>
    <w:rsid w:val="005919BC"/>
    <w:rsid w:val="005924FC"/>
    <w:rsid w:val="005927C5"/>
    <w:rsid w:val="00592C22"/>
    <w:rsid w:val="00592E49"/>
    <w:rsid w:val="00593054"/>
    <w:rsid w:val="00594C30"/>
    <w:rsid w:val="005953BB"/>
    <w:rsid w:val="005961D8"/>
    <w:rsid w:val="005963AD"/>
    <w:rsid w:val="00596921"/>
    <w:rsid w:val="00597ACE"/>
    <w:rsid w:val="005A39D4"/>
    <w:rsid w:val="005A414F"/>
    <w:rsid w:val="005A5043"/>
    <w:rsid w:val="005A6A51"/>
    <w:rsid w:val="005A7015"/>
    <w:rsid w:val="005A7BE2"/>
    <w:rsid w:val="005B0847"/>
    <w:rsid w:val="005B46FB"/>
    <w:rsid w:val="005B5ED4"/>
    <w:rsid w:val="005B671A"/>
    <w:rsid w:val="005B7429"/>
    <w:rsid w:val="005C027D"/>
    <w:rsid w:val="005C155D"/>
    <w:rsid w:val="005C1AE2"/>
    <w:rsid w:val="005C30B0"/>
    <w:rsid w:val="005C3D50"/>
    <w:rsid w:val="005C598D"/>
    <w:rsid w:val="005C5E9D"/>
    <w:rsid w:val="005C6567"/>
    <w:rsid w:val="005D0579"/>
    <w:rsid w:val="005D08CB"/>
    <w:rsid w:val="005D124E"/>
    <w:rsid w:val="005D245A"/>
    <w:rsid w:val="005D432F"/>
    <w:rsid w:val="005D6077"/>
    <w:rsid w:val="005D7797"/>
    <w:rsid w:val="005E002C"/>
    <w:rsid w:val="005E183D"/>
    <w:rsid w:val="005E25C7"/>
    <w:rsid w:val="005E4C63"/>
    <w:rsid w:val="005E6340"/>
    <w:rsid w:val="005E63C9"/>
    <w:rsid w:val="005E63F5"/>
    <w:rsid w:val="005E758E"/>
    <w:rsid w:val="005E76D9"/>
    <w:rsid w:val="005F0678"/>
    <w:rsid w:val="005F1A5F"/>
    <w:rsid w:val="005F3488"/>
    <w:rsid w:val="005F42F3"/>
    <w:rsid w:val="005F5691"/>
    <w:rsid w:val="005F5F28"/>
    <w:rsid w:val="005F7DC3"/>
    <w:rsid w:val="005F7F59"/>
    <w:rsid w:val="00601129"/>
    <w:rsid w:val="006026FA"/>
    <w:rsid w:val="0060360C"/>
    <w:rsid w:val="006036F6"/>
    <w:rsid w:val="0060375A"/>
    <w:rsid w:val="0060425B"/>
    <w:rsid w:val="006042EE"/>
    <w:rsid w:val="006046DD"/>
    <w:rsid w:val="00605EE9"/>
    <w:rsid w:val="006065A0"/>
    <w:rsid w:val="00606CC3"/>
    <w:rsid w:val="0060729B"/>
    <w:rsid w:val="00610FD1"/>
    <w:rsid w:val="00611558"/>
    <w:rsid w:val="00611838"/>
    <w:rsid w:val="00611935"/>
    <w:rsid w:val="0061206C"/>
    <w:rsid w:val="00612C8F"/>
    <w:rsid w:val="00613878"/>
    <w:rsid w:val="006170D4"/>
    <w:rsid w:val="0062084F"/>
    <w:rsid w:val="00620BC8"/>
    <w:rsid w:val="00620E95"/>
    <w:rsid w:val="00621B56"/>
    <w:rsid w:val="00622B0D"/>
    <w:rsid w:val="00622CDA"/>
    <w:rsid w:val="00623587"/>
    <w:rsid w:val="00624B0E"/>
    <w:rsid w:val="0062645F"/>
    <w:rsid w:val="00626AAB"/>
    <w:rsid w:val="00627667"/>
    <w:rsid w:val="00631EAB"/>
    <w:rsid w:val="0063268A"/>
    <w:rsid w:val="00632F4C"/>
    <w:rsid w:val="00633592"/>
    <w:rsid w:val="00633968"/>
    <w:rsid w:val="006352F9"/>
    <w:rsid w:val="00635DE4"/>
    <w:rsid w:val="00635F03"/>
    <w:rsid w:val="00636711"/>
    <w:rsid w:val="00636C22"/>
    <w:rsid w:val="00637A9C"/>
    <w:rsid w:val="006405C8"/>
    <w:rsid w:val="00641E40"/>
    <w:rsid w:val="006434B5"/>
    <w:rsid w:val="00643D56"/>
    <w:rsid w:val="006452E5"/>
    <w:rsid w:val="00645398"/>
    <w:rsid w:val="00645C23"/>
    <w:rsid w:val="006460C0"/>
    <w:rsid w:val="00646445"/>
    <w:rsid w:val="00646907"/>
    <w:rsid w:val="0065089C"/>
    <w:rsid w:val="0065210F"/>
    <w:rsid w:val="00652D51"/>
    <w:rsid w:val="00652FE8"/>
    <w:rsid w:val="00653BAC"/>
    <w:rsid w:val="006544BC"/>
    <w:rsid w:val="0065456C"/>
    <w:rsid w:val="006549BB"/>
    <w:rsid w:val="006558A8"/>
    <w:rsid w:val="006559AC"/>
    <w:rsid w:val="00656E8F"/>
    <w:rsid w:val="0065745E"/>
    <w:rsid w:val="00657D70"/>
    <w:rsid w:val="00657FEB"/>
    <w:rsid w:val="00660E4C"/>
    <w:rsid w:val="00661012"/>
    <w:rsid w:val="00661795"/>
    <w:rsid w:val="00661C9F"/>
    <w:rsid w:val="00662FA8"/>
    <w:rsid w:val="00662FC3"/>
    <w:rsid w:val="006635B7"/>
    <w:rsid w:val="006635FD"/>
    <w:rsid w:val="006636DF"/>
    <w:rsid w:val="0066402C"/>
    <w:rsid w:val="00664B72"/>
    <w:rsid w:val="006659F5"/>
    <w:rsid w:val="00665FDB"/>
    <w:rsid w:val="00666A92"/>
    <w:rsid w:val="00667258"/>
    <w:rsid w:val="0066790C"/>
    <w:rsid w:val="0067010E"/>
    <w:rsid w:val="0067059C"/>
    <w:rsid w:val="00671FCA"/>
    <w:rsid w:val="006727A0"/>
    <w:rsid w:val="00672CFC"/>
    <w:rsid w:val="00673B24"/>
    <w:rsid w:val="0067565C"/>
    <w:rsid w:val="00675EE6"/>
    <w:rsid w:val="00676800"/>
    <w:rsid w:val="00677D53"/>
    <w:rsid w:val="0068153E"/>
    <w:rsid w:val="00681D50"/>
    <w:rsid w:val="00684504"/>
    <w:rsid w:val="00685114"/>
    <w:rsid w:val="0068565A"/>
    <w:rsid w:val="00685EA6"/>
    <w:rsid w:val="00691B65"/>
    <w:rsid w:val="0069208F"/>
    <w:rsid w:val="0069398E"/>
    <w:rsid w:val="00694458"/>
    <w:rsid w:val="00694761"/>
    <w:rsid w:val="0069508B"/>
    <w:rsid w:val="00695732"/>
    <w:rsid w:val="00696C9E"/>
    <w:rsid w:val="00697960"/>
    <w:rsid w:val="006979EE"/>
    <w:rsid w:val="006A295C"/>
    <w:rsid w:val="006A3EC2"/>
    <w:rsid w:val="006A721D"/>
    <w:rsid w:val="006A79C2"/>
    <w:rsid w:val="006B318F"/>
    <w:rsid w:val="006B41F8"/>
    <w:rsid w:val="006B429D"/>
    <w:rsid w:val="006B43B7"/>
    <w:rsid w:val="006B4843"/>
    <w:rsid w:val="006B558B"/>
    <w:rsid w:val="006B7039"/>
    <w:rsid w:val="006B78AD"/>
    <w:rsid w:val="006C107E"/>
    <w:rsid w:val="006C1877"/>
    <w:rsid w:val="006C491A"/>
    <w:rsid w:val="006C4BCC"/>
    <w:rsid w:val="006C55C0"/>
    <w:rsid w:val="006C731D"/>
    <w:rsid w:val="006C74EA"/>
    <w:rsid w:val="006D00B2"/>
    <w:rsid w:val="006D3161"/>
    <w:rsid w:val="006D358E"/>
    <w:rsid w:val="006D4E8F"/>
    <w:rsid w:val="006D6566"/>
    <w:rsid w:val="006D683C"/>
    <w:rsid w:val="006D6BEC"/>
    <w:rsid w:val="006D7EF7"/>
    <w:rsid w:val="006E087B"/>
    <w:rsid w:val="006E0B33"/>
    <w:rsid w:val="006E1AB7"/>
    <w:rsid w:val="006E20FE"/>
    <w:rsid w:val="006E30A0"/>
    <w:rsid w:val="006E5594"/>
    <w:rsid w:val="006E568B"/>
    <w:rsid w:val="006E756D"/>
    <w:rsid w:val="006E7F44"/>
    <w:rsid w:val="006F01B8"/>
    <w:rsid w:val="006F069D"/>
    <w:rsid w:val="006F2225"/>
    <w:rsid w:val="006F2939"/>
    <w:rsid w:val="006F46BA"/>
    <w:rsid w:val="006F56A7"/>
    <w:rsid w:val="006F64D6"/>
    <w:rsid w:val="006F73B9"/>
    <w:rsid w:val="00700289"/>
    <w:rsid w:val="0070051F"/>
    <w:rsid w:val="007008FD"/>
    <w:rsid w:val="00700929"/>
    <w:rsid w:val="00701518"/>
    <w:rsid w:val="007018F0"/>
    <w:rsid w:val="00702280"/>
    <w:rsid w:val="00702A69"/>
    <w:rsid w:val="00703294"/>
    <w:rsid w:val="00703541"/>
    <w:rsid w:val="00703A8F"/>
    <w:rsid w:val="00706531"/>
    <w:rsid w:val="00706840"/>
    <w:rsid w:val="0070731B"/>
    <w:rsid w:val="00711AFE"/>
    <w:rsid w:val="007125A0"/>
    <w:rsid w:val="00712A5D"/>
    <w:rsid w:val="00712A96"/>
    <w:rsid w:val="00712C72"/>
    <w:rsid w:val="00712EBF"/>
    <w:rsid w:val="0071335E"/>
    <w:rsid w:val="007134A3"/>
    <w:rsid w:val="007152B4"/>
    <w:rsid w:val="0071604E"/>
    <w:rsid w:val="00716D37"/>
    <w:rsid w:val="007224B4"/>
    <w:rsid w:val="00722536"/>
    <w:rsid w:val="00722934"/>
    <w:rsid w:val="00722D87"/>
    <w:rsid w:val="0072322C"/>
    <w:rsid w:val="00723A57"/>
    <w:rsid w:val="00723F55"/>
    <w:rsid w:val="007243B4"/>
    <w:rsid w:val="00724743"/>
    <w:rsid w:val="007254B7"/>
    <w:rsid w:val="007255A7"/>
    <w:rsid w:val="00725C9E"/>
    <w:rsid w:val="0072796F"/>
    <w:rsid w:val="00727D07"/>
    <w:rsid w:val="00730225"/>
    <w:rsid w:val="00731DC4"/>
    <w:rsid w:val="00732847"/>
    <w:rsid w:val="00732A2C"/>
    <w:rsid w:val="00733228"/>
    <w:rsid w:val="00734232"/>
    <w:rsid w:val="00734A0D"/>
    <w:rsid w:val="00734E1D"/>
    <w:rsid w:val="00735415"/>
    <w:rsid w:val="00735B7F"/>
    <w:rsid w:val="00736055"/>
    <w:rsid w:val="0073625D"/>
    <w:rsid w:val="00736519"/>
    <w:rsid w:val="00736633"/>
    <w:rsid w:val="00736D4E"/>
    <w:rsid w:val="00736E07"/>
    <w:rsid w:val="00737D64"/>
    <w:rsid w:val="0074103E"/>
    <w:rsid w:val="0074166C"/>
    <w:rsid w:val="00741AFF"/>
    <w:rsid w:val="00742E7E"/>
    <w:rsid w:val="00743C90"/>
    <w:rsid w:val="007443D2"/>
    <w:rsid w:val="00745524"/>
    <w:rsid w:val="007456D1"/>
    <w:rsid w:val="00745B89"/>
    <w:rsid w:val="0074627E"/>
    <w:rsid w:val="007468A2"/>
    <w:rsid w:val="00750520"/>
    <w:rsid w:val="007549E8"/>
    <w:rsid w:val="0075572A"/>
    <w:rsid w:val="007561B3"/>
    <w:rsid w:val="00756F76"/>
    <w:rsid w:val="0076025C"/>
    <w:rsid w:val="007607FD"/>
    <w:rsid w:val="00761394"/>
    <w:rsid w:val="00762328"/>
    <w:rsid w:val="007641D2"/>
    <w:rsid w:val="0076470D"/>
    <w:rsid w:val="00773359"/>
    <w:rsid w:val="00774203"/>
    <w:rsid w:val="00775CF3"/>
    <w:rsid w:val="00776C98"/>
    <w:rsid w:val="0077712F"/>
    <w:rsid w:val="007776D4"/>
    <w:rsid w:val="007808F7"/>
    <w:rsid w:val="00781A07"/>
    <w:rsid w:val="00781C74"/>
    <w:rsid w:val="00781E46"/>
    <w:rsid w:val="00783305"/>
    <w:rsid w:val="007834FB"/>
    <w:rsid w:val="00783CE8"/>
    <w:rsid w:val="00784919"/>
    <w:rsid w:val="0078499A"/>
    <w:rsid w:val="00785D0A"/>
    <w:rsid w:val="0078660C"/>
    <w:rsid w:val="0078685B"/>
    <w:rsid w:val="00790A83"/>
    <w:rsid w:val="00790C6B"/>
    <w:rsid w:val="00792723"/>
    <w:rsid w:val="0079300E"/>
    <w:rsid w:val="007949B7"/>
    <w:rsid w:val="00796866"/>
    <w:rsid w:val="007A105E"/>
    <w:rsid w:val="007A2248"/>
    <w:rsid w:val="007A2B9B"/>
    <w:rsid w:val="007A343F"/>
    <w:rsid w:val="007A3C4C"/>
    <w:rsid w:val="007A3C54"/>
    <w:rsid w:val="007A496C"/>
    <w:rsid w:val="007A578C"/>
    <w:rsid w:val="007A57D0"/>
    <w:rsid w:val="007A5A85"/>
    <w:rsid w:val="007A6400"/>
    <w:rsid w:val="007A7442"/>
    <w:rsid w:val="007B2B68"/>
    <w:rsid w:val="007B33B4"/>
    <w:rsid w:val="007B4045"/>
    <w:rsid w:val="007B43E0"/>
    <w:rsid w:val="007B594F"/>
    <w:rsid w:val="007B5B1A"/>
    <w:rsid w:val="007B754F"/>
    <w:rsid w:val="007B7B0C"/>
    <w:rsid w:val="007C091B"/>
    <w:rsid w:val="007C35D4"/>
    <w:rsid w:val="007C429B"/>
    <w:rsid w:val="007C4376"/>
    <w:rsid w:val="007C4D94"/>
    <w:rsid w:val="007C517A"/>
    <w:rsid w:val="007C6B7A"/>
    <w:rsid w:val="007C73BF"/>
    <w:rsid w:val="007D1B32"/>
    <w:rsid w:val="007D2711"/>
    <w:rsid w:val="007D3891"/>
    <w:rsid w:val="007D4616"/>
    <w:rsid w:val="007D46F1"/>
    <w:rsid w:val="007D54C0"/>
    <w:rsid w:val="007D5E0E"/>
    <w:rsid w:val="007D616A"/>
    <w:rsid w:val="007D65F7"/>
    <w:rsid w:val="007D6781"/>
    <w:rsid w:val="007D7136"/>
    <w:rsid w:val="007D76AD"/>
    <w:rsid w:val="007E0B37"/>
    <w:rsid w:val="007E152F"/>
    <w:rsid w:val="007E196A"/>
    <w:rsid w:val="007E2E44"/>
    <w:rsid w:val="007E3F8E"/>
    <w:rsid w:val="007E4EAF"/>
    <w:rsid w:val="007E5140"/>
    <w:rsid w:val="007E5DC9"/>
    <w:rsid w:val="007F069E"/>
    <w:rsid w:val="007F25C1"/>
    <w:rsid w:val="007F3F5E"/>
    <w:rsid w:val="007F7F9D"/>
    <w:rsid w:val="00803377"/>
    <w:rsid w:val="00803468"/>
    <w:rsid w:val="008069EB"/>
    <w:rsid w:val="00806D3B"/>
    <w:rsid w:val="00807258"/>
    <w:rsid w:val="008073A2"/>
    <w:rsid w:val="008076D3"/>
    <w:rsid w:val="00810AC6"/>
    <w:rsid w:val="00810D81"/>
    <w:rsid w:val="008124E1"/>
    <w:rsid w:val="00812C7A"/>
    <w:rsid w:val="00813FD8"/>
    <w:rsid w:val="00814853"/>
    <w:rsid w:val="00817115"/>
    <w:rsid w:val="0082134A"/>
    <w:rsid w:val="008213F6"/>
    <w:rsid w:val="00822216"/>
    <w:rsid w:val="0082336E"/>
    <w:rsid w:val="00824E47"/>
    <w:rsid w:val="00825CEF"/>
    <w:rsid w:val="0082671E"/>
    <w:rsid w:val="00827A8D"/>
    <w:rsid w:val="00830294"/>
    <w:rsid w:val="00831716"/>
    <w:rsid w:val="008320A3"/>
    <w:rsid w:val="008321AB"/>
    <w:rsid w:val="0083229A"/>
    <w:rsid w:val="00833C59"/>
    <w:rsid w:val="00834801"/>
    <w:rsid w:val="00834FAE"/>
    <w:rsid w:val="00840901"/>
    <w:rsid w:val="00841A78"/>
    <w:rsid w:val="0084581D"/>
    <w:rsid w:val="008469D0"/>
    <w:rsid w:val="008473DA"/>
    <w:rsid w:val="0085019E"/>
    <w:rsid w:val="00850AE8"/>
    <w:rsid w:val="00850E38"/>
    <w:rsid w:val="008528AD"/>
    <w:rsid w:val="00853825"/>
    <w:rsid w:val="00853D74"/>
    <w:rsid w:val="008579C1"/>
    <w:rsid w:val="00860E8E"/>
    <w:rsid w:val="008610CF"/>
    <w:rsid w:val="008613E9"/>
    <w:rsid w:val="00861DCC"/>
    <w:rsid w:val="00861E2B"/>
    <w:rsid w:val="00862434"/>
    <w:rsid w:val="00862E17"/>
    <w:rsid w:val="008637E2"/>
    <w:rsid w:val="00864CD9"/>
    <w:rsid w:val="00866611"/>
    <w:rsid w:val="00866EF7"/>
    <w:rsid w:val="00871E58"/>
    <w:rsid w:val="00872512"/>
    <w:rsid w:val="008727EF"/>
    <w:rsid w:val="008737A9"/>
    <w:rsid w:val="008740BF"/>
    <w:rsid w:val="008741B2"/>
    <w:rsid w:val="0087565D"/>
    <w:rsid w:val="00877145"/>
    <w:rsid w:val="00881AFC"/>
    <w:rsid w:val="00881DA5"/>
    <w:rsid w:val="008832F8"/>
    <w:rsid w:val="0088333A"/>
    <w:rsid w:val="00883351"/>
    <w:rsid w:val="008833B5"/>
    <w:rsid w:val="00883400"/>
    <w:rsid w:val="00883B55"/>
    <w:rsid w:val="0088458E"/>
    <w:rsid w:val="00885BF8"/>
    <w:rsid w:val="00886211"/>
    <w:rsid w:val="008869B7"/>
    <w:rsid w:val="00886CD1"/>
    <w:rsid w:val="00887984"/>
    <w:rsid w:val="0089147D"/>
    <w:rsid w:val="008914CC"/>
    <w:rsid w:val="00891DE1"/>
    <w:rsid w:val="0089284E"/>
    <w:rsid w:val="00892DF1"/>
    <w:rsid w:val="008967CD"/>
    <w:rsid w:val="008976D4"/>
    <w:rsid w:val="008979FB"/>
    <w:rsid w:val="008A11A7"/>
    <w:rsid w:val="008A141D"/>
    <w:rsid w:val="008A1D50"/>
    <w:rsid w:val="008A1ED2"/>
    <w:rsid w:val="008A265A"/>
    <w:rsid w:val="008A2988"/>
    <w:rsid w:val="008A380B"/>
    <w:rsid w:val="008A41D2"/>
    <w:rsid w:val="008A4323"/>
    <w:rsid w:val="008A4B96"/>
    <w:rsid w:val="008A5891"/>
    <w:rsid w:val="008A6970"/>
    <w:rsid w:val="008A7D83"/>
    <w:rsid w:val="008A7F06"/>
    <w:rsid w:val="008B158F"/>
    <w:rsid w:val="008B17BB"/>
    <w:rsid w:val="008B19B0"/>
    <w:rsid w:val="008B370E"/>
    <w:rsid w:val="008B3752"/>
    <w:rsid w:val="008B3A85"/>
    <w:rsid w:val="008B3DD4"/>
    <w:rsid w:val="008B49C6"/>
    <w:rsid w:val="008B4F6D"/>
    <w:rsid w:val="008B6170"/>
    <w:rsid w:val="008B751E"/>
    <w:rsid w:val="008C2FA0"/>
    <w:rsid w:val="008C3C2F"/>
    <w:rsid w:val="008C4930"/>
    <w:rsid w:val="008C61C1"/>
    <w:rsid w:val="008C7E03"/>
    <w:rsid w:val="008D008E"/>
    <w:rsid w:val="008D0FCD"/>
    <w:rsid w:val="008D100F"/>
    <w:rsid w:val="008D112C"/>
    <w:rsid w:val="008D2DFC"/>
    <w:rsid w:val="008D30F0"/>
    <w:rsid w:val="008D4235"/>
    <w:rsid w:val="008D4272"/>
    <w:rsid w:val="008D5084"/>
    <w:rsid w:val="008D564E"/>
    <w:rsid w:val="008D6A7A"/>
    <w:rsid w:val="008D7410"/>
    <w:rsid w:val="008E1041"/>
    <w:rsid w:val="008E1E70"/>
    <w:rsid w:val="008E3A41"/>
    <w:rsid w:val="008E3E8B"/>
    <w:rsid w:val="008E57E3"/>
    <w:rsid w:val="008E58A5"/>
    <w:rsid w:val="008E5A25"/>
    <w:rsid w:val="008F1165"/>
    <w:rsid w:val="008F142E"/>
    <w:rsid w:val="008F1B73"/>
    <w:rsid w:val="008F28A1"/>
    <w:rsid w:val="008F2EE2"/>
    <w:rsid w:val="008F30CB"/>
    <w:rsid w:val="008F54DB"/>
    <w:rsid w:val="008F57FA"/>
    <w:rsid w:val="008F5969"/>
    <w:rsid w:val="008F686C"/>
    <w:rsid w:val="008F6B36"/>
    <w:rsid w:val="0090097F"/>
    <w:rsid w:val="00901573"/>
    <w:rsid w:val="0090192E"/>
    <w:rsid w:val="00901CE6"/>
    <w:rsid w:val="00901DD5"/>
    <w:rsid w:val="00902488"/>
    <w:rsid w:val="00903A53"/>
    <w:rsid w:val="009041D1"/>
    <w:rsid w:val="00904E7F"/>
    <w:rsid w:val="00905190"/>
    <w:rsid w:val="00905371"/>
    <w:rsid w:val="009055D6"/>
    <w:rsid w:val="00911260"/>
    <w:rsid w:val="00912C9E"/>
    <w:rsid w:val="00915A2A"/>
    <w:rsid w:val="00915CB4"/>
    <w:rsid w:val="00915FBD"/>
    <w:rsid w:val="00916585"/>
    <w:rsid w:val="0092018D"/>
    <w:rsid w:val="00921928"/>
    <w:rsid w:val="009219FA"/>
    <w:rsid w:val="00921C0C"/>
    <w:rsid w:val="00921ECB"/>
    <w:rsid w:val="00922AAC"/>
    <w:rsid w:val="00926E20"/>
    <w:rsid w:val="00932C0E"/>
    <w:rsid w:val="00933789"/>
    <w:rsid w:val="00934290"/>
    <w:rsid w:val="00934F15"/>
    <w:rsid w:val="00936377"/>
    <w:rsid w:val="00936799"/>
    <w:rsid w:val="00937000"/>
    <w:rsid w:val="00937120"/>
    <w:rsid w:val="009378F6"/>
    <w:rsid w:val="009402C6"/>
    <w:rsid w:val="00940717"/>
    <w:rsid w:val="009409CA"/>
    <w:rsid w:val="00941065"/>
    <w:rsid w:val="009411C9"/>
    <w:rsid w:val="00942246"/>
    <w:rsid w:val="0094274C"/>
    <w:rsid w:val="00942E51"/>
    <w:rsid w:val="009439C9"/>
    <w:rsid w:val="00947ABC"/>
    <w:rsid w:val="00947CF2"/>
    <w:rsid w:val="0095197F"/>
    <w:rsid w:val="009519A5"/>
    <w:rsid w:val="0095269D"/>
    <w:rsid w:val="00954680"/>
    <w:rsid w:val="0095517F"/>
    <w:rsid w:val="00956297"/>
    <w:rsid w:val="0095655B"/>
    <w:rsid w:val="00956C8B"/>
    <w:rsid w:val="00957A30"/>
    <w:rsid w:val="009612D3"/>
    <w:rsid w:val="009629C1"/>
    <w:rsid w:val="009629D2"/>
    <w:rsid w:val="00962D41"/>
    <w:rsid w:val="00962EBD"/>
    <w:rsid w:val="00963AA7"/>
    <w:rsid w:val="00965145"/>
    <w:rsid w:val="009662C9"/>
    <w:rsid w:val="0096687E"/>
    <w:rsid w:val="00966C20"/>
    <w:rsid w:val="009704DF"/>
    <w:rsid w:val="009705DF"/>
    <w:rsid w:val="00971155"/>
    <w:rsid w:val="009731AC"/>
    <w:rsid w:val="009731E5"/>
    <w:rsid w:val="00973C96"/>
    <w:rsid w:val="00975285"/>
    <w:rsid w:val="00975D27"/>
    <w:rsid w:val="009763D0"/>
    <w:rsid w:val="00976B0E"/>
    <w:rsid w:val="00977969"/>
    <w:rsid w:val="009806C7"/>
    <w:rsid w:val="00981198"/>
    <w:rsid w:val="009811DC"/>
    <w:rsid w:val="00983AE1"/>
    <w:rsid w:val="00987364"/>
    <w:rsid w:val="00987C94"/>
    <w:rsid w:val="00987CAC"/>
    <w:rsid w:val="00990345"/>
    <w:rsid w:val="009905AD"/>
    <w:rsid w:val="00990DDC"/>
    <w:rsid w:val="00991028"/>
    <w:rsid w:val="00991410"/>
    <w:rsid w:val="00992560"/>
    <w:rsid w:val="0099408E"/>
    <w:rsid w:val="00995AA3"/>
    <w:rsid w:val="00995F3D"/>
    <w:rsid w:val="00996A57"/>
    <w:rsid w:val="00996D9D"/>
    <w:rsid w:val="00996F99"/>
    <w:rsid w:val="0099756C"/>
    <w:rsid w:val="00997DC3"/>
    <w:rsid w:val="009A1C29"/>
    <w:rsid w:val="009A2061"/>
    <w:rsid w:val="009A3D46"/>
    <w:rsid w:val="009A43AD"/>
    <w:rsid w:val="009A4B5B"/>
    <w:rsid w:val="009A51A1"/>
    <w:rsid w:val="009A5A29"/>
    <w:rsid w:val="009B2434"/>
    <w:rsid w:val="009B3213"/>
    <w:rsid w:val="009B4C67"/>
    <w:rsid w:val="009B5260"/>
    <w:rsid w:val="009B70B0"/>
    <w:rsid w:val="009B7588"/>
    <w:rsid w:val="009C0ADA"/>
    <w:rsid w:val="009C10AC"/>
    <w:rsid w:val="009C1C1D"/>
    <w:rsid w:val="009C3438"/>
    <w:rsid w:val="009C5621"/>
    <w:rsid w:val="009C641B"/>
    <w:rsid w:val="009C67A6"/>
    <w:rsid w:val="009C6C6B"/>
    <w:rsid w:val="009C7AAC"/>
    <w:rsid w:val="009C7FE7"/>
    <w:rsid w:val="009D0375"/>
    <w:rsid w:val="009D111A"/>
    <w:rsid w:val="009D49CE"/>
    <w:rsid w:val="009D4E0B"/>
    <w:rsid w:val="009D5804"/>
    <w:rsid w:val="009E0184"/>
    <w:rsid w:val="009E1AAA"/>
    <w:rsid w:val="009E1F73"/>
    <w:rsid w:val="009E281A"/>
    <w:rsid w:val="009E31CC"/>
    <w:rsid w:val="009E4AB0"/>
    <w:rsid w:val="009E4AB3"/>
    <w:rsid w:val="009E520E"/>
    <w:rsid w:val="009E5AE5"/>
    <w:rsid w:val="009E5C57"/>
    <w:rsid w:val="009E5EC0"/>
    <w:rsid w:val="009E737A"/>
    <w:rsid w:val="009E7C08"/>
    <w:rsid w:val="009F0152"/>
    <w:rsid w:val="009F0DD7"/>
    <w:rsid w:val="009F17E6"/>
    <w:rsid w:val="009F2695"/>
    <w:rsid w:val="009F4AC2"/>
    <w:rsid w:val="009F5485"/>
    <w:rsid w:val="009F7B59"/>
    <w:rsid w:val="009F7C4E"/>
    <w:rsid w:val="00A00612"/>
    <w:rsid w:val="00A006D9"/>
    <w:rsid w:val="00A00745"/>
    <w:rsid w:val="00A0155D"/>
    <w:rsid w:val="00A02FC7"/>
    <w:rsid w:val="00A03DFF"/>
    <w:rsid w:val="00A0471F"/>
    <w:rsid w:val="00A07915"/>
    <w:rsid w:val="00A12EBD"/>
    <w:rsid w:val="00A13ACC"/>
    <w:rsid w:val="00A14FBC"/>
    <w:rsid w:val="00A1637D"/>
    <w:rsid w:val="00A20261"/>
    <w:rsid w:val="00A2146E"/>
    <w:rsid w:val="00A214E3"/>
    <w:rsid w:val="00A221F1"/>
    <w:rsid w:val="00A230D1"/>
    <w:rsid w:val="00A231CE"/>
    <w:rsid w:val="00A24080"/>
    <w:rsid w:val="00A256E3"/>
    <w:rsid w:val="00A264BC"/>
    <w:rsid w:val="00A26716"/>
    <w:rsid w:val="00A27173"/>
    <w:rsid w:val="00A30704"/>
    <w:rsid w:val="00A30736"/>
    <w:rsid w:val="00A30F95"/>
    <w:rsid w:val="00A323A8"/>
    <w:rsid w:val="00A32F48"/>
    <w:rsid w:val="00A33179"/>
    <w:rsid w:val="00A335CB"/>
    <w:rsid w:val="00A35129"/>
    <w:rsid w:val="00A35194"/>
    <w:rsid w:val="00A3588B"/>
    <w:rsid w:val="00A35990"/>
    <w:rsid w:val="00A40C5C"/>
    <w:rsid w:val="00A41B03"/>
    <w:rsid w:val="00A41FB3"/>
    <w:rsid w:val="00A422E9"/>
    <w:rsid w:val="00A4278D"/>
    <w:rsid w:val="00A440FE"/>
    <w:rsid w:val="00A444A9"/>
    <w:rsid w:val="00A44B83"/>
    <w:rsid w:val="00A44FD3"/>
    <w:rsid w:val="00A47E0E"/>
    <w:rsid w:val="00A5119B"/>
    <w:rsid w:val="00A522DD"/>
    <w:rsid w:val="00A522F6"/>
    <w:rsid w:val="00A52584"/>
    <w:rsid w:val="00A52A7F"/>
    <w:rsid w:val="00A547C1"/>
    <w:rsid w:val="00A555B3"/>
    <w:rsid w:val="00A60B30"/>
    <w:rsid w:val="00A60C08"/>
    <w:rsid w:val="00A62429"/>
    <w:rsid w:val="00A62D74"/>
    <w:rsid w:val="00A62DB1"/>
    <w:rsid w:val="00A64193"/>
    <w:rsid w:val="00A643FE"/>
    <w:rsid w:val="00A648E3"/>
    <w:rsid w:val="00A65E83"/>
    <w:rsid w:val="00A70B6C"/>
    <w:rsid w:val="00A71D93"/>
    <w:rsid w:val="00A724BA"/>
    <w:rsid w:val="00A72D88"/>
    <w:rsid w:val="00A745FD"/>
    <w:rsid w:val="00A770AB"/>
    <w:rsid w:val="00A7715D"/>
    <w:rsid w:val="00A7739C"/>
    <w:rsid w:val="00A80D66"/>
    <w:rsid w:val="00A821CE"/>
    <w:rsid w:val="00A8244B"/>
    <w:rsid w:val="00A839BF"/>
    <w:rsid w:val="00A83B1D"/>
    <w:rsid w:val="00A84D01"/>
    <w:rsid w:val="00A8602D"/>
    <w:rsid w:val="00A860DC"/>
    <w:rsid w:val="00A87016"/>
    <w:rsid w:val="00A87A0C"/>
    <w:rsid w:val="00A87AB7"/>
    <w:rsid w:val="00A87FA6"/>
    <w:rsid w:val="00A900CC"/>
    <w:rsid w:val="00A90938"/>
    <w:rsid w:val="00A917FC"/>
    <w:rsid w:val="00A9301A"/>
    <w:rsid w:val="00A934F4"/>
    <w:rsid w:val="00A948E2"/>
    <w:rsid w:val="00A94BA9"/>
    <w:rsid w:val="00A9640A"/>
    <w:rsid w:val="00A9797F"/>
    <w:rsid w:val="00A97AAA"/>
    <w:rsid w:val="00AA0376"/>
    <w:rsid w:val="00AA08AD"/>
    <w:rsid w:val="00AA0A35"/>
    <w:rsid w:val="00AA15B3"/>
    <w:rsid w:val="00AA165F"/>
    <w:rsid w:val="00AA1C06"/>
    <w:rsid w:val="00AA57D7"/>
    <w:rsid w:val="00AA6138"/>
    <w:rsid w:val="00AA7EF0"/>
    <w:rsid w:val="00AB108F"/>
    <w:rsid w:val="00AB148F"/>
    <w:rsid w:val="00AB174D"/>
    <w:rsid w:val="00AB36A7"/>
    <w:rsid w:val="00AB429A"/>
    <w:rsid w:val="00AB4390"/>
    <w:rsid w:val="00AB497B"/>
    <w:rsid w:val="00AB5292"/>
    <w:rsid w:val="00AB56AD"/>
    <w:rsid w:val="00AB582D"/>
    <w:rsid w:val="00AB5C4E"/>
    <w:rsid w:val="00AB6092"/>
    <w:rsid w:val="00AC36EB"/>
    <w:rsid w:val="00AC4A9C"/>
    <w:rsid w:val="00AC52FB"/>
    <w:rsid w:val="00AC552B"/>
    <w:rsid w:val="00AC6123"/>
    <w:rsid w:val="00AC6C78"/>
    <w:rsid w:val="00AC786C"/>
    <w:rsid w:val="00AC7AB8"/>
    <w:rsid w:val="00AD0750"/>
    <w:rsid w:val="00AD130D"/>
    <w:rsid w:val="00AD24D6"/>
    <w:rsid w:val="00AD2C84"/>
    <w:rsid w:val="00AD66A8"/>
    <w:rsid w:val="00AD6C9C"/>
    <w:rsid w:val="00AD7981"/>
    <w:rsid w:val="00AE07DA"/>
    <w:rsid w:val="00AE1C06"/>
    <w:rsid w:val="00AE2585"/>
    <w:rsid w:val="00AE2818"/>
    <w:rsid w:val="00AE3DE2"/>
    <w:rsid w:val="00AE42B9"/>
    <w:rsid w:val="00AE4D37"/>
    <w:rsid w:val="00AE59B9"/>
    <w:rsid w:val="00AE5E09"/>
    <w:rsid w:val="00AE5F6C"/>
    <w:rsid w:val="00AE6924"/>
    <w:rsid w:val="00AE7A2C"/>
    <w:rsid w:val="00AE7C72"/>
    <w:rsid w:val="00AF043F"/>
    <w:rsid w:val="00AF2743"/>
    <w:rsid w:val="00AF49F0"/>
    <w:rsid w:val="00AF6BBF"/>
    <w:rsid w:val="00AF7ABE"/>
    <w:rsid w:val="00B0189C"/>
    <w:rsid w:val="00B025FF"/>
    <w:rsid w:val="00B03F9A"/>
    <w:rsid w:val="00B05632"/>
    <w:rsid w:val="00B0641F"/>
    <w:rsid w:val="00B064C1"/>
    <w:rsid w:val="00B1073B"/>
    <w:rsid w:val="00B112A7"/>
    <w:rsid w:val="00B1154D"/>
    <w:rsid w:val="00B11782"/>
    <w:rsid w:val="00B12FCD"/>
    <w:rsid w:val="00B12FED"/>
    <w:rsid w:val="00B1306A"/>
    <w:rsid w:val="00B133C5"/>
    <w:rsid w:val="00B13A26"/>
    <w:rsid w:val="00B14DC9"/>
    <w:rsid w:val="00B15617"/>
    <w:rsid w:val="00B15739"/>
    <w:rsid w:val="00B158FA"/>
    <w:rsid w:val="00B170F7"/>
    <w:rsid w:val="00B20665"/>
    <w:rsid w:val="00B20825"/>
    <w:rsid w:val="00B210B8"/>
    <w:rsid w:val="00B245B2"/>
    <w:rsid w:val="00B24ACC"/>
    <w:rsid w:val="00B26FED"/>
    <w:rsid w:val="00B3196E"/>
    <w:rsid w:val="00B33361"/>
    <w:rsid w:val="00B34FD9"/>
    <w:rsid w:val="00B35FC2"/>
    <w:rsid w:val="00B373B4"/>
    <w:rsid w:val="00B37673"/>
    <w:rsid w:val="00B40CD3"/>
    <w:rsid w:val="00B41B01"/>
    <w:rsid w:val="00B41EF2"/>
    <w:rsid w:val="00B4233F"/>
    <w:rsid w:val="00B43BA6"/>
    <w:rsid w:val="00B44EB6"/>
    <w:rsid w:val="00B45C0D"/>
    <w:rsid w:val="00B45E9C"/>
    <w:rsid w:val="00B467A4"/>
    <w:rsid w:val="00B46A4F"/>
    <w:rsid w:val="00B46F2C"/>
    <w:rsid w:val="00B472B9"/>
    <w:rsid w:val="00B502E7"/>
    <w:rsid w:val="00B50BB9"/>
    <w:rsid w:val="00B51A82"/>
    <w:rsid w:val="00B51E79"/>
    <w:rsid w:val="00B527CF"/>
    <w:rsid w:val="00B52951"/>
    <w:rsid w:val="00B5429F"/>
    <w:rsid w:val="00B54693"/>
    <w:rsid w:val="00B5490B"/>
    <w:rsid w:val="00B5493F"/>
    <w:rsid w:val="00B55F00"/>
    <w:rsid w:val="00B5603B"/>
    <w:rsid w:val="00B56531"/>
    <w:rsid w:val="00B572A8"/>
    <w:rsid w:val="00B611E0"/>
    <w:rsid w:val="00B61820"/>
    <w:rsid w:val="00B63B9B"/>
    <w:rsid w:val="00B652B3"/>
    <w:rsid w:val="00B655C5"/>
    <w:rsid w:val="00B65898"/>
    <w:rsid w:val="00B6620C"/>
    <w:rsid w:val="00B73E0E"/>
    <w:rsid w:val="00B74C8A"/>
    <w:rsid w:val="00B754B2"/>
    <w:rsid w:val="00B7586B"/>
    <w:rsid w:val="00B75989"/>
    <w:rsid w:val="00B76F32"/>
    <w:rsid w:val="00B813EC"/>
    <w:rsid w:val="00B8177E"/>
    <w:rsid w:val="00B81AE2"/>
    <w:rsid w:val="00B81AF0"/>
    <w:rsid w:val="00B82463"/>
    <w:rsid w:val="00B83A74"/>
    <w:rsid w:val="00B84222"/>
    <w:rsid w:val="00B857A6"/>
    <w:rsid w:val="00B85B8D"/>
    <w:rsid w:val="00B8799F"/>
    <w:rsid w:val="00B87C81"/>
    <w:rsid w:val="00B906E5"/>
    <w:rsid w:val="00B90976"/>
    <w:rsid w:val="00B909AE"/>
    <w:rsid w:val="00B90C5D"/>
    <w:rsid w:val="00B91DB6"/>
    <w:rsid w:val="00B94856"/>
    <w:rsid w:val="00B94A24"/>
    <w:rsid w:val="00B95B4E"/>
    <w:rsid w:val="00B96C0C"/>
    <w:rsid w:val="00B96D77"/>
    <w:rsid w:val="00B96F41"/>
    <w:rsid w:val="00B97397"/>
    <w:rsid w:val="00BA16A6"/>
    <w:rsid w:val="00BA17BC"/>
    <w:rsid w:val="00BA1C0A"/>
    <w:rsid w:val="00BA2761"/>
    <w:rsid w:val="00BA34D7"/>
    <w:rsid w:val="00BA6E5A"/>
    <w:rsid w:val="00BA74AB"/>
    <w:rsid w:val="00BA7AE0"/>
    <w:rsid w:val="00BB1074"/>
    <w:rsid w:val="00BB15D4"/>
    <w:rsid w:val="00BB245C"/>
    <w:rsid w:val="00BB278C"/>
    <w:rsid w:val="00BB28D2"/>
    <w:rsid w:val="00BB32E4"/>
    <w:rsid w:val="00BB3818"/>
    <w:rsid w:val="00BB3A0A"/>
    <w:rsid w:val="00BB58AD"/>
    <w:rsid w:val="00BB6079"/>
    <w:rsid w:val="00BB65DC"/>
    <w:rsid w:val="00BC02A4"/>
    <w:rsid w:val="00BC1B2F"/>
    <w:rsid w:val="00BC254F"/>
    <w:rsid w:val="00BC26E4"/>
    <w:rsid w:val="00BC2D61"/>
    <w:rsid w:val="00BC32C9"/>
    <w:rsid w:val="00BC3955"/>
    <w:rsid w:val="00BC792E"/>
    <w:rsid w:val="00BD07BD"/>
    <w:rsid w:val="00BD104F"/>
    <w:rsid w:val="00BD152F"/>
    <w:rsid w:val="00BD1942"/>
    <w:rsid w:val="00BD294E"/>
    <w:rsid w:val="00BD39A5"/>
    <w:rsid w:val="00BD4348"/>
    <w:rsid w:val="00BD49EA"/>
    <w:rsid w:val="00BD5727"/>
    <w:rsid w:val="00BD66E5"/>
    <w:rsid w:val="00BE0D3B"/>
    <w:rsid w:val="00BE0FA0"/>
    <w:rsid w:val="00BE17CC"/>
    <w:rsid w:val="00BE1DD6"/>
    <w:rsid w:val="00BE2618"/>
    <w:rsid w:val="00BE28BD"/>
    <w:rsid w:val="00BE3A1F"/>
    <w:rsid w:val="00BF0137"/>
    <w:rsid w:val="00BF2B4D"/>
    <w:rsid w:val="00BF4184"/>
    <w:rsid w:val="00BF4719"/>
    <w:rsid w:val="00BF4B0D"/>
    <w:rsid w:val="00BF4D91"/>
    <w:rsid w:val="00BF59B0"/>
    <w:rsid w:val="00BF753D"/>
    <w:rsid w:val="00BF7601"/>
    <w:rsid w:val="00BF786E"/>
    <w:rsid w:val="00BF79F8"/>
    <w:rsid w:val="00C00A57"/>
    <w:rsid w:val="00C017F0"/>
    <w:rsid w:val="00C02D76"/>
    <w:rsid w:val="00C03103"/>
    <w:rsid w:val="00C0362E"/>
    <w:rsid w:val="00C037C1"/>
    <w:rsid w:val="00C03ED6"/>
    <w:rsid w:val="00C048B5"/>
    <w:rsid w:val="00C04E1A"/>
    <w:rsid w:val="00C0510D"/>
    <w:rsid w:val="00C05E2F"/>
    <w:rsid w:val="00C0680F"/>
    <w:rsid w:val="00C06AE5"/>
    <w:rsid w:val="00C06C45"/>
    <w:rsid w:val="00C070BE"/>
    <w:rsid w:val="00C0712D"/>
    <w:rsid w:val="00C0755A"/>
    <w:rsid w:val="00C10190"/>
    <w:rsid w:val="00C124C8"/>
    <w:rsid w:val="00C12638"/>
    <w:rsid w:val="00C12718"/>
    <w:rsid w:val="00C13BE3"/>
    <w:rsid w:val="00C142A7"/>
    <w:rsid w:val="00C1556D"/>
    <w:rsid w:val="00C158FB"/>
    <w:rsid w:val="00C16141"/>
    <w:rsid w:val="00C20150"/>
    <w:rsid w:val="00C205B9"/>
    <w:rsid w:val="00C216CD"/>
    <w:rsid w:val="00C219D1"/>
    <w:rsid w:val="00C221C5"/>
    <w:rsid w:val="00C2295C"/>
    <w:rsid w:val="00C22BF0"/>
    <w:rsid w:val="00C2368C"/>
    <w:rsid w:val="00C2447E"/>
    <w:rsid w:val="00C2545B"/>
    <w:rsid w:val="00C258C8"/>
    <w:rsid w:val="00C30757"/>
    <w:rsid w:val="00C30C62"/>
    <w:rsid w:val="00C31D5E"/>
    <w:rsid w:val="00C326AE"/>
    <w:rsid w:val="00C32D74"/>
    <w:rsid w:val="00C336E8"/>
    <w:rsid w:val="00C350BC"/>
    <w:rsid w:val="00C3581D"/>
    <w:rsid w:val="00C35841"/>
    <w:rsid w:val="00C35E82"/>
    <w:rsid w:val="00C3689A"/>
    <w:rsid w:val="00C37503"/>
    <w:rsid w:val="00C37AD7"/>
    <w:rsid w:val="00C37E9D"/>
    <w:rsid w:val="00C405A1"/>
    <w:rsid w:val="00C412B5"/>
    <w:rsid w:val="00C41513"/>
    <w:rsid w:val="00C4218D"/>
    <w:rsid w:val="00C42BC8"/>
    <w:rsid w:val="00C475BE"/>
    <w:rsid w:val="00C50002"/>
    <w:rsid w:val="00C5296C"/>
    <w:rsid w:val="00C531A4"/>
    <w:rsid w:val="00C5365F"/>
    <w:rsid w:val="00C5489C"/>
    <w:rsid w:val="00C56610"/>
    <w:rsid w:val="00C569D4"/>
    <w:rsid w:val="00C56A45"/>
    <w:rsid w:val="00C5713A"/>
    <w:rsid w:val="00C604D8"/>
    <w:rsid w:val="00C60C5A"/>
    <w:rsid w:val="00C60E01"/>
    <w:rsid w:val="00C61A5B"/>
    <w:rsid w:val="00C61E6D"/>
    <w:rsid w:val="00C62DF7"/>
    <w:rsid w:val="00C652F4"/>
    <w:rsid w:val="00C66E4E"/>
    <w:rsid w:val="00C675CF"/>
    <w:rsid w:val="00C706B8"/>
    <w:rsid w:val="00C71574"/>
    <w:rsid w:val="00C72636"/>
    <w:rsid w:val="00C7274D"/>
    <w:rsid w:val="00C727EE"/>
    <w:rsid w:val="00C73389"/>
    <w:rsid w:val="00C738B6"/>
    <w:rsid w:val="00C73E9A"/>
    <w:rsid w:val="00C74ADC"/>
    <w:rsid w:val="00C7657C"/>
    <w:rsid w:val="00C776D3"/>
    <w:rsid w:val="00C7772E"/>
    <w:rsid w:val="00C80351"/>
    <w:rsid w:val="00C8051A"/>
    <w:rsid w:val="00C8066A"/>
    <w:rsid w:val="00C80A98"/>
    <w:rsid w:val="00C80DB9"/>
    <w:rsid w:val="00C80DEF"/>
    <w:rsid w:val="00C81B9F"/>
    <w:rsid w:val="00C81C17"/>
    <w:rsid w:val="00C8273D"/>
    <w:rsid w:val="00C82CD2"/>
    <w:rsid w:val="00C8326F"/>
    <w:rsid w:val="00C83A54"/>
    <w:rsid w:val="00C83BA6"/>
    <w:rsid w:val="00C8451D"/>
    <w:rsid w:val="00C84690"/>
    <w:rsid w:val="00C85687"/>
    <w:rsid w:val="00C86739"/>
    <w:rsid w:val="00C87943"/>
    <w:rsid w:val="00C902FE"/>
    <w:rsid w:val="00C907E9"/>
    <w:rsid w:val="00C918FD"/>
    <w:rsid w:val="00C91E2F"/>
    <w:rsid w:val="00C92DB8"/>
    <w:rsid w:val="00C9379F"/>
    <w:rsid w:val="00C94208"/>
    <w:rsid w:val="00C9508D"/>
    <w:rsid w:val="00C96AF4"/>
    <w:rsid w:val="00C97164"/>
    <w:rsid w:val="00C97D92"/>
    <w:rsid w:val="00CA12A3"/>
    <w:rsid w:val="00CA22F2"/>
    <w:rsid w:val="00CA3C62"/>
    <w:rsid w:val="00CA543F"/>
    <w:rsid w:val="00CA64EA"/>
    <w:rsid w:val="00CA75D7"/>
    <w:rsid w:val="00CA7708"/>
    <w:rsid w:val="00CB0404"/>
    <w:rsid w:val="00CB13E3"/>
    <w:rsid w:val="00CB2263"/>
    <w:rsid w:val="00CB2CE9"/>
    <w:rsid w:val="00CB2E65"/>
    <w:rsid w:val="00CB341E"/>
    <w:rsid w:val="00CB3B00"/>
    <w:rsid w:val="00CB3C6A"/>
    <w:rsid w:val="00CB4CF2"/>
    <w:rsid w:val="00CB4EAE"/>
    <w:rsid w:val="00CB519F"/>
    <w:rsid w:val="00CB5616"/>
    <w:rsid w:val="00CC1862"/>
    <w:rsid w:val="00CC1985"/>
    <w:rsid w:val="00CC1BF5"/>
    <w:rsid w:val="00CC3C5F"/>
    <w:rsid w:val="00CC4C31"/>
    <w:rsid w:val="00CC5343"/>
    <w:rsid w:val="00CC5675"/>
    <w:rsid w:val="00CC669F"/>
    <w:rsid w:val="00CC6752"/>
    <w:rsid w:val="00CC695E"/>
    <w:rsid w:val="00CC75D6"/>
    <w:rsid w:val="00CD0C11"/>
    <w:rsid w:val="00CD0F5D"/>
    <w:rsid w:val="00CD2E84"/>
    <w:rsid w:val="00CD3EDA"/>
    <w:rsid w:val="00CD3F0D"/>
    <w:rsid w:val="00CD4F46"/>
    <w:rsid w:val="00CD5A25"/>
    <w:rsid w:val="00CD5C85"/>
    <w:rsid w:val="00CD7F06"/>
    <w:rsid w:val="00CE06F4"/>
    <w:rsid w:val="00CE17E7"/>
    <w:rsid w:val="00CE1DCA"/>
    <w:rsid w:val="00CE27BE"/>
    <w:rsid w:val="00CE48C6"/>
    <w:rsid w:val="00CE756B"/>
    <w:rsid w:val="00CE7944"/>
    <w:rsid w:val="00CF2EA8"/>
    <w:rsid w:val="00CF3314"/>
    <w:rsid w:val="00CF33A5"/>
    <w:rsid w:val="00CF3D0C"/>
    <w:rsid w:val="00CF4529"/>
    <w:rsid w:val="00CF505E"/>
    <w:rsid w:val="00CF513A"/>
    <w:rsid w:val="00CF6BD7"/>
    <w:rsid w:val="00CF6F99"/>
    <w:rsid w:val="00D01653"/>
    <w:rsid w:val="00D02B6F"/>
    <w:rsid w:val="00D02CEE"/>
    <w:rsid w:val="00D02D99"/>
    <w:rsid w:val="00D02EE8"/>
    <w:rsid w:val="00D032C4"/>
    <w:rsid w:val="00D037AB"/>
    <w:rsid w:val="00D03821"/>
    <w:rsid w:val="00D04BD0"/>
    <w:rsid w:val="00D056C1"/>
    <w:rsid w:val="00D062CD"/>
    <w:rsid w:val="00D0691C"/>
    <w:rsid w:val="00D06B20"/>
    <w:rsid w:val="00D07D28"/>
    <w:rsid w:val="00D110EB"/>
    <w:rsid w:val="00D11441"/>
    <w:rsid w:val="00D11985"/>
    <w:rsid w:val="00D14206"/>
    <w:rsid w:val="00D14F01"/>
    <w:rsid w:val="00D16A8D"/>
    <w:rsid w:val="00D172BC"/>
    <w:rsid w:val="00D20126"/>
    <w:rsid w:val="00D2049F"/>
    <w:rsid w:val="00D24876"/>
    <w:rsid w:val="00D250A4"/>
    <w:rsid w:val="00D2513A"/>
    <w:rsid w:val="00D265F0"/>
    <w:rsid w:val="00D268DD"/>
    <w:rsid w:val="00D27216"/>
    <w:rsid w:val="00D27923"/>
    <w:rsid w:val="00D27D0D"/>
    <w:rsid w:val="00D303B2"/>
    <w:rsid w:val="00D309C1"/>
    <w:rsid w:val="00D31693"/>
    <w:rsid w:val="00D32ED9"/>
    <w:rsid w:val="00D33C82"/>
    <w:rsid w:val="00D34BD8"/>
    <w:rsid w:val="00D34CCD"/>
    <w:rsid w:val="00D35051"/>
    <w:rsid w:val="00D35322"/>
    <w:rsid w:val="00D356D2"/>
    <w:rsid w:val="00D359A9"/>
    <w:rsid w:val="00D362E1"/>
    <w:rsid w:val="00D37DC2"/>
    <w:rsid w:val="00D40D63"/>
    <w:rsid w:val="00D411AB"/>
    <w:rsid w:val="00D41342"/>
    <w:rsid w:val="00D43B0C"/>
    <w:rsid w:val="00D44A0B"/>
    <w:rsid w:val="00D45E93"/>
    <w:rsid w:val="00D46249"/>
    <w:rsid w:val="00D466B4"/>
    <w:rsid w:val="00D50084"/>
    <w:rsid w:val="00D50F85"/>
    <w:rsid w:val="00D51760"/>
    <w:rsid w:val="00D526CB"/>
    <w:rsid w:val="00D53BEF"/>
    <w:rsid w:val="00D53F1B"/>
    <w:rsid w:val="00D54AB7"/>
    <w:rsid w:val="00D54C3F"/>
    <w:rsid w:val="00D56F69"/>
    <w:rsid w:val="00D579AE"/>
    <w:rsid w:val="00D600FE"/>
    <w:rsid w:val="00D606A5"/>
    <w:rsid w:val="00D60D27"/>
    <w:rsid w:val="00D60D96"/>
    <w:rsid w:val="00D60E2A"/>
    <w:rsid w:val="00D6205A"/>
    <w:rsid w:val="00D623E3"/>
    <w:rsid w:val="00D62529"/>
    <w:rsid w:val="00D62695"/>
    <w:rsid w:val="00D662D8"/>
    <w:rsid w:val="00D66EFD"/>
    <w:rsid w:val="00D67ECB"/>
    <w:rsid w:val="00D7058A"/>
    <w:rsid w:val="00D715CC"/>
    <w:rsid w:val="00D72DD6"/>
    <w:rsid w:val="00D73411"/>
    <w:rsid w:val="00D748FC"/>
    <w:rsid w:val="00D76F6B"/>
    <w:rsid w:val="00D83166"/>
    <w:rsid w:val="00D83CAF"/>
    <w:rsid w:val="00D845F3"/>
    <w:rsid w:val="00D8487C"/>
    <w:rsid w:val="00D84E8B"/>
    <w:rsid w:val="00D85887"/>
    <w:rsid w:val="00D85A1A"/>
    <w:rsid w:val="00D86884"/>
    <w:rsid w:val="00D86A51"/>
    <w:rsid w:val="00D86AA6"/>
    <w:rsid w:val="00D87431"/>
    <w:rsid w:val="00D87A74"/>
    <w:rsid w:val="00D87D8E"/>
    <w:rsid w:val="00D915E9"/>
    <w:rsid w:val="00D926E9"/>
    <w:rsid w:val="00D95BA8"/>
    <w:rsid w:val="00D95E67"/>
    <w:rsid w:val="00D97064"/>
    <w:rsid w:val="00DA0C27"/>
    <w:rsid w:val="00DA0F0D"/>
    <w:rsid w:val="00DA20FA"/>
    <w:rsid w:val="00DA210C"/>
    <w:rsid w:val="00DA2289"/>
    <w:rsid w:val="00DA2457"/>
    <w:rsid w:val="00DA3E84"/>
    <w:rsid w:val="00DA4C17"/>
    <w:rsid w:val="00DA541F"/>
    <w:rsid w:val="00DA6B03"/>
    <w:rsid w:val="00DA725A"/>
    <w:rsid w:val="00DB17A1"/>
    <w:rsid w:val="00DB4008"/>
    <w:rsid w:val="00DB4044"/>
    <w:rsid w:val="00DB427A"/>
    <w:rsid w:val="00DB65A1"/>
    <w:rsid w:val="00DB7135"/>
    <w:rsid w:val="00DB71A2"/>
    <w:rsid w:val="00DB7479"/>
    <w:rsid w:val="00DC07C0"/>
    <w:rsid w:val="00DC0C57"/>
    <w:rsid w:val="00DC0DAF"/>
    <w:rsid w:val="00DC110E"/>
    <w:rsid w:val="00DC16C6"/>
    <w:rsid w:val="00DC245E"/>
    <w:rsid w:val="00DC261A"/>
    <w:rsid w:val="00DC26FB"/>
    <w:rsid w:val="00DC521D"/>
    <w:rsid w:val="00DC612B"/>
    <w:rsid w:val="00DC6C69"/>
    <w:rsid w:val="00DC6FF3"/>
    <w:rsid w:val="00DC78CE"/>
    <w:rsid w:val="00DC7CD0"/>
    <w:rsid w:val="00DD01A8"/>
    <w:rsid w:val="00DD1254"/>
    <w:rsid w:val="00DD1613"/>
    <w:rsid w:val="00DD32FA"/>
    <w:rsid w:val="00DD350C"/>
    <w:rsid w:val="00DD4547"/>
    <w:rsid w:val="00DD4C04"/>
    <w:rsid w:val="00DD4C21"/>
    <w:rsid w:val="00DD69CA"/>
    <w:rsid w:val="00DD7642"/>
    <w:rsid w:val="00DD797B"/>
    <w:rsid w:val="00DE2D4B"/>
    <w:rsid w:val="00DE2D97"/>
    <w:rsid w:val="00DE36D8"/>
    <w:rsid w:val="00DE5FA2"/>
    <w:rsid w:val="00DF0189"/>
    <w:rsid w:val="00DF02BF"/>
    <w:rsid w:val="00DF16DD"/>
    <w:rsid w:val="00DF191D"/>
    <w:rsid w:val="00DF2A55"/>
    <w:rsid w:val="00DF3161"/>
    <w:rsid w:val="00DF3542"/>
    <w:rsid w:val="00DF3A1C"/>
    <w:rsid w:val="00DF3E63"/>
    <w:rsid w:val="00DF753B"/>
    <w:rsid w:val="00DF78E5"/>
    <w:rsid w:val="00E01522"/>
    <w:rsid w:val="00E0200D"/>
    <w:rsid w:val="00E02483"/>
    <w:rsid w:val="00E02A64"/>
    <w:rsid w:val="00E035F7"/>
    <w:rsid w:val="00E04354"/>
    <w:rsid w:val="00E0488E"/>
    <w:rsid w:val="00E057B0"/>
    <w:rsid w:val="00E06369"/>
    <w:rsid w:val="00E063C4"/>
    <w:rsid w:val="00E07464"/>
    <w:rsid w:val="00E07849"/>
    <w:rsid w:val="00E1063B"/>
    <w:rsid w:val="00E10A86"/>
    <w:rsid w:val="00E10B98"/>
    <w:rsid w:val="00E130E2"/>
    <w:rsid w:val="00E13E68"/>
    <w:rsid w:val="00E149C0"/>
    <w:rsid w:val="00E14C66"/>
    <w:rsid w:val="00E1539F"/>
    <w:rsid w:val="00E157C8"/>
    <w:rsid w:val="00E16FBD"/>
    <w:rsid w:val="00E20219"/>
    <w:rsid w:val="00E226E6"/>
    <w:rsid w:val="00E23B51"/>
    <w:rsid w:val="00E23B5A"/>
    <w:rsid w:val="00E23DF0"/>
    <w:rsid w:val="00E24B15"/>
    <w:rsid w:val="00E25B75"/>
    <w:rsid w:val="00E30F1A"/>
    <w:rsid w:val="00E31B2F"/>
    <w:rsid w:val="00E3237E"/>
    <w:rsid w:val="00E3259E"/>
    <w:rsid w:val="00E3294A"/>
    <w:rsid w:val="00E33E17"/>
    <w:rsid w:val="00E340A9"/>
    <w:rsid w:val="00E34D7A"/>
    <w:rsid w:val="00E352B0"/>
    <w:rsid w:val="00E35C41"/>
    <w:rsid w:val="00E35FF0"/>
    <w:rsid w:val="00E360A1"/>
    <w:rsid w:val="00E36B11"/>
    <w:rsid w:val="00E37E4E"/>
    <w:rsid w:val="00E40F87"/>
    <w:rsid w:val="00E43CA0"/>
    <w:rsid w:val="00E4457B"/>
    <w:rsid w:val="00E451F6"/>
    <w:rsid w:val="00E45824"/>
    <w:rsid w:val="00E46092"/>
    <w:rsid w:val="00E46548"/>
    <w:rsid w:val="00E4722A"/>
    <w:rsid w:val="00E47313"/>
    <w:rsid w:val="00E503EF"/>
    <w:rsid w:val="00E5151A"/>
    <w:rsid w:val="00E52165"/>
    <w:rsid w:val="00E527D4"/>
    <w:rsid w:val="00E562FB"/>
    <w:rsid w:val="00E56A3A"/>
    <w:rsid w:val="00E5728D"/>
    <w:rsid w:val="00E60134"/>
    <w:rsid w:val="00E6023A"/>
    <w:rsid w:val="00E6240E"/>
    <w:rsid w:val="00E626F7"/>
    <w:rsid w:val="00E635DF"/>
    <w:rsid w:val="00E63608"/>
    <w:rsid w:val="00E647A4"/>
    <w:rsid w:val="00E64B8F"/>
    <w:rsid w:val="00E64D8C"/>
    <w:rsid w:val="00E64E33"/>
    <w:rsid w:val="00E65385"/>
    <w:rsid w:val="00E658D3"/>
    <w:rsid w:val="00E6595B"/>
    <w:rsid w:val="00E66986"/>
    <w:rsid w:val="00E67AE5"/>
    <w:rsid w:val="00E700A8"/>
    <w:rsid w:val="00E71E64"/>
    <w:rsid w:val="00E72C46"/>
    <w:rsid w:val="00E72F96"/>
    <w:rsid w:val="00E73107"/>
    <w:rsid w:val="00E73299"/>
    <w:rsid w:val="00E73473"/>
    <w:rsid w:val="00E73526"/>
    <w:rsid w:val="00E73989"/>
    <w:rsid w:val="00E75654"/>
    <w:rsid w:val="00E76167"/>
    <w:rsid w:val="00E76328"/>
    <w:rsid w:val="00E76922"/>
    <w:rsid w:val="00E76CF3"/>
    <w:rsid w:val="00E813AB"/>
    <w:rsid w:val="00E8162D"/>
    <w:rsid w:val="00E8241E"/>
    <w:rsid w:val="00E82F11"/>
    <w:rsid w:val="00E842BD"/>
    <w:rsid w:val="00E84310"/>
    <w:rsid w:val="00E8441D"/>
    <w:rsid w:val="00E84B06"/>
    <w:rsid w:val="00E87474"/>
    <w:rsid w:val="00E87992"/>
    <w:rsid w:val="00E87CE9"/>
    <w:rsid w:val="00E93C63"/>
    <w:rsid w:val="00E96E84"/>
    <w:rsid w:val="00E9720D"/>
    <w:rsid w:val="00E97DA2"/>
    <w:rsid w:val="00EA1403"/>
    <w:rsid w:val="00EA1438"/>
    <w:rsid w:val="00EA2805"/>
    <w:rsid w:val="00EA2D11"/>
    <w:rsid w:val="00EA30BC"/>
    <w:rsid w:val="00EA3349"/>
    <w:rsid w:val="00EA3C67"/>
    <w:rsid w:val="00EA3F60"/>
    <w:rsid w:val="00EA4858"/>
    <w:rsid w:val="00EA58E1"/>
    <w:rsid w:val="00EA5B87"/>
    <w:rsid w:val="00EA606E"/>
    <w:rsid w:val="00EA66EC"/>
    <w:rsid w:val="00EA6974"/>
    <w:rsid w:val="00EA6B7D"/>
    <w:rsid w:val="00EA7900"/>
    <w:rsid w:val="00EB0663"/>
    <w:rsid w:val="00EB0CA0"/>
    <w:rsid w:val="00EB1D5C"/>
    <w:rsid w:val="00EB1F7A"/>
    <w:rsid w:val="00EB2352"/>
    <w:rsid w:val="00EB28E8"/>
    <w:rsid w:val="00EB2FC9"/>
    <w:rsid w:val="00EB338F"/>
    <w:rsid w:val="00EB4C0E"/>
    <w:rsid w:val="00EB529A"/>
    <w:rsid w:val="00EB5AD5"/>
    <w:rsid w:val="00EB6796"/>
    <w:rsid w:val="00EB6FC5"/>
    <w:rsid w:val="00EC0C8A"/>
    <w:rsid w:val="00EC1F69"/>
    <w:rsid w:val="00EC2862"/>
    <w:rsid w:val="00EC299C"/>
    <w:rsid w:val="00EC2B82"/>
    <w:rsid w:val="00EC4CBA"/>
    <w:rsid w:val="00EC52CC"/>
    <w:rsid w:val="00EC7028"/>
    <w:rsid w:val="00EC7A8A"/>
    <w:rsid w:val="00ED161B"/>
    <w:rsid w:val="00ED1A5E"/>
    <w:rsid w:val="00ED30F9"/>
    <w:rsid w:val="00ED3A99"/>
    <w:rsid w:val="00ED3C9C"/>
    <w:rsid w:val="00ED4D57"/>
    <w:rsid w:val="00ED5D52"/>
    <w:rsid w:val="00ED7D6E"/>
    <w:rsid w:val="00EE1180"/>
    <w:rsid w:val="00EE2EED"/>
    <w:rsid w:val="00EE5B41"/>
    <w:rsid w:val="00EE7218"/>
    <w:rsid w:val="00EF11B5"/>
    <w:rsid w:val="00EF1D5F"/>
    <w:rsid w:val="00EF22E7"/>
    <w:rsid w:val="00EF37FC"/>
    <w:rsid w:val="00EF3E4E"/>
    <w:rsid w:val="00EF49E9"/>
    <w:rsid w:val="00EF5750"/>
    <w:rsid w:val="00EF5D40"/>
    <w:rsid w:val="00EF60AE"/>
    <w:rsid w:val="00EF7352"/>
    <w:rsid w:val="00EF7417"/>
    <w:rsid w:val="00F00546"/>
    <w:rsid w:val="00F01024"/>
    <w:rsid w:val="00F038C4"/>
    <w:rsid w:val="00F059FE"/>
    <w:rsid w:val="00F11521"/>
    <w:rsid w:val="00F11B41"/>
    <w:rsid w:val="00F13599"/>
    <w:rsid w:val="00F144E3"/>
    <w:rsid w:val="00F14C27"/>
    <w:rsid w:val="00F16AA1"/>
    <w:rsid w:val="00F16DBB"/>
    <w:rsid w:val="00F179BC"/>
    <w:rsid w:val="00F200EA"/>
    <w:rsid w:val="00F214CC"/>
    <w:rsid w:val="00F21504"/>
    <w:rsid w:val="00F21BD5"/>
    <w:rsid w:val="00F221D6"/>
    <w:rsid w:val="00F22705"/>
    <w:rsid w:val="00F22BCB"/>
    <w:rsid w:val="00F23526"/>
    <w:rsid w:val="00F23DE7"/>
    <w:rsid w:val="00F24AD8"/>
    <w:rsid w:val="00F24F9A"/>
    <w:rsid w:val="00F26733"/>
    <w:rsid w:val="00F268AE"/>
    <w:rsid w:val="00F27CC0"/>
    <w:rsid w:val="00F30B31"/>
    <w:rsid w:val="00F31B47"/>
    <w:rsid w:val="00F32504"/>
    <w:rsid w:val="00F34E76"/>
    <w:rsid w:val="00F3628B"/>
    <w:rsid w:val="00F37FEC"/>
    <w:rsid w:val="00F401C5"/>
    <w:rsid w:val="00F4144C"/>
    <w:rsid w:val="00F44337"/>
    <w:rsid w:val="00F4513D"/>
    <w:rsid w:val="00F4525E"/>
    <w:rsid w:val="00F4548E"/>
    <w:rsid w:val="00F45956"/>
    <w:rsid w:val="00F45DFA"/>
    <w:rsid w:val="00F471E3"/>
    <w:rsid w:val="00F472DA"/>
    <w:rsid w:val="00F47351"/>
    <w:rsid w:val="00F47C2B"/>
    <w:rsid w:val="00F47E59"/>
    <w:rsid w:val="00F5328C"/>
    <w:rsid w:val="00F53A8E"/>
    <w:rsid w:val="00F60772"/>
    <w:rsid w:val="00F6130C"/>
    <w:rsid w:val="00F62713"/>
    <w:rsid w:val="00F649EE"/>
    <w:rsid w:val="00F64CE6"/>
    <w:rsid w:val="00F65E2B"/>
    <w:rsid w:val="00F66034"/>
    <w:rsid w:val="00F66A9A"/>
    <w:rsid w:val="00F66FA0"/>
    <w:rsid w:val="00F70DBE"/>
    <w:rsid w:val="00F71145"/>
    <w:rsid w:val="00F72D58"/>
    <w:rsid w:val="00F7481E"/>
    <w:rsid w:val="00F7656E"/>
    <w:rsid w:val="00F77673"/>
    <w:rsid w:val="00F80B3D"/>
    <w:rsid w:val="00F80E53"/>
    <w:rsid w:val="00F8137A"/>
    <w:rsid w:val="00F83A2D"/>
    <w:rsid w:val="00F84059"/>
    <w:rsid w:val="00F9069E"/>
    <w:rsid w:val="00F91265"/>
    <w:rsid w:val="00F913BE"/>
    <w:rsid w:val="00F9164E"/>
    <w:rsid w:val="00F92432"/>
    <w:rsid w:val="00F9274E"/>
    <w:rsid w:val="00F93236"/>
    <w:rsid w:val="00F933CD"/>
    <w:rsid w:val="00F94260"/>
    <w:rsid w:val="00F94326"/>
    <w:rsid w:val="00F94658"/>
    <w:rsid w:val="00F94A7D"/>
    <w:rsid w:val="00F94FE8"/>
    <w:rsid w:val="00F95CBE"/>
    <w:rsid w:val="00F971B1"/>
    <w:rsid w:val="00F972E7"/>
    <w:rsid w:val="00F97B1F"/>
    <w:rsid w:val="00FA1596"/>
    <w:rsid w:val="00FA1ACB"/>
    <w:rsid w:val="00FA23D4"/>
    <w:rsid w:val="00FA241A"/>
    <w:rsid w:val="00FA2F50"/>
    <w:rsid w:val="00FA333A"/>
    <w:rsid w:val="00FA363D"/>
    <w:rsid w:val="00FA3738"/>
    <w:rsid w:val="00FA4D5A"/>
    <w:rsid w:val="00FA4F8F"/>
    <w:rsid w:val="00FA61BF"/>
    <w:rsid w:val="00FA6BE9"/>
    <w:rsid w:val="00FA6FB3"/>
    <w:rsid w:val="00FB1185"/>
    <w:rsid w:val="00FB12A1"/>
    <w:rsid w:val="00FB1875"/>
    <w:rsid w:val="00FB1D5B"/>
    <w:rsid w:val="00FB1DB8"/>
    <w:rsid w:val="00FB3950"/>
    <w:rsid w:val="00FB42EF"/>
    <w:rsid w:val="00FB4DE2"/>
    <w:rsid w:val="00FB50FF"/>
    <w:rsid w:val="00FB6508"/>
    <w:rsid w:val="00FB7F59"/>
    <w:rsid w:val="00FC0086"/>
    <w:rsid w:val="00FC0363"/>
    <w:rsid w:val="00FC0EE0"/>
    <w:rsid w:val="00FC1DB7"/>
    <w:rsid w:val="00FC29A7"/>
    <w:rsid w:val="00FC3163"/>
    <w:rsid w:val="00FC3F8B"/>
    <w:rsid w:val="00FC429B"/>
    <w:rsid w:val="00FC4655"/>
    <w:rsid w:val="00FC64CD"/>
    <w:rsid w:val="00FC6D21"/>
    <w:rsid w:val="00FC75CF"/>
    <w:rsid w:val="00FC7DFE"/>
    <w:rsid w:val="00FD0A2C"/>
    <w:rsid w:val="00FD3CD8"/>
    <w:rsid w:val="00FD51C6"/>
    <w:rsid w:val="00FD65B4"/>
    <w:rsid w:val="00FD6F1C"/>
    <w:rsid w:val="00FD7134"/>
    <w:rsid w:val="00FD7D25"/>
    <w:rsid w:val="00FE00CF"/>
    <w:rsid w:val="00FE05BE"/>
    <w:rsid w:val="00FE0600"/>
    <w:rsid w:val="00FE0618"/>
    <w:rsid w:val="00FE06DE"/>
    <w:rsid w:val="00FE0724"/>
    <w:rsid w:val="00FE0A8E"/>
    <w:rsid w:val="00FE0E3F"/>
    <w:rsid w:val="00FE489C"/>
    <w:rsid w:val="00FE705A"/>
    <w:rsid w:val="00FE715A"/>
    <w:rsid w:val="00FE7AF7"/>
    <w:rsid w:val="00FE7FA4"/>
    <w:rsid w:val="00FF14ED"/>
    <w:rsid w:val="00FF2A8B"/>
    <w:rsid w:val="00FF2B5F"/>
    <w:rsid w:val="00FF36F6"/>
    <w:rsid w:val="00FF3780"/>
    <w:rsid w:val="00FF3C51"/>
    <w:rsid w:val="00FF3C71"/>
    <w:rsid w:val="00FF5340"/>
    <w:rsid w:val="00FF5517"/>
    <w:rsid w:val="00FF6F21"/>
    <w:rsid w:val="123DCDB1"/>
    <w:rsid w:val="140CAB9C"/>
    <w:rsid w:val="141F27A8"/>
    <w:rsid w:val="168E83FF"/>
    <w:rsid w:val="2760A861"/>
    <w:rsid w:val="2AE315B2"/>
    <w:rsid w:val="306326ED"/>
    <w:rsid w:val="34665519"/>
    <w:rsid w:val="3676609B"/>
    <w:rsid w:val="398A8C4F"/>
    <w:rsid w:val="46723A22"/>
    <w:rsid w:val="4B119786"/>
    <w:rsid w:val="4C5D10F6"/>
    <w:rsid w:val="4D641E91"/>
    <w:rsid w:val="4F598F03"/>
    <w:rsid w:val="6526A069"/>
    <w:rsid w:val="735DACE6"/>
    <w:rsid w:val="73D5DE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F5253"/>
  <w15:chartTrackingRefBased/>
  <w15:docId w15:val="{0C4F86D4-56BB-4500-8C90-7A2C77DA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20B"/>
    <w:pPr>
      <w:widowControl w:val="0"/>
      <w:jc w:val="both"/>
    </w:pPr>
  </w:style>
  <w:style w:type="paragraph" w:styleId="1">
    <w:name w:val="heading 1"/>
    <w:basedOn w:val="a"/>
    <w:next w:val="a"/>
    <w:link w:val="10"/>
    <w:uiPriority w:val="9"/>
    <w:qFormat/>
    <w:rsid w:val="00B2082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2082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2082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2082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2082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2082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2082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82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2082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Odstavec se seznamem1,Bullet List,FooterText,List Paragraph1,numbered,Paragraphe de liste1,Bulletr List Paragraph,列出段落,列出段落1,List Paragraph2,List Paragraph21,Parágrafo da Lista1,リスト段落1,List Paragraph11,Listeafsnit1,Bullet,Bullet1"/>
    <w:basedOn w:val="a"/>
    <w:link w:val="a4"/>
    <w:uiPriority w:val="34"/>
    <w:qFormat/>
    <w:rsid w:val="0050320B"/>
    <w:pPr>
      <w:ind w:firstLineChars="200" w:firstLine="420"/>
    </w:pPr>
  </w:style>
  <w:style w:type="character" w:customStyle="1" w:styleId="10">
    <w:name w:val="标题 1 字符"/>
    <w:basedOn w:val="a0"/>
    <w:link w:val="1"/>
    <w:uiPriority w:val="9"/>
    <w:rsid w:val="00B2082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2082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2082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20825"/>
    <w:rPr>
      <w:rFonts w:cstheme="majorBidi"/>
      <w:color w:val="0F4761" w:themeColor="accent1" w:themeShade="BF"/>
      <w:sz w:val="28"/>
      <w:szCs w:val="28"/>
    </w:rPr>
  </w:style>
  <w:style w:type="character" w:customStyle="1" w:styleId="50">
    <w:name w:val="标题 5 字符"/>
    <w:basedOn w:val="a0"/>
    <w:link w:val="5"/>
    <w:uiPriority w:val="9"/>
    <w:semiHidden/>
    <w:rsid w:val="00B20825"/>
    <w:rPr>
      <w:rFonts w:cstheme="majorBidi"/>
      <w:color w:val="0F4761" w:themeColor="accent1" w:themeShade="BF"/>
      <w:sz w:val="24"/>
      <w:szCs w:val="24"/>
    </w:rPr>
  </w:style>
  <w:style w:type="character" w:customStyle="1" w:styleId="60">
    <w:name w:val="标题 6 字符"/>
    <w:basedOn w:val="a0"/>
    <w:link w:val="6"/>
    <w:uiPriority w:val="9"/>
    <w:semiHidden/>
    <w:rsid w:val="00B20825"/>
    <w:rPr>
      <w:rFonts w:cstheme="majorBidi"/>
      <w:b/>
      <w:bCs/>
      <w:color w:val="0F4761" w:themeColor="accent1" w:themeShade="BF"/>
    </w:rPr>
  </w:style>
  <w:style w:type="character" w:customStyle="1" w:styleId="70">
    <w:name w:val="标题 7 字符"/>
    <w:basedOn w:val="a0"/>
    <w:link w:val="7"/>
    <w:uiPriority w:val="9"/>
    <w:semiHidden/>
    <w:rsid w:val="00B20825"/>
    <w:rPr>
      <w:rFonts w:cstheme="majorBidi"/>
      <w:b/>
      <w:bCs/>
      <w:color w:val="595959" w:themeColor="text1" w:themeTint="A6"/>
    </w:rPr>
  </w:style>
  <w:style w:type="character" w:customStyle="1" w:styleId="80">
    <w:name w:val="标题 8 字符"/>
    <w:basedOn w:val="a0"/>
    <w:link w:val="8"/>
    <w:uiPriority w:val="9"/>
    <w:semiHidden/>
    <w:rsid w:val="00B20825"/>
    <w:rPr>
      <w:rFonts w:cstheme="majorBidi"/>
      <w:color w:val="595959" w:themeColor="text1" w:themeTint="A6"/>
    </w:rPr>
  </w:style>
  <w:style w:type="character" w:customStyle="1" w:styleId="90">
    <w:name w:val="标题 9 字符"/>
    <w:basedOn w:val="a0"/>
    <w:link w:val="9"/>
    <w:uiPriority w:val="9"/>
    <w:semiHidden/>
    <w:rsid w:val="00B20825"/>
    <w:rPr>
      <w:rFonts w:eastAsiaTheme="majorEastAsia" w:cstheme="majorBidi"/>
      <w:color w:val="595959" w:themeColor="text1" w:themeTint="A6"/>
    </w:rPr>
  </w:style>
  <w:style w:type="paragraph" w:styleId="a5">
    <w:name w:val="Title"/>
    <w:basedOn w:val="a"/>
    <w:next w:val="a"/>
    <w:link w:val="a6"/>
    <w:uiPriority w:val="10"/>
    <w:qFormat/>
    <w:rsid w:val="00B20825"/>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0"/>
    <w:link w:val="a5"/>
    <w:uiPriority w:val="10"/>
    <w:rsid w:val="00B20825"/>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B2082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0"/>
    <w:link w:val="a7"/>
    <w:uiPriority w:val="11"/>
    <w:rsid w:val="00B20825"/>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B20825"/>
    <w:pPr>
      <w:spacing w:before="160" w:after="160"/>
      <w:jc w:val="center"/>
    </w:pPr>
    <w:rPr>
      <w:i/>
      <w:iCs/>
      <w:color w:val="404040" w:themeColor="text1" w:themeTint="BF"/>
    </w:rPr>
  </w:style>
  <w:style w:type="character" w:customStyle="1" w:styleId="aa">
    <w:name w:val="引用 字符"/>
    <w:basedOn w:val="a0"/>
    <w:link w:val="a9"/>
    <w:uiPriority w:val="29"/>
    <w:rsid w:val="00B20825"/>
    <w:rPr>
      <w:i/>
      <w:iCs/>
      <w:color w:val="404040" w:themeColor="text1" w:themeTint="BF"/>
    </w:rPr>
  </w:style>
  <w:style w:type="character" w:styleId="ab">
    <w:name w:val="Intense Emphasis"/>
    <w:basedOn w:val="a0"/>
    <w:uiPriority w:val="21"/>
    <w:qFormat/>
    <w:rsid w:val="00B20825"/>
    <w:rPr>
      <w:i/>
      <w:iCs/>
      <w:color w:val="0F4761" w:themeColor="accent1" w:themeShade="BF"/>
    </w:rPr>
  </w:style>
  <w:style w:type="paragraph" w:styleId="ac">
    <w:name w:val="Intense Quote"/>
    <w:basedOn w:val="a"/>
    <w:next w:val="a"/>
    <w:link w:val="ad"/>
    <w:uiPriority w:val="30"/>
    <w:qFormat/>
    <w:rsid w:val="00B208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B20825"/>
    <w:rPr>
      <w:i/>
      <w:iCs/>
      <w:color w:val="0F4761" w:themeColor="accent1" w:themeShade="BF"/>
    </w:rPr>
  </w:style>
  <w:style w:type="character" w:styleId="ae">
    <w:name w:val="Intense Reference"/>
    <w:basedOn w:val="a0"/>
    <w:uiPriority w:val="32"/>
    <w:qFormat/>
    <w:rsid w:val="00B20825"/>
    <w:rPr>
      <w:b/>
      <w:bCs/>
      <w:smallCaps/>
      <w:color w:val="0F4761" w:themeColor="accent1" w:themeShade="BF"/>
      <w:spacing w:val="5"/>
    </w:rPr>
  </w:style>
  <w:style w:type="paragraph" w:styleId="af">
    <w:name w:val="header"/>
    <w:basedOn w:val="a"/>
    <w:link w:val="af0"/>
    <w:uiPriority w:val="99"/>
    <w:unhideWhenUsed/>
    <w:rsid w:val="00045FAD"/>
    <w:pPr>
      <w:tabs>
        <w:tab w:val="center" w:pos="4153"/>
        <w:tab w:val="right" w:pos="8306"/>
      </w:tabs>
      <w:snapToGrid w:val="0"/>
      <w:jc w:val="center"/>
    </w:pPr>
    <w:rPr>
      <w:sz w:val="18"/>
      <w:szCs w:val="18"/>
    </w:rPr>
  </w:style>
  <w:style w:type="character" w:customStyle="1" w:styleId="af0">
    <w:name w:val="页眉 字符"/>
    <w:basedOn w:val="a0"/>
    <w:link w:val="af"/>
    <w:uiPriority w:val="99"/>
    <w:rsid w:val="00045FAD"/>
    <w:rPr>
      <w:sz w:val="18"/>
      <w:szCs w:val="18"/>
    </w:rPr>
  </w:style>
  <w:style w:type="paragraph" w:styleId="af1">
    <w:name w:val="footer"/>
    <w:basedOn w:val="a"/>
    <w:link w:val="af2"/>
    <w:uiPriority w:val="99"/>
    <w:unhideWhenUsed/>
    <w:rsid w:val="00045FAD"/>
    <w:pPr>
      <w:tabs>
        <w:tab w:val="center" w:pos="4153"/>
        <w:tab w:val="right" w:pos="8306"/>
      </w:tabs>
      <w:snapToGrid w:val="0"/>
      <w:jc w:val="left"/>
    </w:pPr>
    <w:rPr>
      <w:sz w:val="18"/>
      <w:szCs w:val="18"/>
    </w:rPr>
  </w:style>
  <w:style w:type="character" w:customStyle="1" w:styleId="af2">
    <w:name w:val="页脚 字符"/>
    <w:basedOn w:val="a0"/>
    <w:link w:val="af1"/>
    <w:uiPriority w:val="99"/>
    <w:rsid w:val="00045FAD"/>
    <w:rPr>
      <w:sz w:val="18"/>
      <w:szCs w:val="18"/>
    </w:rPr>
  </w:style>
  <w:style w:type="character" w:customStyle="1" w:styleId="a4">
    <w:name w:val="列表段落 字符"/>
    <w:aliases w:val="Bullets 字符,Odstavec se seznamem1 字符,Bullet List 字符,FooterText 字符,List Paragraph1 字符,numbered 字符,Paragraphe de liste1 字符,Bulletr List Paragraph 字符,列出段落 字符,列出段落1 字符,List Paragraph2 字符,List Paragraph21 字符,Parágrafo da Lista1 字符,リスト段落1 字符,Bullet 字符"/>
    <w:basedOn w:val="a0"/>
    <w:link w:val="a3"/>
    <w:uiPriority w:val="34"/>
    <w:qFormat/>
    <w:locked/>
    <w:rsid w:val="008D2DFC"/>
  </w:style>
  <w:style w:type="character" w:styleId="af3">
    <w:name w:val="annotation reference"/>
    <w:basedOn w:val="a0"/>
    <w:uiPriority w:val="99"/>
    <w:semiHidden/>
    <w:unhideWhenUsed/>
    <w:rsid w:val="00E64E33"/>
    <w:rPr>
      <w:sz w:val="21"/>
      <w:szCs w:val="21"/>
    </w:rPr>
  </w:style>
  <w:style w:type="paragraph" w:styleId="af4">
    <w:name w:val="annotation text"/>
    <w:basedOn w:val="a"/>
    <w:link w:val="af5"/>
    <w:uiPriority w:val="99"/>
    <w:unhideWhenUsed/>
    <w:rsid w:val="00E64E33"/>
    <w:pPr>
      <w:jc w:val="left"/>
    </w:pPr>
  </w:style>
  <w:style w:type="character" w:customStyle="1" w:styleId="af5">
    <w:name w:val="批注文字 字符"/>
    <w:basedOn w:val="a0"/>
    <w:link w:val="af4"/>
    <w:uiPriority w:val="99"/>
    <w:rsid w:val="00E64E33"/>
  </w:style>
  <w:style w:type="paragraph" w:styleId="af6">
    <w:name w:val="annotation subject"/>
    <w:basedOn w:val="af4"/>
    <w:next w:val="af4"/>
    <w:link w:val="af7"/>
    <w:uiPriority w:val="99"/>
    <w:semiHidden/>
    <w:unhideWhenUsed/>
    <w:rsid w:val="00E64E33"/>
    <w:rPr>
      <w:b/>
      <w:bCs/>
    </w:rPr>
  </w:style>
  <w:style w:type="character" w:customStyle="1" w:styleId="af7">
    <w:name w:val="批注主题 字符"/>
    <w:basedOn w:val="af5"/>
    <w:link w:val="af6"/>
    <w:uiPriority w:val="99"/>
    <w:semiHidden/>
    <w:rsid w:val="00E64E33"/>
    <w:rPr>
      <w:b/>
      <w:bCs/>
    </w:rPr>
  </w:style>
  <w:style w:type="paragraph" w:styleId="af8">
    <w:name w:val="Revision"/>
    <w:hidden/>
    <w:uiPriority w:val="99"/>
    <w:semiHidden/>
    <w:rsid w:val="003345BA"/>
  </w:style>
  <w:style w:type="paragraph" w:customStyle="1" w:styleId="Default">
    <w:name w:val="Default"/>
    <w:rsid w:val="006B558B"/>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0182">
      <w:bodyDiv w:val="1"/>
      <w:marLeft w:val="0"/>
      <w:marRight w:val="0"/>
      <w:marTop w:val="0"/>
      <w:marBottom w:val="0"/>
      <w:divBdr>
        <w:top w:val="none" w:sz="0" w:space="0" w:color="auto"/>
        <w:left w:val="none" w:sz="0" w:space="0" w:color="auto"/>
        <w:bottom w:val="none" w:sz="0" w:space="0" w:color="auto"/>
        <w:right w:val="none" w:sz="0" w:space="0" w:color="auto"/>
      </w:divBdr>
      <w:divsChild>
        <w:div w:id="931933557">
          <w:marLeft w:val="0"/>
          <w:marRight w:val="0"/>
          <w:marTop w:val="0"/>
          <w:marBottom w:val="0"/>
          <w:divBdr>
            <w:top w:val="none" w:sz="0" w:space="0" w:color="auto"/>
            <w:left w:val="none" w:sz="0" w:space="0" w:color="auto"/>
            <w:bottom w:val="none" w:sz="0" w:space="0" w:color="auto"/>
            <w:right w:val="none" w:sz="0" w:space="0" w:color="auto"/>
          </w:divBdr>
        </w:div>
        <w:div w:id="1078140481">
          <w:marLeft w:val="0"/>
          <w:marRight w:val="0"/>
          <w:marTop w:val="0"/>
          <w:marBottom w:val="240"/>
          <w:divBdr>
            <w:top w:val="none" w:sz="0" w:space="0" w:color="auto"/>
            <w:left w:val="none" w:sz="0" w:space="0" w:color="auto"/>
            <w:bottom w:val="none" w:sz="0" w:space="0" w:color="auto"/>
            <w:right w:val="none" w:sz="0" w:space="0" w:color="auto"/>
          </w:divBdr>
        </w:div>
      </w:divsChild>
    </w:div>
    <w:div w:id="346686019">
      <w:bodyDiv w:val="1"/>
      <w:marLeft w:val="0"/>
      <w:marRight w:val="0"/>
      <w:marTop w:val="0"/>
      <w:marBottom w:val="0"/>
      <w:divBdr>
        <w:top w:val="none" w:sz="0" w:space="0" w:color="auto"/>
        <w:left w:val="none" w:sz="0" w:space="0" w:color="auto"/>
        <w:bottom w:val="none" w:sz="0" w:space="0" w:color="auto"/>
        <w:right w:val="none" w:sz="0" w:space="0" w:color="auto"/>
      </w:divBdr>
      <w:divsChild>
        <w:div w:id="81073076">
          <w:marLeft w:val="0"/>
          <w:marRight w:val="0"/>
          <w:marTop w:val="0"/>
          <w:marBottom w:val="240"/>
          <w:divBdr>
            <w:top w:val="none" w:sz="0" w:space="0" w:color="auto"/>
            <w:left w:val="none" w:sz="0" w:space="0" w:color="auto"/>
            <w:bottom w:val="none" w:sz="0" w:space="0" w:color="auto"/>
            <w:right w:val="none" w:sz="0" w:space="0" w:color="auto"/>
          </w:divBdr>
        </w:div>
        <w:div w:id="86736794">
          <w:marLeft w:val="0"/>
          <w:marRight w:val="0"/>
          <w:marTop w:val="0"/>
          <w:marBottom w:val="240"/>
          <w:divBdr>
            <w:top w:val="none" w:sz="0" w:space="0" w:color="auto"/>
            <w:left w:val="none" w:sz="0" w:space="0" w:color="auto"/>
            <w:bottom w:val="none" w:sz="0" w:space="0" w:color="auto"/>
            <w:right w:val="none" w:sz="0" w:space="0" w:color="auto"/>
          </w:divBdr>
        </w:div>
        <w:div w:id="375010133">
          <w:marLeft w:val="0"/>
          <w:marRight w:val="0"/>
          <w:marTop w:val="0"/>
          <w:marBottom w:val="240"/>
          <w:divBdr>
            <w:top w:val="none" w:sz="0" w:space="0" w:color="auto"/>
            <w:left w:val="none" w:sz="0" w:space="0" w:color="auto"/>
            <w:bottom w:val="none" w:sz="0" w:space="0" w:color="auto"/>
            <w:right w:val="none" w:sz="0" w:space="0" w:color="auto"/>
          </w:divBdr>
        </w:div>
        <w:div w:id="599333375">
          <w:marLeft w:val="0"/>
          <w:marRight w:val="0"/>
          <w:marTop w:val="0"/>
          <w:marBottom w:val="240"/>
          <w:divBdr>
            <w:top w:val="none" w:sz="0" w:space="0" w:color="auto"/>
            <w:left w:val="none" w:sz="0" w:space="0" w:color="auto"/>
            <w:bottom w:val="none" w:sz="0" w:space="0" w:color="auto"/>
            <w:right w:val="none" w:sz="0" w:space="0" w:color="auto"/>
          </w:divBdr>
        </w:div>
        <w:div w:id="1242644542">
          <w:marLeft w:val="0"/>
          <w:marRight w:val="0"/>
          <w:marTop w:val="0"/>
          <w:marBottom w:val="0"/>
          <w:divBdr>
            <w:top w:val="none" w:sz="0" w:space="0" w:color="auto"/>
            <w:left w:val="none" w:sz="0" w:space="0" w:color="auto"/>
            <w:bottom w:val="none" w:sz="0" w:space="0" w:color="auto"/>
            <w:right w:val="none" w:sz="0" w:space="0" w:color="auto"/>
          </w:divBdr>
        </w:div>
        <w:div w:id="1368528184">
          <w:marLeft w:val="0"/>
          <w:marRight w:val="0"/>
          <w:marTop w:val="0"/>
          <w:marBottom w:val="240"/>
          <w:divBdr>
            <w:top w:val="none" w:sz="0" w:space="0" w:color="auto"/>
            <w:left w:val="none" w:sz="0" w:space="0" w:color="auto"/>
            <w:bottom w:val="none" w:sz="0" w:space="0" w:color="auto"/>
            <w:right w:val="none" w:sz="0" w:space="0" w:color="auto"/>
          </w:divBdr>
        </w:div>
        <w:div w:id="1439332395">
          <w:marLeft w:val="0"/>
          <w:marRight w:val="0"/>
          <w:marTop w:val="0"/>
          <w:marBottom w:val="240"/>
          <w:divBdr>
            <w:top w:val="none" w:sz="0" w:space="0" w:color="auto"/>
            <w:left w:val="none" w:sz="0" w:space="0" w:color="auto"/>
            <w:bottom w:val="none" w:sz="0" w:space="0" w:color="auto"/>
            <w:right w:val="none" w:sz="0" w:space="0" w:color="auto"/>
          </w:divBdr>
        </w:div>
        <w:div w:id="1449936580">
          <w:marLeft w:val="0"/>
          <w:marRight w:val="0"/>
          <w:marTop w:val="0"/>
          <w:marBottom w:val="240"/>
          <w:divBdr>
            <w:top w:val="none" w:sz="0" w:space="0" w:color="auto"/>
            <w:left w:val="none" w:sz="0" w:space="0" w:color="auto"/>
            <w:bottom w:val="none" w:sz="0" w:space="0" w:color="auto"/>
            <w:right w:val="none" w:sz="0" w:space="0" w:color="auto"/>
          </w:divBdr>
        </w:div>
        <w:div w:id="1517114531">
          <w:marLeft w:val="0"/>
          <w:marRight w:val="0"/>
          <w:marTop w:val="0"/>
          <w:marBottom w:val="240"/>
          <w:divBdr>
            <w:top w:val="none" w:sz="0" w:space="0" w:color="auto"/>
            <w:left w:val="none" w:sz="0" w:space="0" w:color="auto"/>
            <w:bottom w:val="none" w:sz="0" w:space="0" w:color="auto"/>
            <w:right w:val="none" w:sz="0" w:space="0" w:color="auto"/>
          </w:divBdr>
        </w:div>
        <w:div w:id="1552881863">
          <w:marLeft w:val="0"/>
          <w:marRight w:val="0"/>
          <w:marTop w:val="0"/>
          <w:marBottom w:val="240"/>
          <w:divBdr>
            <w:top w:val="none" w:sz="0" w:space="0" w:color="auto"/>
            <w:left w:val="none" w:sz="0" w:space="0" w:color="auto"/>
            <w:bottom w:val="none" w:sz="0" w:space="0" w:color="auto"/>
            <w:right w:val="none" w:sz="0" w:space="0" w:color="auto"/>
          </w:divBdr>
        </w:div>
        <w:div w:id="1637107093">
          <w:marLeft w:val="0"/>
          <w:marRight w:val="0"/>
          <w:marTop w:val="0"/>
          <w:marBottom w:val="240"/>
          <w:divBdr>
            <w:top w:val="none" w:sz="0" w:space="0" w:color="auto"/>
            <w:left w:val="none" w:sz="0" w:space="0" w:color="auto"/>
            <w:bottom w:val="none" w:sz="0" w:space="0" w:color="auto"/>
            <w:right w:val="none" w:sz="0" w:space="0" w:color="auto"/>
          </w:divBdr>
        </w:div>
        <w:div w:id="1667513320">
          <w:marLeft w:val="0"/>
          <w:marRight w:val="0"/>
          <w:marTop w:val="0"/>
          <w:marBottom w:val="240"/>
          <w:divBdr>
            <w:top w:val="none" w:sz="0" w:space="0" w:color="auto"/>
            <w:left w:val="none" w:sz="0" w:space="0" w:color="auto"/>
            <w:bottom w:val="none" w:sz="0" w:space="0" w:color="auto"/>
            <w:right w:val="none" w:sz="0" w:space="0" w:color="auto"/>
          </w:divBdr>
        </w:div>
        <w:div w:id="1812747009">
          <w:marLeft w:val="0"/>
          <w:marRight w:val="0"/>
          <w:marTop w:val="0"/>
          <w:marBottom w:val="240"/>
          <w:divBdr>
            <w:top w:val="none" w:sz="0" w:space="0" w:color="auto"/>
            <w:left w:val="none" w:sz="0" w:space="0" w:color="auto"/>
            <w:bottom w:val="none" w:sz="0" w:space="0" w:color="auto"/>
            <w:right w:val="none" w:sz="0" w:space="0" w:color="auto"/>
          </w:divBdr>
        </w:div>
        <w:div w:id="1833595354">
          <w:marLeft w:val="0"/>
          <w:marRight w:val="0"/>
          <w:marTop w:val="0"/>
          <w:marBottom w:val="240"/>
          <w:divBdr>
            <w:top w:val="none" w:sz="0" w:space="0" w:color="auto"/>
            <w:left w:val="none" w:sz="0" w:space="0" w:color="auto"/>
            <w:bottom w:val="none" w:sz="0" w:space="0" w:color="auto"/>
            <w:right w:val="none" w:sz="0" w:space="0" w:color="auto"/>
          </w:divBdr>
        </w:div>
        <w:div w:id="1953659791">
          <w:marLeft w:val="0"/>
          <w:marRight w:val="0"/>
          <w:marTop w:val="0"/>
          <w:marBottom w:val="240"/>
          <w:divBdr>
            <w:top w:val="none" w:sz="0" w:space="0" w:color="auto"/>
            <w:left w:val="none" w:sz="0" w:space="0" w:color="auto"/>
            <w:bottom w:val="none" w:sz="0" w:space="0" w:color="auto"/>
            <w:right w:val="none" w:sz="0" w:space="0" w:color="auto"/>
          </w:divBdr>
        </w:div>
        <w:div w:id="2051100551">
          <w:marLeft w:val="0"/>
          <w:marRight w:val="0"/>
          <w:marTop w:val="0"/>
          <w:marBottom w:val="240"/>
          <w:divBdr>
            <w:top w:val="none" w:sz="0" w:space="0" w:color="auto"/>
            <w:left w:val="none" w:sz="0" w:space="0" w:color="auto"/>
            <w:bottom w:val="none" w:sz="0" w:space="0" w:color="auto"/>
            <w:right w:val="none" w:sz="0" w:space="0" w:color="auto"/>
          </w:divBdr>
        </w:div>
        <w:div w:id="2131701261">
          <w:marLeft w:val="0"/>
          <w:marRight w:val="0"/>
          <w:marTop w:val="0"/>
          <w:marBottom w:val="240"/>
          <w:divBdr>
            <w:top w:val="none" w:sz="0" w:space="0" w:color="auto"/>
            <w:left w:val="none" w:sz="0" w:space="0" w:color="auto"/>
            <w:bottom w:val="none" w:sz="0" w:space="0" w:color="auto"/>
            <w:right w:val="none" w:sz="0" w:space="0" w:color="auto"/>
          </w:divBdr>
        </w:div>
        <w:div w:id="2139181374">
          <w:marLeft w:val="0"/>
          <w:marRight w:val="0"/>
          <w:marTop w:val="0"/>
          <w:marBottom w:val="240"/>
          <w:divBdr>
            <w:top w:val="none" w:sz="0" w:space="0" w:color="auto"/>
            <w:left w:val="none" w:sz="0" w:space="0" w:color="auto"/>
            <w:bottom w:val="none" w:sz="0" w:space="0" w:color="auto"/>
            <w:right w:val="none" w:sz="0" w:space="0" w:color="auto"/>
          </w:divBdr>
        </w:div>
      </w:divsChild>
    </w:div>
    <w:div w:id="679697034">
      <w:bodyDiv w:val="1"/>
      <w:marLeft w:val="0"/>
      <w:marRight w:val="0"/>
      <w:marTop w:val="0"/>
      <w:marBottom w:val="0"/>
      <w:divBdr>
        <w:top w:val="none" w:sz="0" w:space="0" w:color="auto"/>
        <w:left w:val="none" w:sz="0" w:space="0" w:color="auto"/>
        <w:bottom w:val="none" w:sz="0" w:space="0" w:color="auto"/>
        <w:right w:val="none" w:sz="0" w:space="0" w:color="auto"/>
      </w:divBdr>
    </w:div>
    <w:div w:id="705058017">
      <w:bodyDiv w:val="1"/>
      <w:marLeft w:val="0"/>
      <w:marRight w:val="0"/>
      <w:marTop w:val="0"/>
      <w:marBottom w:val="0"/>
      <w:divBdr>
        <w:top w:val="none" w:sz="0" w:space="0" w:color="auto"/>
        <w:left w:val="none" w:sz="0" w:space="0" w:color="auto"/>
        <w:bottom w:val="none" w:sz="0" w:space="0" w:color="auto"/>
        <w:right w:val="none" w:sz="0" w:space="0" w:color="auto"/>
      </w:divBdr>
      <w:divsChild>
        <w:div w:id="35082628">
          <w:marLeft w:val="0"/>
          <w:marRight w:val="0"/>
          <w:marTop w:val="0"/>
          <w:marBottom w:val="240"/>
          <w:divBdr>
            <w:top w:val="none" w:sz="0" w:space="0" w:color="auto"/>
            <w:left w:val="none" w:sz="0" w:space="0" w:color="auto"/>
            <w:bottom w:val="none" w:sz="0" w:space="0" w:color="auto"/>
            <w:right w:val="none" w:sz="0" w:space="0" w:color="auto"/>
          </w:divBdr>
        </w:div>
        <w:div w:id="209804772">
          <w:marLeft w:val="0"/>
          <w:marRight w:val="0"/>
          <w:marTop w:val="0"/>
          <w:marBottom w:val="240"/>
          <w:divBdr>
            <w:top w:val="none" w:sz="0" w:space="0" w:color="auto"/>
            <w:left w:val="none" w:sz="0" w:space="0" w:color="auto"/>
            <w:bottom w:val="none" w:sz="0" w:space="0" w:color="auto"/>
            <w:right w:val="none" w:sz="0" w:space="0" w:color="auto"/>
          </w:divBdr>
        </w:div>
        <w:div w:id="221185260">
          <w:marLeft w:val="0"/>
          <w:marRight w:val="0"/>
          <w:marTop w:val="0"/>
          <w:marBottom w:val="240"/>
          <w:divBdr>
            <w:top w:val="none" w:sz="0" w:space="0" w:color="auto"/>
            <w:left w:val="none" w:sz="0" w:space="0" w:color="auto"/>
            <w:bottom w:val="none" w:sz="0" w:space="0" w:color="auto"/>
            <w:right w:val="none" w:sz="0" w:space="0" w:color="auto"/>
          </w:divBdr>
        </w:div>
        <w:div w:id="356201143">
          <w:marLeft w:val="0"/>
          <w:marRight w:val="0"/>
          <w:marTop w:val="0"/>
          <w:marBottom w:val="240"/>
          <w:divBdr>
            <w:top w:val="none" w:sz="0" w:space="0" w:color="auto"/>
            <w:left w:val="none" w:sz="0" w:space="0" w:color="auto"/>
            <w:bottom w:val="none" w:sz="0" w:space="0" w:color="auto"/>
            <w:right w:val="none" w:sz="0" w:space="0" w:color="auto"/>
          </w:divBdr>
        </w:div>
        <w:div w:id="516696781">
          <w:marLeft w:val="0"/>
          <w:marRight w:val="0"/>
          <w:marTop w:val="0"/>
          <w:marBottom w:val="240"/>
          <w:divBdr>
            <w:top w:val="none" w:sz="0" w:space="0" w:color="auto"/>
            <w:left w:val="none" w:sz="0" w:space="0" w:color="auto"/>
            <w:bottom w:val="none" w:sz="0" w:space="0" w:color="auto"/>
            <w:right w:val="none" w:sz="0" w:space="0" w:color="auto"/>
          </w:divBdr>
        </w:div>
        <w:div w:id="946545143">
          <w:marLeft w:val="0"/>
          <w:marRight w:val="0"/>
          <w:marTop w:val="0"/>
          <w:marBottom w:val="240"/>
          <w:divBdr>
            <w:top w:val="none" w:sz="0" w:space="0" w:color="auto"/>
            <w:left w:val="none" w:sz="0" w:space="0" w:color="auto"/>
            <w:bottom w:val="none" w:sz="0" w:space="0" w:color="auto"/>
            <w:right w:val="none" w:sz="0" w:space="0" w:color="auto"/>
          </w:divBdr>
        </w:div>
        <w:div w:id="960919046">
          <w:marLeft w:val="0"/>
          <w:marRight w:val="0"/>
          <w:marTop w:val="0"/>
          <w:marBottom w:val="240"/>
          <w:divBdr>
            <w:top w:val="none" w:sz="0" w:space="0" w:color="auto"/>
            <w:left w:val="none" w:sz="0" w:space="0" w:color="auto"/>
            <w:bottom w:val="none" w:sz="0" w:space="0" w:color="auto"/>
            <w:right w:val="none" w:sz="0" w:space="0" w:color="auto"/>
          </w:divBdr>
        </w:div>
        <w:div w:id="1144466200">
          <w:marLeft w:val="0"/>
          <w:marRight w:val="0"/>
          <w:marTop w:val="0"/>
          <w:marBottom w:val="240"/>
          <w:divBdr>
            <w:top w:val="none" w:sz="0" w:space="0" w:color="auto"/>
            <w:left w:val="none" w:sz="0" w:space="0" w:color="auto"/>
            <w:bottom w:val="none" w:sz="0" w:space="0" w:color="auto"/>
            <w:right w:val="none" w:sz="0" w:space="0" w:color="auto"/>
          </w:divBdr>
        </w:div>
        <w:div w:id="1311443468">
          <w:marLeft w:val="0"/>
          <w:marRight w:val="0"/>
          <w:marTop w:val="0"/>
          <w:marBottom w:val="240"/>
          <w:divBdr>
            <w:top w:val="none" w:sz="0" w:space="0" w:color="auto"/>
            <w:left w:val="none" w:sz="0" w:space="0" w:color="auto"/>
            <w:bottom w:val="none" w:sz="0" w:space="0" w:color="auto"/>
            <w:right w:val="none" w:sz="0" w:space="0" w:color="auto"/>
          </w:divBdr>
        </w:div>
        <w:div w:id="1338923857">
          <w:marLeft w:val="0"/>
          <w:marRight w:val="0"/>
          <w:marTop w:val="0"/>
          <w:marBottom w:val="240"/>
          <w:divBdr>
            <w:top w:val="none" w:sz="0" w:space="0" w:color="auto"/>
            <w:left w:val="none" w:sz="0" w:space="0" w:color="auto"/>
            <w:bottom w:val="none" w:sz="0" w:space="0" w:color="auto"/>
            <w:right w:val="none" w:sz="0" w:space="0" w:color="auto"/>
          </w:divBdr>
        </w:div>
        <w:div w:id="1412846916">
          <w:marLeft w:val="0"/>
          <w:marRight w:val="0"/>
          <w:marTop w:val="0"/>
          <w:marBottom w:val="240"/>
          <w:divBdr>
            <w:top w:val="none" w:sz="0" w:space="0" w:color="auto"/>
            <w:left w:val="none" w:sz="0" w:space="0" w:color="auto"/>
            <w:bottom w:val="none" w:sz="0" w:space="0" w:color="auto"/>
            <w:right w:val="none" w:sz="0" w:space="0" w:color="auto"/>
          </w:divBdr>
        </w:div>
        <w:div w:id="1433548090">
          <w:marLeft w:val="0"/>
          <w:marRight w:val="0"/>
          <w:marTop w:val="0"/>
          <w:marBottom w:val="240"/>
          <w:divBdr>
            <w:top w:val="none" w:sz="0" w:space="0" w:color="auto"/>
            <w:left w:val="none" w:sz="0" w:space="0" w:color="auto"/>
            <w:bottom w:val="none" w:sz="0" w:space="0" w:color="auto"/>
            <w:right w:val="none" w:sz="0" w:space="0" w:color="auto"/>
          </w:divBdr>
        </w:div>
        <w:div w:id="1438596048">
          <w:marLeft w:val="0"/>
          <w:marRight w:val="0"/>
          <w:marTop w:val="0"/>
          <w:marBottom w:val="0"/>
          <w:divBdr>
            <w:top w:val="none" w:sz="0" w:space="0" w:color="auto"/>
            <w:left w:val="none" w:sz="0" w:space="0" w:color="auto"/>
            <w:bottom w:val="none" w:sz="0" w:space="0" w:color="auto"/>
            <w:right w:val="none" w:sz="0" w:space="0" w:color="auto"/>
          </w:divBdr>
        </w:div>
        <w:div w:id="1597203610">
          <w:marLeft w:val="0"/>
          <w:marRight w:val="0"/>
          <w:marTop w:val="0"/>
          <w:marBottom w:val="240"/>
          <w:divBdr>
            <w:top w:val="none" w:sz="0" w:space="0" w:color="auto"/>
            <w:left w:val="none" w:sz="0" w:space="0" w:color="auto"/>
            <w:bottom w:val="none" w:sz="0" w:space="0" w:color="auto"/>
            <w:right w:val="none" w:sz="0" w:space="0" w:color="auto"/>
          </w:divBdr>
        </w:div>
        <w:div w:id="1672368797">
          <w:marLeft w:val="0"/>
          <w:marRight w:val="0"/>
          <w:marTop w:val="0"/>
          <w:marBottom w:val="240"/>
          <w:divBdr>
            <w:top w:val="none" w:sz="0" w:space="0" w:color="auto"/>
            <w:left w:val="none" w:sz="0" w:space="0" w:color="auto"/>
            <w:bottom w:val="none" w:sz="0" w:space="0" w:color="auto"/>
            <w:right w:val="none" w:sz="0" w:space="0" w:color="auto"/>
          </w:divBdr>
        </w:div>
        <w:div w:id="1719819977">
          <w:marLeft w:val="0"/>
          <w:marRight w:val="0"/>
          <w:marTop w:val="0"/>
          <w:marBottom w:val="240"/>
          <w:divBdr>
            <w:top w:val="none" w:sz="0" w:space="0" w:color="auto"/>
            <w:left w:val="none" w:sz="0" w:space="0" w:color="auto"/>
            <w:bottom w:val="none" w:sz="0" w:space="0" w:color="auto"/>
            <w:right w:val="none" w:sz="0" w:space="0" w:color="auto"/>
          </w:divBdr>
        </w:div>
        <w:div w:id="1771777583">
          <w:marLeft w:val="0"/>
          <w:marRight w:val="0"/>
          <w:marTop w:val="0"/>
          <w:marBottom w:val="240"/>
          <w:divBdr>
            <w:top w:val="none" w:sz="0" w:space="0" w:color="auto"/>
            <w:left w:val="none" w:sz="0" w:space="0" w:color="auto"/>
            <w:bottom w:val="none" w:sz="0" w:space="0" w:color="auto"/>
            <w:right w:val="none" w:sz="0" w:space="0" w:color="auto"/>
          </w:divBdr>
        </w:div>
        <w:div w:id="2014188053">
          <w:marLeft w:val="0"/>
          <w:marRight w:val="0"/>
          <w:marTop w:val="0"/>
          <w:marBottom w:val="240"/>
          <w:divBdr>
            <w:top w:val="none" w:sz="0" w:space="0" w:color="auto"/>
            <w:left w:val="none" w:sz="0" w:space="0" w:color="auto"/>
            <w:bottom w:val="none" w:sz="0" w:space="0" w:color="auto"/>
            <w:right w:val="none" w:sz="0" w:space="0" w:color="auto"/>
          </w:divBdr>
        </w:div>
      </w:divsChild>
    </w:div>
    <w:div w:id="800659202">
      <w:bodyDiv w:val="1"/>
      <w:marLeft w:val="0"/>
      <w:marRight w:val="0"/>
      <w:marTop w:val="0"/>
      <w:marBottom w:val="0"/>
      <w:divBdr>
        <w:top w:val="none" w:sz="0" w:space="0" w:color="auto"/>
        <w:left w:val="none" w:sz="0" w:space="0" w:color="auto"/>
        <w:bottom w:val="none" w:sz="0" w:space="0" w:color="auto"/>
        <w:right w:val="none" w:sz="0" w:space="0" w:color="auto"/>
      </w:divBdr>
    </w:div>
    <w:div w:id="1025402545">
      <w:bodyDiv w:val="1"/>
      <w:marLeft w:val="0"/>
      <w:marRight w:val="0"/>
      <w:marTop w:val="0"/>
      <w:marBottom w:val="0"/>
      <w:divBdr>
        <w:top w:val="none" w:sz="0" w:space="0" w:color="auto"/>
        <w:left w:val="none" w:sz="0" w:space="0" w:color="auto"/>
        <w:bottom w:val="none" w:sz="0" w:space="0" w:color="auto"/>
        <w:right w:val="none" w:sz="0" w:space="0" w:color="auto"/>
      </w:divBdr>
      <w:divsChild>
        <w:div w:id="1007711032">
          <w:marLeft w:val="0"/>
          <w:marRight w:val="0"/>
          <w:marTop w:val="0"/>
          <w:marBottom w:val="240"/>
          <w:divBdr>
            <w:top w:val="none" w:sz="0" w:space="0" w:color="auto"/>
            <w:left w:val="none" w:sz="0" w:space="0" w:color="auto"/>
            <w:bottom w:val="none" w:sz="0" w:space="0" w:color="auto"/>
            <w:right w:val="none" w:sz="0" w:space="0" w:color="auto"/>
          </w:divBdr>
        </w:div>
        <w:div w:id="1667899409">
          <w:marLeft w:val="0"/>
          <w:marRight w:val="0"/>
          <w:marTop w:val="0"/>
          <w:marBottom w:val="0"/>
          <w:divBdr>
            <w:top w:val="none" w:sz="0" w:space="0" w:color="auto"/>
            <w:left w:val="none" w:sz="0" w:space="0" w:color="auto"/>
            <w:bottom w:val="none" w:sz="0" w:space="0" w:color="auto"/>
            <w:right w:val="none" w:sz="0" w:space="0" w:color="auto"/>
          </w:divBdr>
        </w:div>
      </w:divsChild>
    </w:div>
    <w:div w:id="1035272394">
      <w:bodyDiv w:val="1"/>
      <w:marLeft w:val="0"/>
      <w:marRight w:val="0"/>
      <w:marTop w:val="0"/>
      <w:marBottom w:val="0"/>
      <w:divBdr>
        <w:top w:val="none" w:sz="0" w:space="0" w:color="auto"/>
        <w:left w:val="none" w:sz="0" w:space="0" w:color="auto"/>
        <w:bottom w:val="none" w:sz="0" w:space="0" w:color="auto"/>
        <w:right w:val="none" w:sz="0" w:space="0" w:color="auto"/>
      </w:divBdr>
    </w:div>
    <w:div w:id="204474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1091</Words>
  <Characters>6223</Characters>
  <Application>Microsoft Office Word</Application>
  <DocSecurity>0</DocSecurity>
  <Lines>51</Lines>
  <Paragraphs>14</Paragraphs>
  <ScaleCrop>false</ScaleCrop>
  <Company>BeiGene</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Zou</dc:creator>
  <cp:keywords/>
  <dc:description/>
  <cp:lastModifiedBy>Xiangkun Wang</cp:lastModifiedBy>
  <cp:revision>2</cp:revision>
  <dcterms:created xsi:type="dcterms:W3CDTF">2025-08-13T06:51:00Z</dcterms:created>
  <dcterms:modified xsi:type="dcterms:W3CDTF">2025-08-13T06:51:00Z</dcterms:modified>
</cp:coreProperties>
</file>