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股票代码：6</w:t>
      </w:r>
      <w:r>
        <w:t xml:space="preserve">00010                                          </w:t>
      </w:r>
      <w:r>
        <w:rPr>
          <w:rFonts w:hint="eastAsia"/>
        </w:rPr>
        <w:t>股票简称：包钢股份</w:t>
      </w:r>
    </w:p>
    <w:p>
      <w:pPr>
        <w:jc w:val="center"/>
        <w:rPr>
          <w:rFonts w:ascii="华文中宋" w:hAnsi="华文中宋" w:eastAsia="华文中宋"/>
          <w:sz w:val="32"/>
          <w:szCs w:val="32"/>
        </w:rPr>
      </w:pPr>
    </w:p>
    <w:p>
      <w:pPr>
        <w:jc w:val="center"/>
        <w:rPr>
          <w:rFonts w:ascii="华文中宋" w:hAnsi="华文中宋" w:eastAsia="华文中宋"/>
          <w:sz w:val="32"/>
          <w:szCs w:val="32"/>
        </w:rPr>
      </w:pPr>
      <w:r>
        <w:rPr>
          <w:rFonts w:hint="eastAsia" w:ascii="华文中宋" w:hAnsi="华文中宋" w:eastAsia="华文中宋"/>
          <w:sz w:val="32"/>
          <w:szCs w:val="32"/>
        </w:rPr>
        <w:t>内蒙古包钢钢联股份有限公司投资者关系活动记录表</w:t>
      </w:r>
    </w:p>
    <w:p>
      <w:pPr>
        <w:jc w:val="center"/>
        <w:rPr>
          <w:rFonts w:ascii="华文中宋" w:hAnsi="华文中宋" w:eastAsia="华文中宋"/>
          <w:sz w:val="32"/>
          <w:szCs w:val="32"/>
        </w:rPr>
      </w:pP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490" w:type="dxa"/>
            <w:vAlign w:val="center"/>
          </w:tcPr>
          <w:p>
            <w:pPr>
              <w:spacing w:line="420" w:lineRule="exact"/>
              <w:jc w:val="center"/>
              <w:rPr>
                <w:rFonts w:asciiTheme="minorEastAsia" w:hAnsiTheme="minorEastAsia"/>
                <w:b/>
                <w:sz w:val="24"/>
                <w:szCs w:val="24"/>
              </w:rPr>
            </w:pPr>
            <w:r>
              <w:rPr>
                <w:rFonts w:hint="eastAsia" w:asciiTheme="minorEastAsia" w:hAnsiTheme="minorEastAsia"/>
                <w:b/>
                <w:sz w:val="24"/>
                <w:szCs w:val="24"/>
              </w:rPr>
              <w:t>投资者关系活动类型</w:t>
            </w:r>
          </w:p>
        </w:tc>
        <w:tc>
          <w:tcPr>
            <w:tcW w:w="6577" w:type="dxa"/>
          </w:tcPr>
          <w:p>
            <w:pPr>
              <w:spacing w:line="420" w:lineRule="exact"/>
              <w:ind w:right="278"/>
              <w:rPr>
                <w:rFonts w:cs="Times New Roman" w:asciiTheme="minorEastAsia" w:hAnsiTheme="minorEastAsia"/>
                <w:color w:val="000000"/>
                <w:spacing w:val="-6"/>
                <w:kern w:val="0"/>
                <w:sz w:val="24"/>
                <w:szCs w:val="24"/>
              </w:rPr>
            </w:pPr>
            <w:r>
              <w:rPr>
                <w:rFonts w:hint="eastAsia" w:cs="Times New Roman" w:asciiTheme="minorEastAsia" w:hAnsiTheme="minorEastAsia"/>
                <w:color w:val="000000"/>
                <w:spacing w:val="-6"/>
                <w:kern w:val="0"/>
                <w:sz w:val="24"/>
                <w:szCs w:val="24"/>
              </w:rPr>
              <w:sym w:font="Wingdings 2" w:char="0052"/>
            </w:r>
            <w:r>
              <w:rPr>
                <w:rFonts w:hint="eastAsia" w:cs="Times New Roman" w:asciiTheme="minorEastAsia" w:hAnsiTheme="minorEastAsia"/>
                <w:color w:val="000000"/>
                <w:spacing w:val="-6"/>
                <w:kern w:val="0"/>
                <w:sz w:val="24"/>
                <w:szCs w:val="24"/>
              </w:rPr>
              <w:t xml:space="preserve">特定对象调研 </w:t>
            </w:r>
            <w:r>
              <w:rPr>
                <w:rFonts w:cs="Times New Roman" w:asciiTheme="minorEastAsia" w:hAnsiTheme="minorEastAsia"/>
                <w:color w:val="000000"/>
                <w:spacing w:val="-6"/>
                <w:kern w:val="0"/>
                <w:sz w:val="24"/>
                <w:szCs w:val="24"/>
              </w:rPr>
              <w:t xml:space="preserve">    </w:t>
            </w:r>
            <w:r>
              <w:rPr>
                <w:rFonts w:hint="eastAsia" w:cs="Times New Roman" w:asciiTheme="minorEastAsia" w:hAnsiTheme="minorEastAsia"/>
                <w:color w:val="000000"/>
                <w:spacing w:val="-6"/>
                <w:kern w:val="0"/>
                <w:sz w:val="24"/>
                <w:szCs w:val="24"/>
              </w:rPr>
              <w:t>□分析师会议</w:t>
            </w:r>
          </w:p>
          <w:p>
            <w:pPr>
              <w:spacing w:line="420" w:lineRule="exact"/>
              <w:ind w:right="278"/>
              <w:rPr>
                <w:rFonts w:cs="Times New Roman" w:asciiTheme="minorEastAsia" w:hAnsiTheme="minorEastAsia"/>
                <w:color w:val="000000"/>
                <w:spacing w:val="-6"/>
                <w:kern w:val="0"/>
                <w:sz w:val="24"/>
                <w:szCs w:val="24"/>
              </w:rPr>
            </w:pPr>
            <w:r>
              <w:rPr>
                <w:rFonts w:hint="eastAsia" w:cs="Times New Roman" w:asciiTheme="minorEastAsia" w:hAnsiTheme="minorEastAsia"/>
                <w:color w:val="000000"/>
                <w:spacing w:val="-6"/>
                <w:kern w:val="0"/>
                <w:sz w:val="24"/>
                <w:szCs w:val="24"/>
              </w:rPr>
              <w:t xml:space="preserve">□媒体采访 </w:t>
            </w:r>
            <w:r>
              <w:rPr>
                <w:rFonts w:cs="Times New Roman" w:asciiTheme="minorEastAsia" w:hAnsiTheme="minorEastAsia"/>
                <w:color w:val="000000"/>
                <w:spacing w:val="-6"/>
                <w:kern w:val="0"/>
                <w:sz w:val="24"/>
                <w:szCs w:val="24"/>
              </w:rPr>
              <w:t xml:space="preserve">         </w:t>
            </w:r>
            <w:r>
              <w:rPr>
                <w:rFonts w:hint="eastAsia" w:cs="Times New Roman" w:asciiTheme="minorEastAsia" w:hAnsiTheme="minorEastAsia"/>
                <w:color w:val="000000"/>
                <w:spacing w:val="-6"/>
                <w:kern w:val="0"/>
                <w:sz w:val="24"/>
                <w:szCs w:val="24"/>
              </w:rPr>
              <w:sym w:font="Wingdings 2" w:char="0052"/>
            </w:r>
            <w:r>
              <w:rPr>
                <w:rFonts w:hint="eastAsia" w:cs="Times New Roman" w:asciiTheme="minorEastAsia" w:hAnsiTheme="minorEastAsia"/>
                <w:color w:val="000000"/>
                <w:spacing w:val="-6"/>
                <w:kern w:val="0"/>
                <w:sz w:val="24"/>
                <w:szCs w:val="24"/>
              </w:rPr>
              <w:t>路演活动</w:t>
            </w:r>
          </w:p>
          <w:p>
            <w:pPr>
              <w:spacing w:line="420" w:lineRule="exact"/>
              <w:ind w:right="278"/>
              <w:rPr>
                <w:rFonts w:cs="Times New Roman" w:asciiTheme="minorEastAsia" w:hAnsiTheme="minorEastAsia"/>
                <w:color w:val="000000"/>
                <w:spacing w:val="-6"/>
                <w:kern w:val="0"/>
                <w:sz w:val="24"/>
                <w:szCs w:val="24"/>
              </w:rPr>
            </w:pPr>
            <w:r>
              <w:rPr>
                <w:rFonts w:hint="eastAsia" w:cs="Times New Roman" w:asciiTheme="minorEastAsia" w:hAnsiTheme="minorEastAsia"/>
                <w:color w:val="000000"/>
                <w:spacing w:val="-6"/>
                <w:kern w:val="0"/>
                <w:sz w:val="24"/>
                <w:szCs w:val="24"/>
              </w:rPr>
              <w:t xml:space="preserve">□新闻发布会 </w:t>
            </w:r>
            <w:r>
              <w:rPr>
                <w:rFonts w:cs="Times New Roman" w:asciiTheme="minorEastAsia" w:hAnsiTheme="minorEastAsia"/>
                <w:color w:val="000000"/>
                <w:spacing w:val="-6"/>
                <w:kern w:val="0"/>
                <w:sz w:val="24"/>
                <w:szCs w:val="24"/>
              </w:rPr>
              <w:t xml:space="preserve">       </w:t>
            </w:r>
            <w:r>
              <w:rPr>
                <w:rFonts w:hint="eastAsia" w:cs="Times New Roman" w:asciiTheme="minorEastAsia" w:hAnsiTheme="minorEastAsia"/>
                <w:color w:val="000000"/>
                <w:spacing w:val="-6"/>
                <w:kern w:val="0"/>
                <w:sz w:val="24"/>
                <w:szCs w:val="24"/>
              </w:rPr>
              <w:sym w:font="Wingdings 2" w:char="0052"/>
            </w:r>
            <w:r>
              <w:rPr>
                <w:rFonts w:hint="eastAsia" w:cs="Times New Roman" w:asciiTheme="minorEastAsia" w:hAnsiTheme="minorEastAsia"/>
                <w:color w:val="000000"/>
                <w:spacing w:val="-6"/>
                <w:kern w:val="0"/>
                <w:sz w:val="24"/>
                <w:szCs w:val="24"/>
              </w:rPr>
              <w:t xml:space="preserve">现场参观 </w:t>
            </w:r>
            <w:r>
              <w:rPr>
                <w:rFonts w:cs="Times New Roman" w:asciiTheme="minorEastAsia" w:hAnsiTheme="minorEastAsia"/>
                <w:color w:val="000000"/>
                <w:spacing w:val="-6"/>
                <w:kern w:val="0"/>
                <w:sz w:val="24"/>
                <w:szCs w:val="24"/>
              </w:rPr>
              <w:t xml:space="preserve"> </w:t>
            </w:r>
          </w:p>
          <w:p>
            <w:pPr>
              <w:spacing w:line="420" w:lineRule="exact"/>
              <w:ind w:right="278"/>
              <w:rPr>
                <w:rFonts w:cs="Times New Roman" w:asciiTheme="minorEastAsia" w:hAnsiTheme="minorEastAsia"/>
                <w:color w:val="000000"/>
                <w:spacing w:val="-6"/>
                <w:kern w:val="0"/>
                <w:sz w:val="24"/>
                <w:szCs w:val="24"/>
              </w:rPr>
            </w:pPr>
            <w:r>
              <w:rPr>
                <w:rFonts w:hint="eastAsia" w:cs="Times New Roman" w:asciiTheme="minorEastAsia" w:hAnsiTheme="minorEastAsia"/>
                <w:color w:val="000000"/>
                <w:spacing w:val="-6"/>
                <w:kern w:val="0"/>
                <w:sz w:val="24"/>
                <w:szCs w:val="24"/>
              </w:rPr>
              <w:sym w:font="Wingdings 2" w:char="0052"/>
            </w:r>
            <w:r>
              <w:rPr>
                <w:rFonts w:hint="eastAsia" w:cs="Times New Roman" w:asciiTheme="minorEastAsia" w:hAnsiTheme="minorEastAsia"/>
                <w:color w:val="000000"/>
                <w:spacing w:val="-6"/>
                <w:kern w:val="0"/>
                <w:sz w:val="24"/>
                <w:szCs w:val="24"/>
              </w:rPr>
              <w:t>其他（策略会、反路演）：线上反路演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20" w:lineRule="exact"/>
              <w:jc w:val="center"/>
              <w:rPr>
                <w:rFonts w:asciiTheme="minorEastAsia" w:hAnsiTheme="minorEastAsia"/>
                <w:b/>
                <w:sz w:val="24"/>
                <w:szCs w:val="24"/>
              </w:rPr>
            </w:pPr>
            <w:r>
              <w:rPr>
                <w:rFonts w:hint="eastAsia" w:asciiTheme="minorEastAsia" w:hAnsiTheme="minorEastAsia"/>
                <w:b/>
                <w:sz w:val="24"/>
                <w:szCs w:val="24"/>
              </w:rPr>
              <w:t>来访时间、参与单位名称和人数</w:t>
            </w:r>
          </w:p>
        </w:tc>
        <w:tc>
          <w:tcPr>
            <w:tcW w:w="6577" w:type="dxa"/>
          </w:tcPr>
          <w:p>
            <w:pPr>
              <w:spacing w:line="420" w:lineRule="exact"/>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月1</w:t>
            </w:r>
            <w:r>
              <w:rPr>
                <w:rFonts w:asciiTheme="minorEastAsia" w:hAnsiTheme="minorEastAsia"/>
                <w:sz w:val="24"/>
                <w:szCs w:val="24"/>
              </w:rPr>
              <w:t>1</w:t>
            </w:r>
            <w:r>
              <w:rPr>
                <w:rFonts w:hint="eastAsia" w:asciiTheme="minorEastAsia" w:hAnsiTheme="minorEastAsia"/>
                <w:sz w:val="24"/>
                <w:szCs w:val="24"/>
              </w:rPr>
              <w:t>日上午8:3</w:t>
            </w:r>
            <w:r>
              <w:rPr>
                <w:rFonts w:asciiTheme="minorEastAsia" w:hAnsiTheme="minorEastAsia"/>
                <w:sz w:val="24"/>
                <w:szCs w:val="24"/>
              </w:rPr>
              <w:t>0</w:t>
            </w:r>
            <w:r>
              <w:rPr>
                <w:rFonts w:hint="eastAsia" w:asciiTheme="minorEastAsia" w:hAnsiTheme="minorEastAsia"/>
                <w:sz w:val="24"/>
                <w:szCs w:val="24"/>
              </w:rPr>
              <w:t>，申万宏源、工银瑞信等基金经理、分析师8人</w:t>
            </w:r>
          </w:p>
          <w:p>
            <w:pPr>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月</w:t>
            </w:r>
            <w:r>
              <w:rPr>
                <w:rFonts w:asciiTheme="minorEastAsia" w:hAnsiTheme="minorEastAsia"/>
                <w:sz w:val="24"/>
                <w:szCs w:val="24"/>
              </w:rPr>
              <w:t>17</w:t>
            </w:r>
            <w:r>
              <w:rPr>
                <w:rFonts w:hint="eastAsia" w:asciiTheme="minorEastAsia" w:hAnsiTheme="minorEastAsia"/>
                <w:sz w:val="24"/>
                <w:szCs w:val="24"/>
              </w:rPr>
              <w:t>日下午</w:t>
            </w:r>
            <w:r>
              <w:rPr>
                <w:rFonts w:asciiTheme="minorEastAsia" w:hAnsiTheme="minorEastAsia"/>
                <w:sz w:val="24"/>
                <w:szCs w:val="24"/>
              </w:rPr>
              <w:t>14</w:t>
            </w:r>
            <w:r>
              <w:rPr>
                <w:rFonts w:hint="eastAsia" w:asciiTheme="minorEastAsia" w:hAnsiTheme="minorEastAsia"/>
                <w:sz w:val="24"/>
                <w:szCs w:val="24"/>
              </w:rPr>
              <w:t>:0</w:t>
            </w:r>
            <w:r>
              <w:rPr>
                <w:rFonts w:asciiTheme="minorEastAsia" w:hAnsiTheme="minorEastAsia"/>
                <w:sz w:val="24"/>
                <w:szCs w:val="24"/>
              </w:rPr>
              <w:t>0</w:t>
            </w:r>
            <w:r>
              <w:rPr>
                <w:rFonts w:hint="eastAsia" w:asciiTheme="minorEastAsia" w:hAnsiTheme="minorEastAsia"/>
                <w:sz w:val="24"/>
                <w:szCs w:val="24"/>
              </w:rPr>
              <w:t>，东北证券、海鹏投资、长盛基金、融通基金等分析师、研究员4人</w:t>
            </w:r>
          </w:p>
          <w:p>
            <w:pPr>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月</w:t>
            </w:r>
            <w:r>
              <w:rPr>
                <w:rFonts w:asciiTheme="minorEastAsia" w:hAnsiTheme="minorEastAsia"/>
                <w:sz w:val="24"/>
                <w:szCs w:val="24"/>
              </w:rPr>
              <w:t>24</w:t>
            </w:r>
            <w:r>
              <w:rPr>
                <w:rFonts w:hint="eastAsia" w:asciiTheme="minorEastAsia" w:hAnsiTheme="minorEastAsia"/>
                <w:sz w:val="24"/>
                <w:szCs w:val="24"/>
              </w:rPr>
              <w:t>日上午9:3</w:t>
            </w:r>
            <w:r>
              <w:rPr>
                <w:rFonts w:asciiTheme="minorEastAsia" w:hAnsiTheme="minorEastAsia"/>
                <w:sz w:val="24"/>
                <w:szCs w:val="24"/>
              </w:rPr>
              <w:t>0</w:t>
            </w:r>
            <w:r>
              <w:rPr>
                <w:rFonts w:hint="eastAsia" w:asciiTheme="minorEastAsia" w:hAnsiTheme="minorEastAsia"/>
                <w:sz w:val="24"/>
                <w:szCs w:val="24"/>
              </w:rPr>
              <w:t>，天风证券、汇添富、华夏久盈、路博迈、国泰基金、中信建投基金、景顺基金等基金经理、分析师、研究员7人</w:t>
            </w:r>
          </w:p>
          <w:p>
            <w:pPr>
              <w:spacing w:line="420" w:lineRule="exact"/>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月2</w:t>
            </w:r>
            <w:r>
              <w:rPr>
                <w:rFonts w:asciiTheme="minorEastAsia" w:hAnsiTheme="minorEastAsia"/>
                <w:sz w:val="24"/>
                <w:szCs w:val="24"/>
              </w:rPr>
              <w:t>5</w:t>
            </w:r>
            <w:r>
              <w:rPr>
                <w:rFonts w:hint="eastAsia" w:asciiTheme="minorEastAsia" w:hAnsiTheme="minorEastAsia"/>
                <w:sz w:val="24"/>
                <w:szCs w:val="24"/>
              </w:rPr>
              <w:t>日下午1</w:t>
            </w:r>
            <w:r>
              <w:rPr>
                <w:rFonts w:asciiTheme="minorEastAsia" w:hAnsiTheme="minorEastAsia"/>
                <w:sz w:val="24"/>
                <w:szCs w:val="24"/>
              </w:rPr>
              <w:t>3</w:t>
            </w:r>
            <w:r>
              <w:rPr>
                <w:rFonts w:hint="eastAsia" w:asciiTheme="minorEastAsia" w:hAnsiTheme="minorEastAsia"/>
                <w:sz w:val="24"/>
                <w:szCs w:val="24"/>
              </w:rPr>
              <w:t>:3</w:t>
            </w:r>
            <w:r>
              <w:rPr>
                <w:rFonts w:asciiTheme="minorEastAsia" w:hAnsiTheme="minorEastAsia"/>
                <w:sz w:val="24"/>
                <w:szCs w:val="24"/>
              </w:rPr>
              <w:t>0</w:t>
            </w:r>
            <w:r>
              <w:rPr>
                <w:rFonts w:hint="eastAsia" w:asciiTheme="minorEastAsia" w:hAnsiTheme="minorEastAsia"/>
                <w:sz w:val="24"/>
                <w:szCs w:val="24"/>
              </w:rPr>
              <w:t>，人保资产研究员等5人</w:t>
            </w:r>
            <w:r>
              <w:rPr>
                <w:rFonts w:hint="eastAsia" w:asciiTheme="minorEastAsia" w:hAnsiTheme="minorEastAsia"/>
                <w:sz w:val="24"/>
                <w:szCs w:val="24"/>
              </w:rPr>
              <w:br w:type="textWrapping"/>
            </w:r>
            <w:r>
              <w:rPr>
                <w:rFonts w:asciiTheme="minorEastAsia" w:hAnsiTheme="minorEastAsia"/>
                <w:sz w:val="24"/>
                <w:szCs w:val="24"/>
              </w:rPr>
              <w:t>7</w:t>
            </w:r>
            <w:r>
              <w:rPr>
                <w:rFonts w:hint="eastAsia" w:asciiTheme="minorEastAsia" w:hAnsiTheme="minorEastAsia"/>
                <w:sz w:val="24"/>
                <w:szCs w:val="24"/>
              </w:rPr>
              <w:t>月2</w:t>
            </w:r>
            <w:r>
              <w:rPr>
                <w:rFonts w:asciiTheme="minorEastAsia" w:hAnsiTheme="minorEastAsia"/>
                <w:sz w:val="24"/>
                <w:szCs w:val="24"/>
              </w:rPr>
              <w:t>5</w:t>
            </w:r>
            <w:r>
              <w:rPr>
                <w:rFonts w:hint="eastAsia" w:asciiTheme="minorEastAsia" w:hAnsiTheme="minorEastAsia"/>
                <w:sz w:val="24"/>
                <w:szCs w:val="24"/>
              </w:rPr>
              <w:t>日下午1</w:t>
            </w:r>
            <w:r>
              <w:rPr>
                <w:rFonts w:asciiTheme="minorEastAsia" w:hAnsiTheme="minorEastAsia"/>
                <w:sz w:val="24"/>
                <w:szCs w:val="24"/>
              </w:rPr>
              <w:t>4</w:t>
            </w:r>
            <w:r>
              <w:rPr>
                <w:rFonts w:hint="eastAsia" w:asciiTheme="minorEastAsia" w:hAnsiTheme="minorEastAsia"/>
                <w:sz w:val="24"/>
                <w:szCs w:val="24"/>
              </w:rPr>
              <w:t>:3</w:t>
            </w:r>
            <w:r>
              <w:rPr>
                <w:rFonts w:asciiTheme="minorEastAsia" w:hAnsiTheme="minorEastAsia"/>
                <w:sz w:val="24"/>
                <w:szCs w:val="24"/>
              </w:rPr>
              <w:t>0</w:t>
            </w:r>
            <w:r>
              <w:rPr>
                <w:rFonts w:hint="eastAsia" w:asciiTheme="minorEastAsia" w:hAnsiTheme="minorEastAsia"/>
                <w:sz w:val="24"/>
                <w:szCs w:val="24"/>
              </w:rPr>
              <w:t>，东方红资产研究员等2人</w:t>
            </w:r>
            <w:r>
              <w:rPr>
                <w:rFonts w:hint="eastAsia" w:asciiTheme="minorEastAsia" w:hAnsiTheme="minorEastAsia"/>
                <w:sz w:val="24"/>
                <w:szCs w:val="24"/>
              </w:rPr>
              <w:br w:type="textWrapping"/>
            </w:r>
            <w:r>
              <w:rPr>
                <w:rFonts w:asciiTheme="minorEastAsia" w:hAnsiTheme="minorEastAsia"/>
                <w:sz w:val="24"/>
                <w:szCs w:val="24"/>
              </w:rPr>
              <w:t>7</w:t>
            </w:r>
            <w:r>
              <w:rPr>
                <w:rFonts w:hint="eastAsia" w:asciiTheme="minorEastAsia" w:hAnsiTheme="minorEastAsia"/>
                <w:sz w:val="24"/>
                <w:szCs w:val="24"/>
              </w:rPr>
              <w:t>月2</w:t>
            </w:r>
            <w:r>
              <w:rPr>
                <w:rFonts w:asciiTheme="minorEastAsia" w:hAnsiTheme="minorEastAsia"/>
                <w:sz w:val="24"/>
                <w:szCs w:val="24"/>
              </w:rPr>
              <w:t>5</w:t>
            </w:r>
            <w:r>
              <w:rPr>
                <w:rFonts w:hint="eastAsia" w:asciiTheme="minorEastAsia" w:hAnsiTheme="minorEastAsia"/>
                <w:sz w:val="24"/>
                <w:szCs w:val="24"/>
              </w:rPr>
              <w:t>日下午1</w:t>
            </w:r>
            <w:r>
              <w:rPr>
                <w:rFonts w:asciiTheme="minorEastAsia" w:hAnsiTheme="minorEastAsia"/>
                <w:sz w:val="24"/>
                <w:szCs w:val="24"/>
              </w:rPr>
              <w:t>6</w:t>
            </w:r>
            <w:r>
              <w:rPr>
                <w:rFonts w:hint="eastAsia" w:asciiTheme="minorEastAsia" w:hAnsiTheme="minorEastAsia"/>
                <w:sz w:val="24"/>
                <w:szCs w:val="24"/>
              </w:rPr>
              <w:t>:</w:t>
            </w:r>
            <w:r>
              <w:rPr>
                <w:rFonts w:asciiTheme="minorEastAsia" w:hAnsiTheme="minorEastAsia"/>
                <w:sz w:val="24"/>
                <w:szCs w:val="24"/>
              </w:rPr>
              <w:t>15</w:t>
            </w:r>
            <w:r>
              <w:rPr>
                <w:rFonts w:hint="eastAsia" w:asciiTheme="minorEastAsia" w:hAnsiTheme="minorEastAsia"/>
                <w:sz w:val="24"/>
                <w:szCs w:val="24"/>
              </w:rPr>
              <w:t>，招商基金经理、研究员等</w:t>
            </w:r>
            <w:r>
              <w:rPr>
                <w:rFonts w:asciiTheme="minorEastAsia" w:hAnsiTheme="minorEastAsia"/>
                <w:sz w:val="24"/>
                <w:szCs w:val="24"/>
              </w:rPr>
              <w:t>3</w:t>
            </w:r>
            <w:r>
              <w:rPr>
                <w:rFonts w:hint="eastAsia" w:asciiTheme="minorEastAsia" w:hAnsiTheme="minorEastAsia"/>
                <w:sz w:val="24"/>
                <w:szCs w:val="24"/>
              </w:rPr>
              <w:t>人</w:t>
            </w:r>
            <w:r>
              <w:rPr>
                <w:rFonts w:hint="eastAsia" w:asciiTheme="minorEastAsia" w:hAnsiTheme="minorEastAsia"/>
                <w:sz w:val="24"/>
                <w:szCs w:val="24"/>
              </w:rPr>
              <w:br w:type="textWrapping"/>
            </w:r>
            <w:r>
              <w:rPr>
                <w:rFonts w:hint="eastAsia" w:asciiTheme="minorEastAsia" w:hAnsiTheme="minorEastAsia"/>
                <w:sz w:val="24"/>
                <w:szCs w:val="24"/>
              </w:rPr>
              <w:t>7月2</w:t>
            </w:r>
            <w:r>
              <w:rPr>
                <w:rFonts w:asciiTheme="minorEastAsia" w:hAnsiTheme="minorEastAsia"/>
                <w:sz w:val="24"/>
                <w:szCs w:val="24"/>
              </w:rPr>
              <w:t>8</w:t>
            </w:r>
            <w:r>
              <w:rPr>
                <w:rFonts w:hint="eastAsia" w:asciiTheme="minorEastAsia" w:hAnsiTheme="minorEastAsia"/>
                <w:sz w:val="24"/>
                <w:szCs w:val="24"/>
              </w:rPr>
              <w:t>日下午15:30，西部利得基金经理、研究员等5人</w:t>
            </w:r>
            <w:r>
              <w:rPr>
                <w:rFonts w:hint="eastAsia" w:asciiTheme="minorEastAsia" w:hAnsiTheme="minorEastAsia"/>
                <w:sz w:val="24"/>
                <w:szCs w:val="24"/>
              </w:rPr>
              <w:br w:type="textWrapping"/>
            </w:r>
            <w:r>
              <w:rPr>
                <w:rFonts w:hint="eastAsia" w:asciiTheme="minorEastAsia" w:hAnsiTheme="minorEastAsia"/>
                <w:sz w:val="24"/>
                <w:szCs w:val="24"/>
              </w:rPr>
              <w:t>7月29日上午 9:00，博时基金经理、研究员等5人</w:t>
            </w:r>
          </w:p>
          <w:p>
            <w:pPr>
              <w:spacing w:line="420" w:lineRule="exact"/>
              <w:rPr>
                <w:rFonts w:asciiTheme="minorEastAsia" w:hAnsiTheme="minorEastAsia"/>
                <w:sz w:val="24"/>
                <w:szCs w:val="24"/>
              </w:rPr>
            </w:pPr>
            <w:r>
              <w:rPr>
                <w:rFonts w:hint="eastAsia" w:asciiTheme="minorEastAsia" w:hAnsiTheme="minorEastAsia"/>
                <w:sz w:val="24"/>
                <w:szCs w:val="24"/>
              </w:rPr>
              <w:t>7月29日上午10:00，华泰柏瑞经理、研究员等4人</w:t>
            </w:r>
          </w:p>
          <w:p>
            <w:pPr>
              <w:spacing w:line="420" w:lineRule="exact"/>
              <w:rPr>
                <w:rFonts w:asciiTheme="minorEastAsia" w:hAnsiTheme="minorEastAsia"/>
                <w:sz w:val="24"/>
                <w:szCs w:val="24"/>
              </w:rPr>
            </w:pPr>
            <w:r>
              <w:rPr>
                <w:rFonts w:hint="eastAsia" w:asciiTheme="minorEastAsia" w:hAnsiTheme="minorEastAsia"/>
                <w:sz w:val="24"/>
                <w:szCs w:val="24"/>
              </w:rPr>
              <w:t>7月29日下午13:30，永赢基金经理、研究员等2人</w:t>
            </w:r>
            <w:r>
              <w:rPr>
                <w:rFonts w:hint="eastAsia" w:asciiTheme="minorEastAsia" w:hAnsiTheme="minorEastAsia"/>
                <w:sz w:val="24"/>
                <w:szCs w:val="24"/>
              </w:rPr>
              <w:br w:type="textWrapping"/>
            </w:r>
            <w:r>
              <w:rPr>
                <w:rFonts w:hint="eastAsia" w:asciiTheme="minorEastAsia" w:hAnsiTheme="minorEastAsia"/>
                <w:sz w:val="24"/>
                <w:szCs w:val="24"/>
              </w:rPr>
              <w:t>7月29日下午15:00，国泰基金经理、研究员等6人</w:t>
            </w:r>
          </w:p>
          <w:p>
            <w:pPr>
              <w:spacing w:line="420" w:lineRule="exact"/>
              <w:rPr>
                <w:rFonts w:asciiTheme="minorEastAsia" w:hAnsiTheme="minorEastAsia"/>
                <w:sz w:val="24"/>
                <w:szCs w:val="24"/>
              </w:rPr>
            </w:pPr>
            <w:r>
              <w:rPr>
                <w:rFonts w:hint="eastAsia" w:asciiTheme="minorEastAsia" w:hAnsiTheme="minorEastAsia"/>
                <w:sz w:val="24"/>
                <w:szCs w:val="24"/>
              </w:rPr>
              <w:t>7月29日下午16:10，太平资产经理、研究员等3人</w:t>
            </w:r>
            <w:r>
              <w:rPr>
                <w:rFonts w:hint="eastAsia" w:asciiTheme="minorEastAsia" w:hAnsiTheme="minorEastAsia"/>
                <w:sz w:val="24"/>
                <w:szCs w:val="24"/>
              </w:rPr>
              <w:br w:type="textWrapping"/>
            </w:r>
            <w:r>
              <w:rPr>
                <w:rFonts w:hint="eastAsia" w:asciiTheme="minorEastAsia" w:hAnsiTheme="minorEastAsia"/>
                <w:sz w:val="24"/>
                <w:szCs w:val="24"/>
              </w:rPr>
              <w:t>7月29日下午15:00，嘉实基金经理、研究员等9人</w:t>
            </w:r>
          </w:p>
          <w:p>
            <w:pPr>
              <w:spacing w:line="420" w:lineRule="exact"/>
              <w:rPr>
                <w:rFonts w:asciiTheme="minorEastAsia" w:hAnsiTheme="minorEastAsia"/>
                <w:sz w:val="24"/>
                <w:szCs w:val="24"/>
              </w:rPr>
            </w:pPr>
            <w:r>
              <w:rPr>
                <w:rFonts w:hint="eastAsia" w:asciiTheme="minorEastAsia" w:hAnsiTheme="minorEastAsia"/>
                <w:sz w:val="24"/>
                <w:szCs w:val="24"/>
              </w:rPr>
              <w:t>7月29日下午16:00，海富通基金研究员等1人</w:t>
            </w:r>
            <w:r>
              <w:rPr>
                <w:rFonts w:hint="eastAsia" w:asciiTheme="minorEastAsia" w:hAnsiTheme="minorEastAsia"/>
                <w:sz w:val="24"/>
                <w:szCs w:val="24"/>
              </w:rPr>
              <w:br w:type="textWrapping"/>
            </w:r>
            <w:r>
              <w:rPr>
                <w:rFonts w:hint="eastAsia" w:asciiTheme="minorEastAsia" w:hAnsiTheme="minorEastAsia"/>
                <w:sz w:val="24"/>
                <w:szCs w:val="24"/>
              </w:rPr>
              <w:t>7月3</w:t>
            </w:r>
            <w:r>
              <w:rPr>
                <w:rFonts w:asciiTheme="minorEastAsia" w:hAnsiTheme="minorEastAsia"/>
                <w:sz w:val="24"/>
                <w:szCs w:val="24"/>
              </w:rPr>
              <w:t>0</w:t>
            </w:r>
            <w:r>
              <w:rPr>
                <w:rFonts w:hint="eastAsia" w:asciiTheme="minorEastAsia" w:hAnsiTheme="minorEastAsia"/>
                <w:sz w:val="24"/>
                <w:szCs w:val="24"/>
              </w:rPr>
              <w:t>日上午10:00，平安养老研究员等3人</w:t>
            </w:r>
          </w:p>
          <w:p>
            <w:pPr>
              <w:spacing w:line="420" w:lineRule="exact"/>
              <w:rPr>
                <w:rFonts w:asciiTheme="minorEastAsia" w:hAnsiTheme="minorEastAsia"/>
                <w:sz w:val="24"/>
                <w:szCs w:val="24"/>
              </w:rPr>
            </w:pPr>
            <w:r>
              <w:rPr>
                <w:rFonts w:hint="eastAsia" w:asciiTheme="minorEastAsia" w:hAnsiTheme="minorEastAsia"/>
                <w:sz w:val="24"/>
                <w:szCs w:val="24"/>
              </w:rPr>
              <w:t>7月3</w:t>
            </w:r>
            <w:r>
              <w:rPr>
                <w:rFonts w:asciiTheme="minorEastAsia" w:hAnsiTheme="minorEastAsia"/>
                <w:sz w:val="24"/>
                <w:szCs w:val="24"/>
              </w:rPr>
              <w:t>1</w:t>
            </w:r>
            <w:r>
              <w:rPr>
                <w:rFonts w:hint="eastAsia" w:asciiTheme="minorEastAsia" w:hAnsiTheme="minorEastAsia"/>
                <w:sz w:val="24"/>
                <w:szCs w:val="24"/>
              </w:rPr>
              <w:t>日上午1</w:t>
            </w:r>
            <w:r>
              <w:rPr>
                <w:rFonts w:asciiTheme="minorEastAsia" w:hAnsiTheme="minorEastAsia"/>
                <w:sz w:val="24"/>
                <w:szCs w:val="24"/>
              </w:rPr>
              <w:t>0</w:t>
            </w:r>
            <w:r>
              <w:rPr>
                <w:rFonts w:hint="eastAsia" w:asciiTheme="minorEastAsia" w:hAnsiTheme="minorEastAsia"/>
                <w:sz w:val="24"/>
                <w:szCs w:val="24"/>
              </w:rPr>
              <w:t>:0</w:t>
            </w:r>
            <w:r>
              <w:rPr>
                <w:rFonts w:asciiTheme="minorEastAsia" w:hAnsiTheme="minorEastAsia"/>
                <w:sz w:val="24"/>
                <w:szCs w:val="24"/>
              </w:rPr>
              <w:t>0</w:t>
            </w:r>
            <w:r>
              <w:rPr>
                <w:rFonts w:hint="eastAsia" w:asciiTheme="minorEastAsia" w:hAnsiTheme="minorEastAsia"/>
                <w:sz w:val="24"/>
                <w:szCs w:val="24"/>
              </w:rPr>
              <w:t>，中加基金、HSBC BROKING SECURITIES (ASIA) LTD、OCEANLINK MANAGEMENT LTD.、玖石资本、益恒投资、KTF Capital Management Limited、东吴基金、世诚投资、鹏泰投资、汇蠡投资、Western Capital、兴业银行、摩根士丹利华鑫基金、太平洋保险、混沌投资、青岛富实资产、上海明河投资公司、华宝信托投资公司、中国国际金融公司、中信证券、中银国际、博惠投资公司、Prudence Investment Management (HK) Ltd、秦平、鹏华基金、YUNQI PATH CAPITAL MASTER FUND、PICKERS CAPITAL MANAGEMENT LIMITED、JK CAPITAL MANAGEMENT LTD、西部利得基金、小草资本管理公司、景顺长城基金、九泰基金公司、中国人寿资产、久富投资、尚正基金、恒健远志投资、诚通基金、HGNH International Asset Management (SG) PTE.LTD、方正富邦基金、复星保德信人寿公司、Keywise、尚诚资产、汇华理财、Amundi BOC Wealth Management、兴业基金、Cathay Securities Investment Trust Co., Ltd、双泓元投资公司、兴证全球基金、宽远资产、进门、长江证券等基金经理、分析师、研究员7</w:t>
            </w:r>
            <w:r>
              <w:rPr>
                <w:rFonts w:asciiTheme="minorEastAsia" w:hAnsiTheme="minorEastAsia"/>
                <w:sz w:val="24"/>
                <w:szCs w:val="24"/>
              </w:rPr>
              <w:t>5</w:t>
            </w:r>
            <w:r>
              <w:rPr>
                <w:rFonts w:hint="eastAsia" w:asciiTheme="minorEastAsia" w:hAnsiTheme="minorEastAsia"/>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490" w:type="dxa"/>
          </w:tcPr>
          <w:p>
            <w:pPr>
              <w:spacing w:line="420" w:lineRule="exact"/>
              <w:jc w:val="center"/>
              <w:rPr>
                <w:rFonts w:asciiTheme="minorEastAsia" w:hAnsiTheme="minorEastAsia"/>
                <w:b/>
                <w:sz w:val="24"/>
                <w:szCs w:val="24"/>
              </w:rPr>
            </w:pPr>
            <w:r>
              <w:rPr>
                <w:rFonts w:hint="eastAsia" w:asciiTheme="minorEastAsia" w:hAnsiTheme="minorEastAsia"/>
                <w:b/>
                <w:sz w:val="24"/>
                <w:szCs w:val="24"/>
              </w:rPr>
              <w:t>地点</w:t>
            </w:r>
          </w:p>
        </w:tc>
        <w:tc>
          <w:tcPr>
            <w:tcW w:w="6577" w:type="dxa"/>
          </w:tcPr>
          <w:p>
            <w:pPr>
              <w:spacing w:line="420" w:lineRule="exact"/>
              <w:rPr>
                <w:rFonts w:asciiTheme="minorEastAsia" w:hAnsiTheme="minorEastAsia"/>
                <w:sz w:val="24"/>
                <w:szCs w:val="24"/>
              </w:rPr>
            </w:pPr>
            <w:r>
              <w:rPr>
                <w:rFonts w:hint="eastAsia" w:asciiTheme="minorEastAsia" w:hAnsiTheme="minorEastAsia"/>
                <w:sz w:val="24"/>
                <w:szCs w:val="24"/>
              </w:rPr>
              <w:t>公司办公楼会议室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Pr>
          <w:p>
            <w:pPr>
              <w:spacing w:line="420" w:lineRule="exact"/>
              <w:jc w:val="center"/>
              <w:rPr>
                <w:rFonts w:asciiTheme="minorEastAsia" w:hAnsiTheme="minorEastAsia"/>
                <w:b/>
                <w:sz w:val="24"/>
                <w:szCs w:val="24"/>
              </w:rPr>
            </w:pPr>
            <w:r>
              <w:rPr>
                <w:rFonts w:hint="eastAsia" w:asciiTheme="minorEastAsia" w:hAnsiTheme="minorEastAsia"/>
                <w:b/>
                <w:sz w:val="24"/>
                <w:szCs w:val="24"/>
              </w:rPr>
              <w:t>上市公司接待人员</w:t>
            </w:r>
          </w:p>
        </w:tc>
        <w:tc>
          <w:tcPr>
            <w:tcW w:w="6577" w:type="dxa"/>
          </w:tcPr>
          <w:p>
            <w:pPr>
              <w:spacing w:line="420" w:lineRule="exact"/>
              <w:rPr>
                <w:rFonts w:asciiTheme="minorEastAsia" w:hAnsiTheme="minorEastAsia"/>
                <w:sz w:val="24"/>
                <w:szCs w:val="24"/>
              </w:rPr>
            </w:pPr>
            <w:r>
              <w:rPr>
                <w:rFonts w:hint="eastAsia" w:asciiTheme="minorEastAsia" w:hAnsiTheme="minorEastAsia"/>
                <w:sz w:val="24"/>
                <w:szCs w:val="24"/>
              </w:rPr>
              <w:t>公司董事、董事会秘书刘宓女士，证券融资部等相关部门人员。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pPr>
              <w:spacing w:line="420" w:lineRule="exact"/>
              <w:jc w:val="center"/>
              <w:rPr>
                <w:rFonts w:asciiTheme="minorEastAsia" w:hAnsiTheme="minorEastAsia"/>
                <w:b/>
                <w:sz w:val="24"/>
                <w:szCs w:val="24"/>
              </w:rPr>
            </w:pPr>
            <w:r>
              <w:rPr>
                <w:rFonts w:hint="eastAsia" w:asciiTheme="minorEastAsia" w:hAnsiTheme="minorEastAsia"/>
                <w:b/>
                <w:sz w:val="24"/>
                <w:szCs w:val="24"/>
              </w:rPr>
              <w:t>投资者关系活动主要内容介绍</w:t>
            </w:r>
          </w:p>
        </w:tc>
        <w:tc>
          <w:tcPr>
            <w:tcW w:w="6577" w:type="dxa"/>
          </w:tcPr>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投资者沟通交流活动中的主要内容归纳整理如下：</w:t>
            </w:r>
          </w:p>
          <w:p>
            <w:pPr>
              <w:spacing w:line="500" w:lineRule="exact"/>
              <w:ind w:firstLine="482" w:firstLineChars="200"/>
              <w:rPr>
                <w:rFonts w:asciiTheme="minorEastAsia" w:hAnsiTheme="minorEastAsia"/>
                <w:sz w:val="24"/>
                <w:szCs w:val="24"/>
              </w:rPr>
            </w:pPr>
            <w:r>
              <w:rPr>
                <w:rFonts w:asciiTheme="minorEastAsia" w:hAnsiTheme="minorEastAsia"/>
                <w:b/>
                <w:sz w:val="24"/>
                <w:szCs w:val="24"/>
              </w:rPr>
              <w:t>1</w:t>
            </w:r>
            <w:r>
              <w:rPr>
                <w:rFonts w:hint="eastAsia" w:asciiTheme="minorEastAsia" w:hAnsiTheme="minorEastAsia"/>
                <w:b/>
                <w:sz w:val="24"/>
                <w:szCs w:val="24"/>
              </w:rPr>
              <w:t>.稀土下游需求展望？</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t>稀土作为国家重要的战略资源，战略价值和重要意义越来越凸显。而我国是全球唯一具备稀土全产业链产品生产能力的国家。</w:t>
            </w:r>
            <w:r>
              <w:rPr>
                <w:rFonts w:hint="eastAsia" w:asciiTheme="minorEastAsia" w:hAnsiTheme="minorEastAsia"/>
                <w:sz w:val="24"/>
                <w:szCs w:val="24"/>
              </w:rPr>
              <w:t>据USGS统计，中国稀土资源储量和产量连续多年占比世界第一。</w:t>
            </w:r>
            <w:r>
              <w:rPr>
                <w:rFonts w:asciiTheme="minorEastAsia" w:hAnsiTheme="minorEastAsia"/>
                <w:sz w:val="24"/>
                <w:szCs w:val="24"/>
              </w:rPr>
              <w:t>稀土应用广泛，新能源、新材料等领域将持续高速发展，风力电机、新能源汽车、</w:t>
            </w:r>
            <w:r>
              <w:rPr>
                <w:rFonts w:hint="eastAsia" w:asciiTheme="minorEastAsia" w:hAnsiTheme="minorEastAsia"/>
                <w:sz w:val="24"/>
                <w:szCs w:val="24"/>
              </w:rPr>
              <w:t>节能家居、消费电子、变频空调、风电</w:t>
            </w:r>
            <w:r>
              <w:rPr>
                <w:rFonts w:asciiTheme="minorEastAsia" w:hAnsiTheme="minorEastAsia"/>
                <w:sz w:val="24"/>
                <w:szCs w:val="24"/>
              </w:rPr>
              <w:t>等产业将持续增长，</w:t>
            </w:r>
            <w:r>
              <w:rPr>
                <w:rFonts w:hint="eastAsia" w:asciiTheme="minorEastAsia" w:hAnsiTheme="minorEastAsia"/>
                <w:sz w:val="24"/>
                <w:szCs w:val="24"/>
              </w:rPr>
              <w:t>机器人、低空经济和工业电机等新兴领域有望打开远期需求成长空间，</w:t>
            </w:r>
            <w:r>
              <w:rPr>
                <w:rFonts w:asciiTheme="minorEastAsia" w:hAnsiTheme="minorEastAsia"/>
                <w:sz w:val="24"/>
                <w:szCs w:val="24"/>
              </w:rPr>
              <w:t>这也将带动稀土产业保持高速发展</w:t>
            </w:r>
            <w:r>
              <w:rPr>
                <w:rFonts w:hint="eastAsia" w:asciiTheme="minorEastAsia" w:hAnsiTheme="minorEastAsia"/>
                <w:sz w:val="24"/>
                <w:szCs w:val="24"/>
              </w:rPr>
              <w:t>，</w:t>
            </w:r>
            <w:r>
              <w:rPr>
                <w:rFonts w:asciiTheme="minorEastAsia" w:hAnsiTheme="minorEastAsia"/>
                <w:sz w:val="24"/>
                <w:szCs w:val="24"/>
              </w:rPr>
              <w:t>这也将带动稀土产业保持高速发展。</w:t>
            </w:r>
          </w:p>
          <w:p>
            <w:pPr>
              <w:spacing w:line="500" w:lineRule="exact"/>
              <w:ind w:firstLine="482" w:firstLineChars="200"/>
              <w:rPr>
                <w:rFonts w:asciiTheme="minorEastAsia" w:hAnsiTheme="minorEastAsia"/>
                <w:b/>
                <w:sz w:val="24"/>
                <w:szCs w:val="24"/>
              </w:rPr>
            </w:pPr>
            <w:r>
              <w:rPr>
                <w:rFonts w:asciiTheme="minorEastAsia" w:hAnsiTheme="minorEastAsia"/>
                <w:b/>
                <w:sz w:val="24"/>
                <w:szCs w:val="24"/>
              </w:rPr>
              <w:t>2</w:t>
            </w:r>
            <w:r>
              <w:rPr>
                <w:rFonts w:hint="eastAsia" w:asciiTheme="minorEastAsia" w:hAnsiTheme="minorEastAsia"/>
                <w:b/>
                <w:sz w:val="24"/>
                <w:szCs w:val="24"/>
              </w:rPr>
              <w:t>．中央财经委会议提出反内卷，公司怎么看钢铁行业反内卷进展？</w:t>
            </w:r>
            <w:r>
              <w:rPr>
                <w:rFonts w:asciiTheme="minorEastAsia" w:hAnsiTheme="minorEastAsia"/>
                <w:b/>
                <w:sz w:val="24"/>
                <w:szCs w:val="24"/>
              </w:rPr>
              <w:t xml:space="preserve">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一是</w:t>
            </w:r>
            <w:r>
              <w:rPr>
                <w:rFonts w:asciiTheme="minorEastAsia" w:hAnsiTheme="minorEastAsia"/>
                <w:sz w:val="24"/>
                <w:szCs w:val="24"/>
              </w:rPr>
              <w:t>目前处于市场需求淡季，钢厂主动减产“反内卷”有利于缓解当前市场供需矛盾，对当前钢价形成有效支撑。</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二是</w:t>
            </w:r>
            <w:r>
              <w:rPr>
                <w:rFonts w:asciiTheme="minorEastAsia" w:hAnsiTheme="minorEastAsia"/>
                <w:sz w:val="24"/>
                <w:szCs w:val="24"/>
              </w:rPr>
              <w:t>今年铁矿石价格虽然有所下降，但受国际大型矿商垄断影响，较钢材价格与上游煤炭、焦炭价格相比矿价仍维持高位，钢厂主动减产“反内卷”有利于缓解矿价持续高位压力，直接降低钢厂生产成本。</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三是</w:t>
            </w:r>
            <w:r>
              <w:rPr>
                <w:rFonts w:asciiTheme="minorEastAsia" w:hAnsiTheme="minorEastAsia"/>
                <w:sz w:val="24"/>
                <w:szCs w:val="24"/>
              </w:rPr>
              <w:t>下游主要用钢基建、房地产、汽车、家电、造船、机械、储能与精密制造等行业对钢材需求已经由普通板、管、线、型产品向高强、耐</w:t>
            </w:r>
            <w:r>
              <w:rPr>
                <w:rFonts w:hint="eastAsia" w:asciiTheme="minorEastAsia" w:hAnsiTheme="minorEastAsia"/>
                <w:sz w:val="24"/>
                <w:szCs w:val="24"/>
              </w:rPr>
              <w:t>蚀</w:t>
            </w:r>
            <w:r>
              <w:rPr>
                <w:rFonts w:asciiTheme="minorEastAsia" w:hAnsiTheme="minorEastAsia"/>
                <w:sz w:val="24"/>
                <w:szCs w:val="24"/>
              </w:rPr>
              <w:t>、耐高温等硅钢、合金、涂镀与超纯制品延</w:t>
            </w:r>
            <w:r>
              <w:rPr>
                <w:rFonts w:hint="eastAsia" w:asciiTheme="minorEastAsia" w:hAnsiTheme="minorEastAsia"/>
                <w:sz w:val="24"/>
                <w:szCs w:val="24"/>
              </w:rPr>
              <w:t>伸</w:t>
            </w:r>
            <w:r>
              <w:rPr>
                <w:rFonts w:asciiTheme="minorEastAsia" w:hAnsiTheme="minorEastAsia"/>
                <w:sz w:val="24"/>
                <w:szCs w:val="24"/>
              </w:rPr>
              <w:t>，做为“内蒙古工业长子”，包钢在上述领域均</w:t>
            </w:r>
            <w:r>
              <w:rPr>
                <w:rFonts w:hint="eastAsia" w:asciiTheme="minorEastAsia" w:hAnsiTheme="minorEastAsia"/>
                <w:sz w:val="24"/>
                <w:szCs w:val="24"/>
              </w:rPr>
              <w:t>在</w:t>
            </w:r>
            <w:r>
              <w:rPr>
                <w:rFonts w:asciiTheme="minorEastAsia" w:hAnsiTheme="minorEastAsia"/>
                <w:sz w:val="24"/>
                <w:szCs w:val="24"/>
              </w:rPr>
              <w:t>发力，</w:t>
            </w:r>
            <w:r>
              <w:rPr>
                <w:rFonts w:hint="eastAsia" w:asciiTheme="minorEastAsia" w:hAnsiTheme="minorEastAsia"/>
                <w:sz w:val="24"/>
                <w:szCs w:val="24"/>
              </w:rPr>
              <w:t>以“优质精品钢+系列稀土钢”为产品结构调整方向，优化产品结构，发挥板、管、轨、线特色优势，提高差异化竞争力，</w:t>
            </w:r>
            <w:r>
              <w:rPr>
                <w:rFonts w:asciiTheme="minorEastAsia" w:hAnsiTheme="minorEastAsia"/>
                <w:sz w:val="24"/>
                <w:szCs w:val="24"/>
              </w:rPr>
              <w:t>通过主动减产效益较低普通品种，重心转向效益较高深加工领域，做好降本增效工作，在代表新质生产力行业上主动赢得市场。</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3．公司的发展战略？</w:t>
            </w:r>
            <w:r>
              <w:rPr>
                <w:rFonts w:asciiTheme="minorEastAsia" w:hAnsiTheme="minorEastAsia"/>
                <w:b/>
                <w:sz w:val="24"/>
                <w:szCs w:val="24"/>
              </w:rPr>
              <w:t xml:space="preserve">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十四五”末，公司将以创建世界一流企业为目标，以“极致能效”工程为抓手，以“一利五率”高标准为追求，开拓构建品种结构合理、资源供给稳定、技术装备先进、质量品牌突出、智慧制造升级、绿色低碳持续、竞争优势显著的高质量发展新格局，成为稀土钢系列产品标准的制定者，成为我国钢铁行业品牌化、绿色化和智能化转型发展的践行者。</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做精做优钢铁主业。以“优质精品钢</w:t>
            </w:r>
            <w:r>
              <w:rPr>
                <w:rFonts w:asciiTheme="minorEastAsia" w:hAnsiTheme="minorEastAsia"/>
                <w:sz w:val="24"/>
                <w:szCs w:val="24"/>
              </w:rPr>
              <w:t>+系列稀土钢”为产品结构调整方向，追求极致效率、极限成本，深调产品结构；聚焦做精做优，最大限度提升产能利用率，优化产品结构，发挥板、管、轨、线特色优势，形成差异化竞争力；推动稀土钢品种系列化、标准化、高端化，努力推进稀土钢产品在国家重大工程、国家战略领域以及重点核心企业的应用；实现打造国内领先、品牌卓著的稀土钢新材料综合供应商和服务商的高质量发展目标。</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加速产业布局优化。加快提升钢铁产能利用率，释放规模效应；加速推动钢铁产业改革发展进程；响应国家“一带一路”倡议，推进资源、产能和市场海外布局</w:t>
            </w:r>
            <w:r>
              <w:rPr>
                <w:rFonts w:asciiTheme="minorEastAsia" w:hAnsiTheme="minorEastAsia"/>
                <w:sz w:val="24"/>
                <w:szCs w:val="24"/>
              </w:rPr>
              <w:t>,探索通过产能整合、品牌输出、技术输出、管理输出等，扩大包钢“稀土钢”品牌影响力。</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加快发展资源及综合利用产业。依托白云鄂博矿资源优势，在打好“资源牌”上实现新突破，以白云鄂博资源为主体，培育资源及综合利用产业成为第三主业。围绕建设国家重要能源和战略资源基地，全力整合内外部矿产资源，做好资源保护性开发、规范化管理、高质化利用，开展找矿行动，摸清资源家底。通过强化科技创新和资源综合利用，延伸资源产业链，做大做强包钢资源产业，力争成为我国西北地区最大的矿产资源开发及综合利用基地。</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加快发展煤焦化工产业。依托现有焦化产业基础优势和内蒙古丰富的煤炭资源优势，瞄准建设现代煤化工产业体系，从提升发展质量和创建绿色示范着手，打造集煤焦化工生产、技术服务、贸易为一体的综合性煤焦化工产业业务综合体，致力于成为中西部地区最具竞争力的煤化工产业服务商和中西部地区国家煤焦化工集聚发展示范基地。</w:t>
            </w:r>
          </w:p>
          <w:p>
            <w:pPr>
              <w:spacing w:line="500" w:lineRule="exact"/>
              <w:ind w:firstLine="482" w:firstLineChars="200"/>
              <w:rPr>
                <w:rFonts w:asciiTheme="minorEastAsia" w:hAnsiTheme="minorEastAsia"/>
                <w:b/>
                <w:sz w:val="24"/>
                <w:szCs w:val="24"/>
              </w:rPr>
            </w:pPr>
            <w:r>
              <w:rPr>
                <w:rFonts w:asciiTheme="minorEastAsia" w:hAnsiTheme="minorEastAsia"/>
                <w:b/>
                <w:sz w:val="24"/>
                <w:szCs w:val="24"/>
              </w:rPr>
              <w:t>4</w:t>
            </w:r>
            <w:r>
              <w:rPr>
                <w:rFonts w:hint="eastAsia" w:asciiTheme="minorEastAsia" w:hAnsiTheme="minorEastAsia"/>
                <w:b/>
                <w:sz w:val="24"/>
                <w:szCs w:val="24"/>
              </w:rPr>
              <w:t>、公司未来资本开支预期？</w:t>
            </w:r>
            <w:r>
              <w:rPr>
                <w:rFonts w:asciiTheme="minorEastAsia" w:hAnsiTheme="minorEastAsia"/>
                <w:b/>
                <w:sz w:val="24"/>
                <w:szCs w:val="24"/>
              </w:rPr>
              <w:t xml:space="preserve"> </w:t>
            </w:r>
          </w:p>
          <w:p>
            <w:pPr>
              <w:spacing w:line="500" w:lineRule="exact"/>
              <w:ind w:firstLine="480" w:firstLineChars="200"/>
              <w:rPr>
                <w:rFonts w:asciiTheme="minorEastAsia" w:hAnsiTheme="minorEastAsia"/>
                <w:sz w:val="24"/>
                <w:szCs w:val="24"/>
              </w:rPr>
            </w:pPr>
            <w:r>
              <w:rPr>
                <w:rFonts w:asciiTheme="minorEastAsia" w:hAnsiTheme="minorEastAsia"/>
                <w:sz w:val="24"/>
                <w:szCs w:val="24"/>
              </w:rPr>
              <w:t>2025年公司</w:t>
            </w:r>
            <w:r>
              <w:rPr>
                <w:rFonts w:hint="eastAsia" w:asciiTheme="minorEastAsia" w:hAnsiTheme="minorEastAsia"/>
                <w:sz w:val="24"/>
                <w:szCs w:val="24"/>
              </w:rPr>
              <w:t>主要围绕调整结构提质增效、保生产稳定运行、信息化和智能化、节能和环保等方面</w:t>
            </w:r>
            <w:r>
              <w:rPr>
                <w:rFonts w:asciiTheme="minorEastAsia" w:hAnsiTheme="minorEastAsia"/>
                <w:sz w:val="24"/>
                <w:szCs w:val="24"/>
              </w:rPr>
              <w:t>计划投资项目98项，计划</w:t>
            </w:r>
            <w:r>
              <w:rPr>
                <w:rFonts w:hint="eastAsia" w:asciiTheme="minorEastAsia" w:hAnsiTheme="minorEastAsia"/>
                <w:sz w:val="24"/>
                <w:szCs w:val="24"/>
              </w:rPr>
              <w:t>金额</w:t>
            </w:r>
            <w:r>
              <w:rPr>
                <w:rFonts w:asciiTheme="minorEastAsia" w:hAnsiTheme="minorEastAsia"/>
                <w:sz w:val="24"/>
                <w:szCs w:val="24"/>
              </w:rPr>
              <w:t>18.76亿元。</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025</w:t>
            </w:r>
            <w:r>
              <w:rPr>
                <w:rFonts w:hint="eastAsia" w:asciiTheme="minorEastAsia" w:hAnsiTheme="minorEastAsia"/>
                <w:sz w:val="24"/>
                <w:szCs w:val="24"/>
              </w:rPr>
              <w:t>年</w:t>
            </w:r>
            <w:r>
              <w:rPr>
                <w:rFonts w:asciiTheme="minorEastAsia" w:hAnsiTheme="minorEastAsia"/>
                <w:sz w:val="24"/>
                <w:szCs w:val="24"/>
              </w:rPr>
              <w:t>4</w:t>
            </w:r>
            <w:r>
              <w:rPr>
                <w:rFonts w:hint="eastAsia" w:asciiTheme="minorEastAsia" w:hAnsiTheme="minorEastAsia"/>
                <w:sz w:val="24"/>
                <w:szCs w:val="24"/>
              </w:rPr>
              <w:t>月，公司发布了1亿至2亿元股份回购方案，目前正在实施中。</w:t>
            </w:r>
          </w:p>
          <w:p>
            <w:pPr>
              <w:spacing w:line="500" w:lineRule="exact"/>
              <w:ind w:firstLine="240" w:firstLineChars="100"/>
              <w:rPr>
                <w:rFonts w:asciiTheme="minorEastAsia" w:hAnsiTheme="minorEastAsia"/>
                <w:sz w:val="24"/>
                <w:szCs w:val="24"/>
              </w:rPr>
            </w:pPr>
            <w:r>
              <w:rPr>
                <w:rFonts w:hint="eastAsia" w:asciiTheme="minorEastAsia" w:hAnsiTheme="minorEastAsia"/>
                <w:sz w:val="24"/>
                <w:szCs w:val="24"/>
              </w:rPr>
              <w:t>公司十五五规划目前正在编制中，预计于</w:t>
            </w:r>
            <w:r>
              <w:rPr>
                <w:rFonts w:asciiTheme="minorEastAsia" w:hAnsiTheme="minorEastAsia"/>
                <w:sz w:val="24"/>
                <w:szCs w:val="24"/>
              </w:rPr>
              <w:t>2025年年底前完成，后续的固定资产投资规划也将符合十五五规划发展方向。</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5.包钢集团在稀土精矿定价中会如何参与？或者简述一下整个精矿定价的在集团内部的报备流程怎么做？</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包钢股份是上市公司，业务具有独立性，无需履行向包钢集团报备流程。</w:t>
            </w:r>
          </w:p>
          <w:p>
            <w:pPr>
              <w:spacing w:line="500" w:lineRule="exact"/>
              <w:ind w:firstLine="482" w:firstLineChars="200"/>
              <w:rPr>
                <w:rFonts w:asciiTheme="minorEastAsia" w:hAnsiTheme="minorEastAsia"/>
                <w:b/>
                <w:sz w:val="24"/>
                <w:szCs w:val="24"/>
              </w:rPr>
            </w:pPr>
            <w:r>
              <w:rPr>
                <w:rFonts w:asciiTheme="minorEastAsia" w:hAnsiTheme="minorEastAsia"/>
                <w:b/>
                <w:sz w:val="24"/>
                <w:szCs w:val="24"/>
              </w:rPr>
              <w:t>6</w:t>
            </w:r>
            <w:r>
              <w:rPr>
                <w:rFonts w:hint="eastAsia" w:asciiTheme="minorEastAsia" w:hAnsiTheme="minorEastAsia"/>
                <w:b/>
                <w:sz w:val="24"/>
                <w:szCs w:val="24"/>
              </w:rPr>
              <w:t>.回购公司股份是基于什么考量？</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基于对公司可持续发展的信心，还有就是为了维护股东利益，增厚投资者每股收益。</w:t>
            </w:r>
          </w:p>
          <w:p>
            <w:pPr>
              <w:spacing w:line="500" w:lineRule="exact"/>
              <w:ind w:firstLine="482" w:firstLineChars="200"/>
              <w:rPr>
                <w:rFonts w:asciiTheme="minorEastAsia" w:hAnsiTheme="minorEastAsia"/>
                <w:b/>
                <w:sz w:val="24"/>
                <w:szCs w:val="24"/>
              </w:rPr>
            </w:pPr>
            <w:r>
              <w:rPr>
                <w:rFonts w:asciiTheme="minorEastAsia" w:hAnsiTheme="minorEastAsia"/>
                <w:b/>
                <w:sz w:val="24"/>
                <w:szCs w:val="24"/>
              </w:rPr>
              <w:t>7</w:t>
            </w:r>
            <w:r>
              <w:rPr>
                <w:rFonts w:hint="eastAsia" w:asciiTheme="minorEastAsia" w:hAnsiTheme="minorEastAsia"/>
                <w:b/>
                <w:sz w:val="24"/>
                <w:szCs w:val="24"/>
              </w:rPr>
              <w:t>.公司钢铁板块业务中管材、棒材等各类产品营收、产量拆分？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024</w:t>
            </w:r>
            <w:r>
              <w:rPr>
                <w:rFonts w:hint="eastAsia" w:asciiTheme="minorEastAsia" w:hAnsiTheme="minorEastAsia"/>
                <w:sz w:val="24"/>
                <w:szCs w:val="24"/>
              </w:rPr>
              <w:t>年，公司生产管材180.72万吨，占比12.8%；板材产量941.43万吨，占比66.68%；型材产量146.73万吨，占比10.39%；线棒材产量146.73万吨，占比10.13%。</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024</w:t>
            </w:r>
            <w:r>
              <w:rPr>
                <w:rFonts w:hint="eastAsia" w:asciiTheme="minorEastAsia" w:hAnsiTheme="minorEastAsia"/>
                <w:sz w:val="24"/>
                <w:szCs w:val="24"/>
              </w:rPr>
              <w:t>年，管材营收占比14.27%，板材营收占比65.67%，型材营收占比10.84%，线棒材占比9.22%。</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8.去年以来钢铁行业盈利承压，公司有什么应对方法？</w:t>
            </w:r>
            <w:r>
              <w:rPr>
                <w:rFonts w:asciiTheme="minorEastAsia" w:hAnsiTheme="minorEastAsia"/>
                <w:b/>
                <w:sz w:val="24"/>
                <w:szCs w:val="24"/>
              </w:rPr>
              <w:t xml:space="preserve">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公司将坚持市场化经营理念，牢固树立市场意识和精算意识，聚焦“一利五率”加强经营全过程的分析管控，不断提高经营质量。 始终坚持 “建设全球最优稀土钢新材料生产基地， 成为卓越的稀土钢新材料优质供应服务商”目标，加快推进结构调整。坚定“优质精品钢+系列稀土钢”产品结构调整战略。聚焦白云鄂博资源综合利用，做好资源保护性开发、规范化管理、高质化利用，推动伴生萤石资源预富集技术实现突破及资源产业化应用。 构建形成 “四位一体” 煤焦化工产业布局， 推进焦副产品技术升级改造， 提高焦副产品资源利用效率；氟材料产业链积极推进。</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加大降本增效力度。采购方面：调整采购策略，立足于“价格、数量、成分”开展品种战略寻源，广泛开发适应公司生产工艺的新品种，开拓采购渠道，增加直供比例，降低采购成本。优化整合供应商资源，充分发挥集中采购的规模化、专业化优势，进一步降低采购成本。生产经营方面：铁前工序持续推进深度降本。落实“制造服从市场，指标服从经营”的要求，将铁水成本、产线效率、能耗指标等作为降本增效的核心关键工作，开展全工序成本对标，深挖降本潜力。提升产线生产效率，积极组织创高产；控制工序消耗，通过行业对标找差，以目标工序成本为着力点，查找与行业水平差距，视差距大小分级确定各工序加压降本目标。不断提升各项经济技术指标水平；结合采购端新品种的开发，优化配煤配矿结构，降低铁水成本。钢轧工序在聚焦生产制造过程中的工序成本本降低的同时，重点是不断提升盈利能力。坚持目标导向，以市场为引领，以效益为中心，以吨材毛利为核心，优化订单品种排产，进一步提高销售利润率，实现边际效益最大化，提升企业盈利创效能力，达到增效目标。剔除市场价格因素，2024年全年实现吨钢制造成本降低3.14%；2025年一季度实现吨钢制造成本降低2.82%。</w:t>
            </w:r>
          </w:p>
          <w:p>
            <w:pPr>
              <w:spacing w:line="500" w:lineRule="exact"/>
              <w:ind w:firstLine="482" w:firstLineChars="200"/>
              <w:rPr>
                <w:rFonts w:asciiTheme="minorEastAsia" w:hAnsiTheme="minorEastAsia"/>
                <w:b/>
                <w:sz w:val="24"/>
                <w:szCs w:val="24"/>
              </w:rPr>
            </w:pPr>
            <w:r>
              <w:rPr>
                <w:rFonts w:asciiTheme="minorEastAsia" w:hAnsiTheme="minorEastAsia"/>
                <w:b/>
                <w:sz w:val="24"/>
                <w:szCs w:val="24"/>
              </w:rPr>
              <w:t>9</w:t>
            </w:r>
            <w:r>
              <w:rPr>
                <w:rFonts w:hint="eastAsia" w:asciiTheme="minorEastAsia" w:hAnsiTheme="minorEastAsia"/>
                <w:b/>
                <w:sz w:val="24"/>
                <w:szCs w:val="24"/>
              </w:rPr>
              <w:t>.</w:t>
            </w:r>
            <w:r>
              <w:rPr>
                <w:rFonts w:asciiTheme="minorEastAsia" w:hAnsiTheme="minorEastAsia"/>
                <w:b/>
                <w:sz w:val="24"/>
                <w:szCs w:val="24"/>
              </w:rPr>
              <w:t>包头市提出</w:t>
            </w:r>
            <w:r>
              <w:rPr>
                <w:rFonts w:hint="eastAsia" w:asciiTheme="minorEastAsia" w:hAnsiTheme="minorEastAsia"/>
                <w:b/>
                <w:sz w:val="24"/>
                <w:szCs w:val="24"/>
              </w:rPr>
              <w:t>要</w:t>
            </w:r>
            <w:r>
              <w:rPr>
                <w:rFonts w:asciiTheme="minorEastAsia" w:hAnsiTheme="minorEastAsia"/>
                <w:b/>
                <w:sz w:val="24"/>
                <w:szCs w:val="24"/>
              </w:rPr>
              <w:t>打造千亿氟化工基地，</w:t>
            </w:r>
            <w:r>
              <w:rPr>
                <w:rFonts w:hint="eastAsia" w:asciiTheme="minorEastAsia" w:hAnsiTheme="minorEastAsia"/>
                <w:b/>
                <w:sz w:val="24"/>
                <w:szCs w:val="24"/>
              </w:rPr>
              <w:t>往后对公司有哪些影响</w:t>
            </w:r>
            <w:r>
              <w:rPr>
                <w:rFonts w:asciiTheme="minorEastAsia" w:hAnsiTheme="minorEastAsia"/>
                <w:b/>
                <w:sz w:val="24"/>
                <w:szCs w:val="24"/>
              </w:rPr>
              <w:t>？</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包头市全力推进千亿级氟化工项目基地，对公司而言具有深远意义。公司作为氟材料产业链链主企业，在保障原料供应上发挥作用。依托白云鄂博丰富的萤石资源，以萤石资源为基础，逐步拓展至新能源电子化学品、高端精细化学品等产业链，推动产业链向下游延伸，提升资源利用效率和产品附加值，培育新的利润增长点，推动公司实现从传统钢铁产业向资源综合开发利用与多元产业协同发展的战略转型，有效增强公司在市场中的综合竞争力。</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1</w:t>
            </w:r>
            <w:r>
              <w:rPr>
                <w:rFonts w:asciiTheme="minorEastAsia" w:hAnsiTheme="minorEastAsia"/>
                <w:b/>
                <w:sz w:val="24"/>
                <w:szCs w:val="24"/>
              </w:rPr>
              <w:t>0</w:t>
            </w:r>
            <w:r>
              <w:rPr>
                <w:rFonts w:hint="eastAsia" w:asciiTheme="minorEastAsia" w:hAnsiTheme="minorEastAsia"/>
                <w:b/>
                <w:sz w:val="24"/>
                <w:szCs w:val="24"/>
              </w:rPr>
              <w:t>.超低排放改造情况和投入情况？</w:t>
            </w:r>
          </w:p>
          <w:p>
            <w:pPr>
              <w:spacing w:line="500" w:lineRule="exact"/>
              <w:ind w:firstLine="420"/>
              <w:rPr>
                <w:rFonts w:asciiTheme="minorEastAsia" w:hAnsiTheme="minorEastAsia"/>
                <w:sz w:val="24"/>
                <w:szCs w:val="24"/>
              </w:rPr>
            </w:pPr>
            <w:r>
              <w:rPr>
                <w:rFonts w:asciiTheme="minorEastAsia" w:hAnsiTheme="minorEastAsia"/>
                <w:sz w:val="24"/>
                <w:szCs w:val="24"/>
              </w:rPr>
              <w:t>2023</w:t>
            </w:r>
            <w:r>
              <w:rPr>
                <w:rFonts w:hint="eastAsia" w:asciiTheme="minorEastAsia" w:hAnsiTheme="minorEastAsia"/>
                <w:sz w:val="24"/>
                <w:szCs w:val="24"/>
              </w:rPr>
              <w:t>年底已完成了超低排放相关工程，2</w:t>
            </w:r>
            <w:r>
              <w:rPr>
                <w:rFonts w:asciiTheme="minorEastAsia" w:hAnsiTheme="minorEastAsia"/>
                <w:sz w:val="24"/>
                <w:szCs w:val="24"/>
              </w:rPr>
              <w:t>024</w:t>
            </w:r>
            <w:r>
              <w:rPr>
                <w:rFonts w:hint="eastAsia" w:asciiTheme="minorEastAsia" w:hAnsiTheme="minorEastAsia"/>
                <w:sz w:val="24"/>
                <w:szCs w:val="24"/>
              </w:rPr>
              <w:t>年9月已通过了工程验收，2</w:t>
            </w:r>
            <w:r>
              <w:rPr>
                <w:rFonts w:asciiTheme="minorEastAsia" w:hAnsiTheme="minorEastAsia"/>
                <w:sz w:val="24"/>
                <w:szCs w:val="24"/>
              </w:rPr>
              <w:t>020</w:t>
            </w:r>
            <w:r>
              <w:rPr>
                <w:rFonts w:hint="eastAsia" w:asciiTheme="minorEastAsia" w:hAnsiTheme="minorEastAsia"/>
                <w:sz w:val="24"/>
                <w:szCs w:val="24"/>
              </w:rPr>
              <w:t>年至2</w:t>
            </w:r>
            <w:r>
              <w:rPr>
                <w:rFonts w:asciiTheme="minorEastAsia" w:hAnsiTheme="minorEastAsia"/>
                <w:sz w:val="24"/>
                <w:szCs w:val="24"/>
              </w:rPr>
              <w:t>024</w:t>
            </w:r>
            <w:r>
              <w:rPr>
                <w:rFonts w:hint="eastAsia" w:asciiTheme="minorEastAsia" w:hAnsiTheme="minorEastAsia"/>
                <w:sz w:val="24"/>
                <w:szCs w:val="24"/>
              </w:rPr>
              <w:t>年公司超低排放工程投入7</w:t>
            </w:r>
            <w:r>
              <w:rPr>
                <w:rFonts w:asciiTheme="minorEastAsia" w:hAnsiTheme="minorEastAsia"/>
                <w:sz w:val="24"/>
                <w:szCs w:val="24"/>
              </w:rPr>
              <w:t>0</w:t>
            </w:r>
            <w:r>
              <w:rPr>
                <w:rFonts w:hint="eastAsia" w:asciiTheme="minorEastAsia" w:hAnsiTheme="minorEastAsia"/>
                <w:sz w:val="24"/>
                <w:szCs w:val="24"/>
              </w:rPr>
              <w:t>多亿元。</w:t>
            </w:r>
          </w:p>
          <w:p>
            <w:pPr>
              <w:widowControl/>
              <w:shd w:val="clear" w:color="auto" w:fill="FFFFFF"/>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1</w:t>
            </w:r>
            <w:r>
              <w:rPr>
                <w:rFonts w:asciiTheme="minorEastAsia" w:hAnsiTheme="minorEastAsia"/>
                <w:b/>
                <w:sz w:val="24"/>
                <w:szCs w:val="24"/>
              </w:rPr>
              <w:t>1</w:t>
            </w:r>
            <w:r>
              <w:rPr>
                <w:rFonts w:hint="eastAsia" w:asciiTheme="minorEastAsia" w:hAnsiTheme="minorEastAsia"/>
                <w:b/>
                <w:sz w:val="24"/>
                <w:szCs w:val="24"/>
              </w:rPr>
              <w:t>.</w:t>
            </w:r>
            <w:r>
              <w:rPr>
                <w:rFonts w:asciiTheme="minorEastAsia" w:hAnsiTheme="minorEastAsia"/>
                <w:b/>
                <w:sz w:val="24"/>
                <w:szCs w:val="24"/>
              </w:rPr>
              <w:t>关于钢铁行业规范打分公司的进展和反馈相关情况</w:t>
            </w:r>
            <w:r>
              <w:rPr>
                <w:rFonts w:hint="eastAsia" w:asciiTheme="minorEastAsia" w:hAnsiTheme="minorEastAsia"/>
                <w:b/>
                <w:sz w:val="24"/>
                <w:szCs w:val="24"/>
              </w:rPr>
              <w:t>？</w:t>
            </w:r>
          </w:p>
          <w:p>
            <w:pPr>
              <w:widowControl/>
              <w:shd w:val="clear" w:color="auto" w:fill="FFFFFF"/>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已完成钢铁行业“引领型”规范企业申报，目前尚未得到相关部门的反馈情况，将持续跟踪。</w:t>
            </w:r>
            <w:r>
              <w:rPr>
                <w:rFonts w:asciiTheme="minorEastAsia" w:hAnsiTheme="minorEastAsia"/>
                <w:sz w:val="24"/>
                <w:szCs w:val="24"/>
              </w:rPr>
              <w:t xml:space="preserve"> </w:t>
            </w:r>
          </w:p>
          <w:p>
            <w:pPr>
              <w:widowControl/>
              <w:shd w:val="clear" w:color="auto" w:fill="FFFFFF"/>
              <w:spacing w:line="420" w:lineRule="exact"/>
              <w:ind w:firstLine="480" w:firstLineChars="20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Pr>
          <w:p>
            <w:pPr>
              <w:spacing w:line="420" w:lineRule="exact"/>
              <w:rPr>
                <w:rFonts w:asciiTheme="minorEastAsia" w:hAnsiTheme="minorEastAsia"/>
                <w:b/>
                <w:sz w:val="24"/>
                <w:szCs w:val="24"/>
              </w:rPr>
            </w:pPr>
            <w:r>
              <w:rPr>
                <w:rFonts w:hint="eastAsia" w:asciiTheme="minorEastAsia" w:hAnsiTheme="minorEastAsia"/>
                <w:b/>
                <w:sz w:val="24"/>
                <w:szCs w:val="24"/>
              </w:rPr>
              <w:t>附件清单（如有）</w:t>
            </w:r>
          </w:p>
        </w:tc>
        <w:tc>
          <w:tcPr>
            <w:tcW w:w="6577" w:type="dxa"/>
          </w:tcPr>
          <w:p>
            <w:pPr>
              <w:spacing w:line="420" w:lineRule="exact"/>
              <w:rPr>
                <w:rFonts w:asciiTheme="minorEastAsia" w:hAnsiTheme="minorEastAsia"/>
                <w:sz w:val="24"/>
                <w:szCs w:val="24"/>
              </w:rPr>
            </w:pPr>
            <w:r>
              <w:rPr>
                <w:rFonts w:hint="eastAsia" w:asciiTheme="minorEastAsia" w:hAnsiTheme="minorEastAsia"/>
                <w:sz w:val="24"/>
                <w:szCs w:val="24"/>
              </w:rPr>
              <w:t>无</w:t>
            </w:r>
          </w:p>
        </w:tc>
      </w:tr>
    </w:tbl>
    <w:p/>
    <w:sectPr>
      <w:pgSz w:w="11906" w:h="16838"/>
      <w:pgMar w:top="1474" w:right="1588" w:bottom="113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32"/>
    <w:rsid w:val="00003E41"/>
    <w:rsid w:val="00026C40"/>
    <w:rsid w:val="000A60E7"/>
    <w:rsid w:val="000F04F2"/>
    <w:rsid w:val="001026F0"/>
    <w:rsid w:val="0012571E"/>
    <w:rsid w:val="00157A99"/>
    <w:rsid w:val="001B208B"/>
    <w:rsid w:val="001B725F"/>
    <w:rsid w:val="001C73BC"/>
    <w:rsid w:val="001E752C"/>
    <w:rsid w:val="00201944"/>
    <w:rsid w:val="00217959"/>
    <w:rsid w:val="0022744F"/>
    <w:rsid w:val="00245099"/>
    <w:rsid w:val="002669FA"/>
    <w:rsid w:val="002A2F72"/>
    <w:rsid w:val="002E43DC"/>
    <w:rsid w:val="003102CA"/>
    <w:rsid w:val="00336691"/>
    <w:rsid w:val="00340D77"/>
    <w:rsid w:val="00361B65"/>
    <w:rsid w:val="00387550"/>
    <w:rsid w:val="00390685"/>
    <w:rsid w:val="003E17F3"/>
    <w:rsid w:val="003E60F0"/>
    <w:rsid w:val="003F4DDB"/>
    <w:rsid w:val="00404F64"/>
    <w:rsid w:val="00417C35"/>
    <w:rsid w:val="00492F82"/>
    <w:rsid w:val="004952AA"/>
    <w:rsid w:val="00501523"/>
    <w:rsid w:val="00531F22"/>
    <w:rsid w:val="005449B0"/>
    <w:rsid w:val="00554E7A"/>
    <w:rsid w:val="00564907"/>
    <w:rsid w:val="00566E5B"/>
    <w:rsid w:val="0057349B"/>
    <w:rsid w:val="0057457A"/>
    <w:rsid w:val="005A6869"/>
    <w:rsid w:val="005B3A3B"/>
    <w:rsid w:val="005F1A1B"/>
    <w:rsid w:val="006020C0"/>
    <w:rsid w:val="0061003C"/>
    <w:rsid w:val="0062755F"/>
    <w:rsid w:val="006324C7"/>
    <w:rsid w:val="00636513"/>
    <w:rsid w:val="00656367"/>
    <w:rsid w:val="0068622D"/>
    <w:rsid w:val="00686E17"/>
    <w:rsid w:val="006920ED"/>
    <w:rsid w:val="006A17E8"/>
    <w:rsid w:val="006A4C99"/>
    <w:rsid w:val="006D3C41"/>
    <w:rsid w:val="00722F8E"/>
    <w:rsid w:val="0073169D"/>
    <w:rsid w:val="00782348"/>
    <w:rsid w:val="00790967"/>
    <w:rsid w:val="007D52DA"/>
    <w:rsid w:val="007E2E6F"/>
    <w:rsid w:val="007E4D89"/>
    <w:rsid w:val="007F3379"/>
    <w:rsid w:val="008232DD"/>
    <w:rsid w:val="00835055"/>
    <w:rsid w:val="008637CD"/>
    <w:rsid w:val="0088551B"/>
    <w:rsid w:val="008B3A09"/>
    <w:rsid w:val="008C17B4"/>
    <w:rsid w:val="008D0F6D"/>
    <w:rsid w:val="008D1758"/>
    <w:rsid w:val="008E0F1E"/>
    <w:rsid w:val="008E1A7C"/>
    <w:rsid w:val="00925FD8"/>
    <w:rsid w:val="0094266E"/>
    <w:rsid w:val="00966D4F"/>
    <w:rsid w:val="009702FA"/>
    <w:rsid w:val="00990A9D"/>
    <w:rsid w:val="00990FEE"/>
    <w:rsid w:val="009C54E5"/>
    <w:rsid w:val="009F2061"/>
    <w:rsid w:val="00A00D44"/>
    <w:rsid w:val="00A166D3"/>
    <w:rsid w:val="00A51FB6"/>
    <w:rsid w:val="00AD02A0"/>
    <w:rsid w:val="00AE0ECC"/>
    <w:rsid w:val="00AE4720"/>
    <w:rsid w:val="00AE4FF7"/>
    <w:rsid w:val="00AE5D63"/>
    <w:rsid w:val="00B01E76"/>
    <w:rsid w:val="00B1293C"/>
    <w:rsid w:val="00BB4C93"/>
    <w:rsid w:val="00BC474C"/>
    <w:rsid w:val="00BE1798"/>
    <w:rsid w:val="00C00B92"/>
    <w:rsid w:val="00C163C8"/>
    <w:rsid w:val="00C2654A"/>
    <w:rsid w:val="00C34C00"/>
    <w:rsid w:val="00C56B8D"/>
    <w:rsid w:val="00CA0AA7"/>
    <w:rsid w:val="00CB7559"/>
    <w:rsid w:val="00CF7C6D"/>
    <w:rsid w:val="00D54C92"/>
    <w:rsid w:val="00D55B2A"/>
    <w:rsid w:val="00D64532"/>
    <w:rsid w:val="00D97713"/>
    <w:rsid w:val="00DA5DFC"/>
    <w:rsid w:val="00DD2A3A"/>
    <w:rsid w:val="00DE1D30"/>
    <w:rsid w:val="00E04E66"/>
    <w:rsid w:val="00E05CD1"/>
    <w:rsid w:val="00E22A0F"/>
    <w:rsid w:val="00E34832"/>
    <w:rsid w:val="00E6382D"/>
    <w:rsid w:val="00E83CCA"/>
    <w:rsid w:val="00E924EB"/>
    <w:rsid w:val="00F31256"/>
    <w:rsid w:val="00F3613E"/>
    <w:rsid w:val="00F64215"/>
    <w:rsid w:val="00FA00FE"/>
    <w:rsid w:val="00FA2B86"/>
    <w:rsid w:val="00FA73FE"/>
    <w:rsid w:val="00FA7CF1"/>
    <w:rsid w:val="00FC437C"/>
    <w:rsid w:val="00FD0D2E"/>
    <w:rsid w:val="00FD32A4"/>
    <w:rsid w:val="00FF4093"/>
    <w:rsid w:val="00FF6087"/>
    <w:rsid w:val="1E40561C"/>
    <w:rsid w:val="31A7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31"/>
    <w:basedOn w:val="7"/>
    <w:qFormat/>
    <w:uiPriority w:val="0"/>
    <w:rPr>
      <w:rFonts w:hint="eastAsia" w:ascii="宋体" w:hAnsi="宋体" w:eastAsia="宋体" w:cs="宋体"/>
      <w:color w:val="000000"/>
      <w:sz w:val="21"/>
      <w:szCs w:val="21"/>
      <w:u w:val="none"/>
    </w:rPr>
  </w:style>
  <w:style w:type="paragraph" w:customStyle="1" w:styleId="11">
    <w:name w:val="UserStyle_0"/>
    <w:next w:val="1"/>
    <w:qFormat/>
    <w:uiPriority w:val="0"/>
    <w:pPr>
      <w:widowControl w:val="0"/>
      <w:ind w:firstLine="420" w:firstLineChars="200"/>
      <w:jc w:val="both"/>
      <w:textAlignment w:val="baseline"/>
    </w:pPr>
    <w:rPr>
      <w:rFonts w:ascii="Arial" w:hAnsi="Arial" w:eastAsia="Arial" w:cs="Arial"/>
      <w:kern w:val="2"/>
      <w:sz w:val="21"/>
      <w:szCs w:val="24"/>
      <w:lang w:val="en-US" w:eastAsia="zh-CN" w:bidi="ar-SA"/>
    </w:rPr>
  </w:style>
  <w:style w:type="character" w:customStyle="1" w:styleId="12">
    <w:name w:val="批注框文本 Char"/>
    <w:basedOn w:val="7"/>
    <w:link w:val="2"/>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670</Words>
  <Characters>3819</Characters>
  <Lines>31</Lines>
  <Paragraphs>8</Paragraphs>
  <TotalTime>5</TotalTime>
  <ScaleCrop>false</ScaleCrop>
  <LinksUpToDate>false</LinksUpToDate>
  <CharactersWithSpaces>4481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2025-08-20T07:13:00Z</dcterms:created>
  <dc:creator>何丽</dc:creator>
  <cp:lastModifiedBy>heli</cp:lastModifiedBy>
  <cp:lastPrinted>2025-08-19T08:58:00Z</cp:lastPrinted>
  <dcterms:modified xsi:type="dcterms:W3CDTF">2025-08-26T08:52:39Z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6AEBBDC373304137A9181E7C2CBF799D</vt:lpwstr>
  </property>
</Properties>
</file>