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559B"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证券代码：6</w:t>
      </w:r>
      <w:r>
        <w:rPr>
          <w:rFonts w:ascii="宋体" w:hAnsi="宋体"/>
          <w:bCs/>
          <w:iCs/>
          <w:color w:val="000000"/>
          <w:sz w:val="24"/>
        </w:rPr>
        <w:t>88343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证券简称：云天励飞</w:t>
      </w:r>
    </w:p>
    <w:p w14:paraId="16D477A9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深圳云天励飞技术股份有限公司</w:t>
      </w:r>
    </w:p>
    <w:p w14:paraId="6B7BAE92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62E582DA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(</w:t>
      </w:r>
      <w:r>
        <w:rPr>
          <w:rFonts w:hint="default" w:ascii="Times New Roman" w:hAnsi="Times New Roman" w:cs="Times New Roman"/>
          <w:b/>
          <w:bCs/>
          <w:iCs/>
          <w:color w:val="000000"/>
          <w:sz w:val="32"/>
          <w:szCs w:val="32"/>
        </w:rPr>
        <w:t>2025年08月27日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iCs/>
          <w:color w:val="000000"/>
          <w:sz w:val="32"/>
          <w:szCs w:val="32"/>
        </w:rPr>
        <w:t>2025年08月29日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)</w:t>
      </w:r>
    </w:p>
    <w:p w14:paraId="2EE3C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default" w:ascii="宋体" w:hAnsi="宋体" w:eastAsia="宋体"/>
          <w:bCs/>
          <w:iCs/>
          <w:color w:val="000000"/>
          <w:sz w:val="24"/>
          <w:lang w:val="en-US" w:eastAsia="zh-CN"/>
        </w:rPr>
      </w:pPr>
      <w:r>
        <w:rPr>
          <w:rFonts w:hint="default" w:ascii="宋体" w:hAnsi="宋体"/>
          <w:bCs/>
          <w:iCs/>
          <w:color w:val="000000"/>
          <w:sz w:val="24"/>
          <w:lang w:val="en-US"/>
        </w:rPr>
        <w:t xml:space="preserve">                                                      </w:t>
      </w:r>
      <w:r>
        <w:rPr>
          <w:rFonts w:hint="eastAsia" w:ascii="宋体" w:hAnsi="宋体"/>
          <w:bCs/>
          <w:iCs/>
          <w:color w:val="000000"/>
          <w:sz w:val="24"/>
        </w:rPr>
        <w:t>编号：</w:t>
      </w:r>
      <w:r>
        <w:rPr>
          <w:rFonts w:hint="default" w:ascii="Times New Roman" w:hAnsi="Times New Roman" w:cs="Times New Roman"/>
          <w:bCs/>
          <w:iCs/>
          <w:color w:val="000000"/>
          <w:sz w:val="24"/>
        </w:rPr>
        <w:t>2025-</w:t>
      </w:r>
      <w:r>
        <w:rPr>
          <w:rFonts w:hint="default" w:ascii="Times New Roman" w:hAnsi="Times New Roman" w:cs="Times New Roman"/>
          <w:bCs/>
          <w:iCs/>
          <w:color w:val="000000"/>
          <w:sz w:val="24"/>
          <w:lang w:val="en-US" w:eastAsia="zh-CN"/>
        </w:rPr>
        <w:t>013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6434"/>
      </w:tblGrid>
      <w:tr w14:paraId="4F8E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244D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C4791">
            <w:pPr>
              <w:spacing w:line="360" w:lineRule="auto"/>
            </w:pPr>
            <w:r>
              <w:rPr>
                <w:rFonts w:hint="eastAsia" w:ascii="Segoe UI Symbol" w:hAnsi="Segoe UI Symbol" w:cs="Segoe UI Symbol"/>
                <w:sz w:val="24"/>
                <w:lang w:eastAsia="zh-CN"/>
              </w:rPr>
              <w:t>☑</w:t>
            </w:r>
            <w:r>
              <w:rPr>
                <w:rFonts w:ascii="宋体" w:hAnsi="宋体" w:cs="宋体"/>
                <w:sz w:val="24"/>
              </w:rPr>
              <w:t>特定对象调研   □分析师会议</w:t>
            </w:r>
          </w:p>
          <w:p w14:paraId="00BDBC9A">
            <w:pPr>
              <w:spacing w:line="360" w:lineRule="auto"/>
            </w:pPr>
            <w:r>
              <w:rPr>
                <w:rFonts w:ascii="宋体" w:hAnsi="宋体" w:cs="宋体"/>
                <w:sz w:val="24"/>
              </w:rPr>
              <w:t>□媒体采访       □业绩说明会</w:t>
            </w:r>
          </w:p>
          <w:p w14:paraId="56364671">
            <w:pPr>
              <w:spacing w:line="360" w:lineRule="auto"/>
            </w:pPr>
            <w:r>
              <w:rPr>
                <w:rFonts w:ascii="宋体" w:hAnsi="宋体" w:cs="宋体"/>
                <w:sz w:val="24"/>
              </w:rPr>
              <w:t>□新闻发布会     □路演活动</w:t>
            </w:r>
          </w:p>
          <w:p w14:paraId="1614AF15">
            <w:pPr>
              <w:spacing w:line="360" w:lineRule="auto"/>
            </w:pPr>
            <w:r>
              <w:rPr>
                <w:rFonts w:ascii="宋体" w:hAnsi="宋体" w:cs="宋体"/>
                <w:sz w:val="24"/>
              </w:rPr>
              <w:t>□现场参观       □其他</w:t>
            </w:r>
          </w:p>
        </w:tc>
      </w:tr>
      <w:tr w14:paraId="70D2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E1B6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E42B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嘉实基金、诺安基金、兴全基金、银河基金、中邮基金、国泰海通资管、中加基金、中移资本、浦银安盛、海通资管、源峰资本、博海汇金、合众易晟、国寿安保、圆信永丰、富国基金、山西资管、招商银行、晨燕资本、望正资产、朴拙资本、柏治资本、沃珑港投资、瀚伦投资、甬兴资管、真滢投资、磐厚资本、西安清善、龙航私募、广发证券、华泰证券、中信建投证券，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</w:rPr>
              <w:t>32家机构的代表，共计32人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。</w:t>
            </w:r>
          </w:p>
        </w:tc>
      </w:tr>
      <w:tr w14:paraId="6968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DF3E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1DED9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2025年08月27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-29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日</w:t>
            </w:r>
          </w:p>
        </w:tc>
      </w:tr>
      <w:tr w14:paraId="753A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DA9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3877B">
            <w:pPr>
              <w:spacing w:line="360" w:lineRule="auto"/>
            </w:pPr>
            <w:r>
              <w:rPr>
                <w:rFonts w:ascii="宋体" w:hAnsi="宋体" w:cs="宋体"/>
                <w:sz w:val="24"/>
              </w:rPr>
              <w:t>线下：外部其他场所</w:t>
            </w:r>
          </w:p>
        </w:tc>
      </w:tr>
      <w:tr w14:paraId="4CB8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9231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7411">
            <w:r>
              <w:rPr>
                <w:rFonts w:hint="eastAsia" w:ascii="宋体" w:hAnsi="宋体" w:cs="宋体"/>
                <w:sz w:val="24"/>
              </w:rPr>
              <w:t>助理董秘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ascii="宋体" w:hAnsi="宋体" w:cs="宋体"/>
                <w:sz w:val="24"/>
              </w:rPr>
              <w:t>黄玉珊女士</w:t>
            </w:r>
          </w:p>
        </w:tc>
      </w:tr>
      <w:tr w14:paraId="2AFE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995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0923ED2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5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一、公司情况介绍</w:t>
            </w:r>
          </w:p>
          <w:p w14:paraId="5BDE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Q&amp;A</w:t>
            </w:r>
          </w:p>
          <w:p w14:paraId="66C6CA21">
            <w:pPr>
              <w:spacing w:line="360" w:lineRule="auto"/>
              <w:ind w:firstLine="482" w:firstLineChars="200"/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、请</w:t>
            </w:r>
            <w:r>
              <w:rPr>
                <w:rFonts w:hint="eastAsia"/>
                <w:b/>
                <w:sz w:val="24"/>
              </w:rPr>
              <w:t>介绍一下公司</w:t>
            </w:r>
            <w:r>
              <w:rPr>
                <w:rFonts w:hint="eastAsia"/>
                <w:b/>
                <w:sz w:val="24"/>
                <w:lang w:val="en-US" w:eastAsia="zh-CN"/>
              </w:rPr>
              <w:t>2025年半年度</w:t>
            </w:r>
            <w:r>
              <w:rPr>
                <w:rFonts w:hint="eastAsia"/>
                <w:b/>
                <w:sz w:val="24"/>
              </w:rPr>
              <w:t>的</w:t>
            </w:r>
            <w:r>
              <w:rPr>
                <w:rFonts w:hint="eastAsia"/>
                <w:b/>
                <w:sz w:val="24"/>
                <w:lang w:val="en-US" w:eastAsia="zh-CN"/>
              </w:rPr>
              <w:t>经营</w:t>
            </w:r>
            <w:r>
              <w:rPr>
                <w:rFonts w:hint="eastAsia"/>
                <w:b/>
                <w:sz w:val="24"/>
              </w:rPr>
              <w:t>情况。</w:t>
            </w:r>
          </w:p>
          <w:p w14:paraId="3EA77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sz w:val="24"/>
              </w:rPr>
              <w:t>公司是AI推理芯片的先行者，是全球第一批提出NPU驱动的AI推理芯片概念并商业化落地的公司。十多年来，公司坚持算法芯片化的先进理念，打造了软硬一体、正向循环的技术能力。2025年上半年，公司抢抓行业发展大趋势，积极布局AI推理芯片相关产品及服务行业，实现6.46亿元营业收入，同比增长123.1%</w:t>
            </w:r>
            <w:r>
              <w:rPr>
                <w:rFonts w:hint="eastAsia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</w:rPr>
              <w:t>毛利率28.5%，较上年同期提升12.8个百分点；经营活动产生的现金流量净额为3,953.27万元，较上年同期净流入增加59,345.54万元。</w:t>
            </w:r>
          </w:p>
          <w:p w14:paraId="7FF64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b/>
                <w:sz w:val="24"/>
              </w:rPr>
              <w:t>、公司推理芯片的近况及规划如何？</w:t>
            </w:r>
          </w:p>
          <w:p w14:paraId="1BA73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t>答：公司产品战略以自研芯片及算法赋能的全栈式解决方案为核心，满足端边云推理的需求。在终端，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公司</w:t>
            </w:r>
            <w:r>
              <w:rPr>
                <w:rFonts w:ascii="宋体" w:hAnsi="宋体" w:cs="宋体"/>
                <w:sz w:val="24"/>
              </w:rPr>
              <w:t>计划加强与智能设备制造商的合作，将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公司</w:t>
            </w:r>
            <w:r>
              <w:rPr>
                <w:rFonts w:ascii="宋体" w:hAnsi="宋体" w:cs="宋体"/>
                <w:sz w:val="24"/>
              </w:rPr>
              <w:t>的AI推理芯片应用到他们的产品中；在边端，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公司</w:t>
            </w:r>
            <w:r>
              <w:rPr>
                <w:rFonts w:ascii="宋体" w:hAnsi="宋体" w:cs="宋体"/>
                <w:sz w:val="24"/>
              </w:rPr>
              <w:t>将以自研芯片、模组及服务器、IP授权等产品形式，面向机器人、无人车、无人机、智慧交通等场景提供高能效、低功率和高实时性要求的算力服务，并不断寻求在使用量级上持续突破；在云端，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公司</w:t>
            </w:r>
            <w:r>
              <w:rPr>
                <w:rFonts w:ascii="宋体" w:hAnsi="宋体" w:cs="宋体"/>
                <w:sz w:val="24"/>
              </w:rPr>
              <w:t>将基于自身IFMind大模型及AI推理芯片等产品，落地大规模异构高性能算力集群。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公司在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持续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研发</w:t>
            </w:r>
            <w:r>
              <w:rPr>
                <w:rFonts w:ascii="宋体" w:hAnsi="宋体" w:cs="宋体"/>
                <w:sz w:val="24"/>
                <w:lang w:eastAsia="zh-CN"/>
              </w:rPr>
              <w:t>AI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推理芯片，主要在研产品包括</w:t>
            </w:r>
            <w:r>
              <w:rPr>
                <w:rFonts w:ascii="宋体" w:hAnsi="宋体" w:cs="宋体"/>
                <w:sz w:val="24"/>
                <w:lang w:eastAsia="zh-CN"/>
              </w:rPr>
              <w:t>DeepVerse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及</w:t>
            </w:r>
            <w:r>
              <w:rPr>
                <w:rFonts w:ascii="宋体" w:hAnsi="宋体" w:cs="宋体"/>
                <w:sz w:val="24"/>
                <w:lang w:eastAsia="zh-CN"/>
              </w:rPr>
              <w:t>DeepXBot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。这些产品及服务将帮助企业客户提升模型训练及算力利用效率，为</w:t>
            </w:r>
            <w:r>
              <w:rPr>
                <w:rFonts w:ascii="宋体" w:hAnsi="宋体" w:cs="宋体"/>
                <w:sz w:val="24"/>
                <w:lang w:eastAsia="zh-CN"/>
              </w:rPr>
              <w:t>AI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研发提供高效、稳定和安全的运行环境。</w:t>
            </w:r>
            <w:bookmarkStart w:id="0" w:name="_GoBack"/>
            <w:bookmarkEnd w:id="0"/>
          </w:p>
          <w:p w14:paraId="15234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sz w:val="24"/>
              </w:rPr>
              <w:t>、公司未来在消费级场景业务的规划如何？</w:t>
            </w:r>
          </w:p>
          <w:p w14:paraId="5A2FC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</w:pPr>
            <w:r>
              <w:rPr>
                <w:rFonts w:ascii="宋体" w:hAnsi="宋体" w:cs="宋体"/>
                <w:sz w:val="24"/>
              </w:rPr>
              <w:t>答：公司于2024年正式启动消费级业务战略，并投入研发拍学机与AI毛绒玩具两款AI硬件产品。AI拍学机融合多模态识别技术，实现“拍摄-识别-科普”闭环，针对儿童群体提供场景化知识交互，自发布以来在多个互联网平台实现热销，并在“618购物节”获得“抖音排行榜智能玩具爆款榜和好价榜TOP1”、“京东AI玩具热卖榜TOP1”、“天猫高端儿童照相机热销榜TOP1”等在主流电商平台的销售成绩，截至目前，全渠道累计出货突破7万台。已斩获“2025德国红点设计奖”、“文博会礼物”、“深圳手信”等称号。AI毛绒玩具创新人机交互系统，为儿童群体带来具有个性化、生命感和趣味性的成长陪伴体验，产品正在积极推进中，做上市前的准备工作。未来，公司将推出多款消费级产品，建立“线上+线下”全渠道营销体系；启动“噜咔博士”品牌IP化运营，通过内容共创强化用户心智和品牌传播力；继续深化技术迭代与成本优化，持续丰富产品序列，形成差异化竞争壁垒；探索“硬件+订阅制内容”商业模式；拓展海外市场，开发面向海外市场的多语言版本系列产品。</w:t>
            </w:r>
          </w:p>
        </w:tc>
      </w:tr>
      <w:tr w14:paraId="3295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399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211E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</w:tbl>
    <w:p w14:paraId="5EB5895A">
      <w:pPr>
        <w:jc w:val="center"/>
        <w:rPr>
          <w:rFonts w:ascii="宋体" w:hAnsi="宋体"/>
          <w:sz w:val="28"/>
          <w:szCs w:val="28"/>
        </w:rPr>
      </w:pPr>
    </w:p>
    <w:p w14:paraId="58E225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LT Std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ZmU2YWZhNDAzYjJjMTgyNzQ3NGMzOTI4ODQwNGEifQ=="/>
  </w:docVars>
  <w:rsids>
    <w:rsidRoot w:val="00DB361F"/>
    <w:rsid w:val="00005DB8"/>
    <w:rsid w:val="000D6315"/>
    <w:rsid w:val="00107A0B"/>
    <w:rsid w:val="00123A01"/>
    <w:rsid w:val="001C5BA8"/>
    <w:rsid w:val="0027476E"/>
    <w:rsid w:val="002B086A"/>
    <w:rsid w:val="002C0D62"/>
    <w:rsid w:val="003238A9"/>
    <w:rsid w:val="003C41B4"/>
    <w:rsid w:val="00487889"/>
    <w:rsid w:val="004E0A03"/>
    <w:rsid w:val="00564FEE"/>
    <w:rsid w:val="00574245"/>
    <w:rsid w:val="00607023"/>
    <w:rsid w:val="006955E2"/>
    <w:rsid w:val="006C42AF"/>
    <w:rsid w:val="007502A8"/>
    <w:rsid w:val="00781BC0"/>
    <w:rsid w:val="00797167"/>
    <w:rsid w:val="007C302D"/>
    <w:rsid w:val="007D4DB1"/>
    <w:rsid w:val="00833998"/>
    <w:rsid w:val="0087485F"/>
    <w:rsid w:val="008F013D"/>
    <w:rsid w:val="009271A0"/>
    <w:rsid w:val="00986C92"/>
    <w:rsid w:val="00996CC7"/>
    <w:rsid w:val="00A91CFD"/>
    <w:rsid w:val="00AA04B3"/>
    <w:rsid w:val="00B07E37"/>
    <w:rsid w:val="00B51AC9"/>
    <w:rsid w:val="00BE36BA"/>
    <w:rsid w:val="00C23F1E"/>
    <w:rsid w:val="00C72F91"/>
    <w:rsid w:val="00CA1729"/>
    <w:rsid w:val="00CE2ACA"/>
    <w:rsid w:val="00D5509C"/>
    <w:rsid w:val="00D97C05"/>
    <w:rsid w:val="00DB361F"/>
    <w:rsid w:val="00DC5BA5"/>
    <w:rsid w:val="00DE34A3"/>
    <w:rsid w:val="00DE5217"/>
    <w:rsid w:val="00E62194"/>
    <w:rsid w:val="00EC46D1"/>
    <w:rsid w:val="00EE5BF7"/>
    <w:rsid w:val="00F00C5D"/>
    <w:rsid w:val="00F11A0C"/>
    <w:rsid w:val="04D375D7"/>
    <w:rsid w:val="062E0F1B"/>
    <w:rsid w:val="06A83220"/>
    <w:rsid w:val="0EB43068"/>
    <w:rsid w:val="13082AF4"/>
    <w:rsid w:val="16864FC3"/>
    <w:rsid w:val="17E11EA2"/>
    <w:rsid w:val="18893D8F"/>
    <w:rsid w:val="2AEA4B61"/>
    <w:rsid w:val="30FA7AC8"/>
    <w:rsid w:val="31E56082"/>
    <w:rsid w:val="33705E1F"/>
    <w:rsid w:val="39F350B4"/>
    <w:rsid w:val="3ADD1FEC"/>
    <w:rsid w:val="3BBC42F8"/>
    <w:rsid w:val="3E2B12C1"/>
    <w:rsid w:val="419450A2"/>
    <w:rsid w:val="43B810F6"/>
    <w:rsid w:val="4EF97456"/>
    <w:rsid w:val="4F166F97"/>
    <w:rsid w:val="56A612C8"/>
    <w:rsid w:val="621647BA"/>
    <w:rsid w:val="63FE731D"/>
    <w:rsid w:val="66F531E4"/>
    <w:rsid w:val="688018A5"/>
    <w:rsid w:val="724539F8"/>
    <w:rsid w:val="736336B7"/>
    <w:rsid w:val="790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Table Paragraph"/>
    <w:basedOn w:val="1"/>
    <w:autoRedefine/>
    <w:qFormat/>
    <w:uiPriority w:val="1"/>
    <w:rPr>
      <w:rFonts w:ascii="Calibri" w:hAnsi="Calibri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1349</Words>
  <Characters>1474</Characters>
  <Lines>11</Lines>
  <Paragraphs>3</Paragraphs>
  <TotalTime>2</TotalTime>
  <ScaleCrop>false</ScaleCrop>
  <LinksUpToDate>false</LinksUpToDate>
  <CharactersWithSpaces>1577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2023-05-23T09:59:00Z</dcterms:created>
  <dc:creator>skd004</dc:creator>
  <cp:lastModifiedBy>Hannie</cp:lastModifiedBy>
  <dcterms:modified xsi:type="dcterms:W3CDTF">2025-08-29T09:04:36Z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6E781CF9306E4AFCA094582B113EE0FB_13</vt:lpwstr>
  </property>
  <property fmtid="{D5CDD505-2E9C-101B-9397-08002B2CF9AE}" pid="4" name="KSOTemplateDocerSaveRecord">
    <vt:lpwstr>eyJoZGlkIjoiYzg4ZGVhNjYzNmVhYTMyMjIyMGY1ZmZhZmM5OGYwMTMiLCJ1c2VySWQiOiIxMTQ0MzUyMzA4In0=</vt:lpwstr>
  </property>
</Properties>
</file>