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ascii="宋体" w:hAnsi="宋体" w:eastAsia="宋体" w:cs="Times New Roman"/>
          <w:b/>
          <w:bCs/>
          <w:iCs/>
          <w:sz w:val="24"/>
          <w:szCs w:val="24"/>
        </w:rPr>
      </w:pPr>
      <w:r>
        <w:rPr>
          <w:rFonts w:hint="eastAsia" w:ascii="宋体" w:hAnsi="宋体" w:eastAsia="宋体" w:cs="Times New Roman"/>
          <w:b/>
          <w:bCs/>
          <w:iCs/>
          <w:sz w:val="24"/>
          <w:szCs w:val="24"/>
        </w:rPr>
        <w:t>证券代码：688573                        证券简称：信宇人</w:t>
      </w:r>
      <w:r>
        <w:rPr>
          <w:rFonts w:ascii="宋体" w:hAnsi="宋体" w:eastAsia="宋体" w:cs="Times New Roman"/>
          <w:b/>
          <w:bCs/>
          <w:iCs/>
          <w:sz w:val="24"/>
          <w:szCs w:val="24"/>
        </w:rPr>
        <w:t xml:space="preserve"> </w:t>
      </w:r>
    </w:p>
    <w:p>
      <w:pPr>
        <w:keepNext/>
        <w:keepLines/>
        <w:spacing w:before="156" w:before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深圳市信宇人科技股份有限公司</w:t>
      </w:r>
    </w:p>
    <w:p>
      <w:pPr>
        <w:keepNext/>
        <w:keepLines/>
        <w:spacing w:before="156" w:before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投资者关系活动记录表</w:t>
      </w:r>
    </w:p>
    <w:p>
      <w:pPr>
        <w:keepNext/>
        <w:keepLines/>
        <w:spacing w:before="260" w:after="260" w:line="360" w:lineRule="auto"/>
        <w:jc w:val="left"/>
        <w:outlineLvl w:val="1"/>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编号：2025-00</w:t>
      </w:r>
      <w:r>
        <w:rPr>
          <w:rFonts w:hint="eastAsia" w:ascii="宋体" w:hAnsi="宋体" w:eastAsia="宋体" w:cs="Times New Roman"/>
          <w:b/>
          <w:bCs/>
          <w:sz w:val="24"/>
          <w:szCs w:val="24"/>
          <w:lang w:val="en-US" w:eastAsia="zh-CN"/>
        </w:rPr>
        <w:t>7</w:t>
      </w:r>
    </w:p>
    <w:tbl>
      <w:tblPr>
        <w:tblStyle w:val="7"/>
        <w:tblW w:w="91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投资者关系活动类别</w:t>
            </w:r>
          </w:p>
          <w:p>
            <w:pPr>
              <w:spacing w:line="360" w:lineRule="auto"/>
              <w:rPr>
                <w:rFonts w:ascii="宋体" w:hAnsi="宋体" w:eastAsia="宋体" w:cs="Times New Roman"/>
                <w:b/>
                <w:bCs/>
                <w:iCs/>
                <w:sz w:val="24"/>
                <w:szCs w:val="24"/>
              </w:rPr>
            </w:pPr>
          </w:p>
        </w:tc>
        <w:tc>
          <w:tcPr>
            <w:tcW w:w="7374"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 xml:space="preserve">特定对象调研        </w:t>
            </w:r>
            <w:r>
              <w:rPr>
                <w:rFonts w:hint="eastAsia" w:ascii="宋体" w:hAnsi="宋体" w:eastAsia="宋体" w:cs="Times New Roman"/>
                <w:bCs/>
                <w:iCs/>
                <w:sz w:val="24"/>
                <w:szCs w:val="24"/>
              </w:rPr>
              <w:t>□</w:t>
            </w:r>
            <w:r>
              <w:rPr>
                <w:rFonts w:hint="eastAsia" w:ascii="宋体" w:hAnsi="宋体" w:eastAsia="宋体" w:cs="Times New Roman"/>
                <w:sz w:val="24"/>
                <w:szCs w:val="24"/>
              </w:rPr>
              <w:t>分析师会议</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媒体采访            </w:t>
            </w: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业绩说明会</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新闻发布会          </w:t>
            </w:r>
            <w:r>
              <w:rPr>
                <w:rFonts w:hint="eastAsia" w:ascii="宋体" w:hAnsi="宋体" w:eastAsia="宋体" w:cs="Times New Roman"/>
                <w:bCs/>
                <w:iCs/>
                <w:sz w:val="24"/>
                <w:szCs w:val="24"/>
              </w:rPr>
              <w:t>□</w:t>
            </w:r>
            <w:r>
              <w:rPr>
                <w:rFonts w:hint="eastAsia" w:ascii="宋体" w:hAnsi="宋体" w:eastAsia="宋体" w:cs="Times New Roman"/>
                <w:sz w:val="24"/>
                <w:szCs w:val="24"/>
              </w:rPr>
              <w:t>路演活动</w:t>
            </w:r>
          </w:p>
          <w:p>
            <w:pPr>
              <w:tabs>
                <w:tab w:val="left" w:pos="2690"/>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 xml:space="preserve">现场参观            </w:t>
            </w:r>
            <w:r>
              <w:rPr>
                <w:rFonts w:hint="eastAsia" w:ascii="宋体" w:hAnsi="宋体" w:eastAsia="宋体" w:cs="Times New Roman"/>
                <w:sz w:val="24"/>
                <w:szCs w:val="24"/>
                <w:lang w:eastAsia="zh-CN"/>
              </w:rPr>
              <w:t>□</w:t>
            </w:r>
            <w:r>
              <w:rPr>
                <w:rFonts w:hint="eastAsia" w:ascii="宋体" w:hAnsi="宋体" w:eastAsia="宋体" w:cs="Times New Roman"/>
                <w:sz w:val="24"/>
                <w:szCs w:val="24"/>
              </w:rPr>
              <w:t>电话会议</w:t>
            </w:r>
          </w:p>
          <w:p>
            <w:pPr>
              <w:tabs>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其他 （</w:t>
            </w:r>
            <w:r>
              <w:rPr>
                <w:rFonts w:hint="eastAsia" w:ascii="宋体" w:hAnsi="宋体" w:eastAsia="宋体" w:cs="Times New Roman"/>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参与单位名称</w:t>
            </w:r>
          </w:p>
        </w:tc>
        <w:tc>
          <w:tcPr>
            <w:tcW w:w="7374" w:type="dxa"/>
            <w:shd w:val="clear" w:color="auto" w:fill="auto"/>
          </w:tcPr>
          <w:p>
            <w:pPr>
              <w:tabs>
                <w:tab w:val="center" w:pos="2798"/>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通过线上方式参与公司2025年半年度科创板新能源行业集体业绩说明会的投资者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7374"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202</w:t>
            </w:r>
            <w:r>
              <w:rPr>
                <w:rFonts w:hint="eastAsia" w:ascii="宋体" w:hAnsi="宋体" w:eastAsia="宋体" w:cs="Times New Roman"/>
                <w:bCs/>
                <w:iCs/>
                <w:sz w:val="24"/>
                <w:szCs w:val="24"/>
                <w:lang w:val="en-US" w:eastAsia="zh-CN"/>
              </w:rPr>
              <w:t>5</w:t>
            </w:r>
            <w:r>
              <w:rPr>
                <w:rFonts w:hint="eastAsia" w:ascii="宋体" w:hAnsi="宋体" w:eastAsia="宋体" w:cs="Times New Roman"/>
                <w:bCs/>
                <w:iCs/>
                <w:sz w:val="24"/>
                <w:szCs w:val="24"/>
              </w:rPr>
              <w:t>年</w:t>
            </w:r>
            <w:r>
              <w:rPr>
                <w:rFonts w:hint="eastAsia" w:ascii="宋体" w:hAnsi="宋体" w:eastAsia="宋体" w:cs="Times New Roman"/>
                <w:bCs/>
                <w:iCs/>
                <w:sz w:val="24"/>
                <w:szCs w:val="24"/>
                <w:lang w:val="en-US" w:eastAsia="zh-CN"/>
              </w:rPr>
              <w:t>9</w:t>
            </w:r>
            <w:r>
              <w:rPr>
                <w:rFonts w:hint="eastAsia" w:ascii="宋体" w:hAnsi="宋体" w:eastAsia="宋体" w:cs="Times New Roman"/>
                <w:bCs/>
                <w:iCs/>
                <w:sz w:val="24"/>
                <w:szCs w:val="24"/>
              </w:rPr>
              <w:t>月</w:t>
            </w:r>
            <w:r>
              <w:rPr>
                <w:rFonts w:hint="eastAsia" w:ascii="宋体" w:hAnsi="宋体" w:eastAsia="宋体" w:cs="Times New Roman"/>
                <w:bCs/>
                <w:iCs/>
                <w:sz w:val="24"/>
                <w:szCs w:val="24"/>
                <w:lang w:val="en-US" w:eastAsia="zh-CN"/>
              </w:rPr>
              <w:t>3</w:t>
            </w:r>
            <w:r>
              <w:rPr>
                <w:rFonts w:hint="eastAsia" w:ascii="宋体" w:hAnsi="宋体" w:eastAsia="宋体" w:cs="Times New Roman"/>
                <w:bCs/>
                <w:iCs/>
                <w:sz w:val="24"/>
                <w:szCs w:val="24"/>
              </w:rPr>
              <w:t>日  1</w:t>
            </w:r>
            <w:r>
              <w:rPr>
                <w:rFonts w:hint="eastAsia" w:ascii="宋体" w:hAnsi="宋体" w:eastAsia="宋体" w:cs="Times New Roman"/>
                <w:bCs/>
                <w:iCs/>
                <w:sz w:val="24"/>
                <w:szCs w:val="24"/>
                <w:lang w:val="en-US" w:eastAsia="zh-CN"/>
              </w:rPr>
              <w:t>5</w:t>
            </w:r>
            <w:r>
              <w:rPr>
                <w:rFonts w:hint="eastAsia" w:ascii="宋体" w:hAnsi="宋体" w:eastAsia="宋体" w:cs="Times New Roman"/>
                <w:bCs/>
                <w:iCs/>
                <w:sz w:val="24"/>
                <w:szCs w:val="24"/>
              </w:rPr>
              <w:t>:</w:t>
            </w:r>
            <w:r>
              <w:rPr>
                <w:rFonts w:ascii="宋体" w:hAnsi="宋体" w:eastAsia="宋体" w:cs="Times New Roman"/>
                <w:bCs/>
                <w:iCs/>
                <w:sz w:val="24"/>
                <w:szCs w:val="24"/>
              </w:rPr>
              <w:t>00-1</w:t>
            </w:r>
            <w:r>
              <w:rPr>
                <w:rFonts w:hint="eastAsia" w:ascii="宋体" w:hAnsi="宋体" w:eastAsia="宋体" w:cs="Times New Roman"/>
                <w:bCs/>
                <w:iCs/>
                <w:sz w:val="24"/>
                <w:szCs w:val="24"/>
                <w:lang w:val="en-US" w:eastAsia="zh-CN"/>
              </w:rPr>
              <w:t>7</w:t>
            </w:r>
            <w:r>
              <w:rPr>
                <w:rFonts w:ascii="宋体" w:hAnsi="宋体" w:eastAsia="宋体" w:cs="Times New Roman"/>
                <w:bCs/>
                <w:iCs/>
                <w:sz w:val="24"/>
                <w:szCs w:val="24"/>
              </w:rPr>
              <w:t>:00</w:t>
            </w:r>
            <w:r>
              <w:rPr>
                <w:rFonts w:hint="eastAsia" w:ascii="宋体" w:hAnsi="宋体" w:eastAsia="宋体" w:cs="Times New Roman"/>
                <w:bCs/>
                <w:i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7374" w:type="dxa"/>
            <w:shd w:val="clear" w:color="auto" w:fill="auto"/>
            <w:vAlign w:val="top"/>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在上海证券交易所上证路演中心（网址：http</w:t>
            </w:r>
            <w:r>
              <w:rPr>
                <w:rFonts w:hint="eastAsia" w:ascii="宋体" w:hAnsi="宋体" w:eastAsia="宋体" w:cs="Times New Roman"/>
                <w:bCs/>
                <w:iCs/>
                <w:sz w:val="24"/>
                <w:szCs w:val="24"/>
                <w:lang w:val="en-US" w:eastAsia="zh-CN"/>
              </w:rPr>
              <w:t>s</w:t>
            </w:r>
            <w:r>
              <w:rPr>
                <w:rFonts w:hint="eastAsia" w:ascii="宋体" w:hAnsi="宋体" w:eastAsia="宋体" w:cs="Times New Roman"/>
                <w:bCs/>
                <w:iCs/>
                <w:sz w:val="24"/>
                <w:szCs w:val="24"/>
              </w:rPr>
              <w:t>://roadshow.sseinfo.com/）以网络互动方式召开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7374" w:type="dxa"/>
            <w:shd w:val="clear" w:color="auto" w:fill="auto"/>
            <w:vAlign w:val="top"/>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董事长、总经理杨志明先生</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rPr>
              <w:t>董事、董事会秘书余德山先生；财务总监陈虎先生；独立董事龚小寒女士</w:t>
            </w:r>
            <w:r>
              <w:rPr>
                <w:rFonts w:hint="eastAsia" w:ascii="宋体" w:hAnsi="宋体" w:eastAsia="宋体" w:cs="Times New Roman"/>
                <w:bCs/>
                <w:iCs/>
                <w:sz w:val="24"/>
                <w:szCs w:val="24"/>
                <w:lang w:eastAsia="zh-CN"/>
              </w:rPr>
              <w:t>；</w:t>
            </w:r>
            <w:bookmarkStart w:id="3" w:name="_GoBack"/>
            <w:bookmarkEnd w:id="3"/>
            <w:r>
              <w:rPr>
                <w:rFonts w:hint="eastAsia" w:ascii="宋体" w:hAnsi="宋体" w:eastAsia="宋体" w:cs="Times New Roman"/>
                <w:bCs/>
                <w:iCs/>
                <w:sz w:val="24"/>
                <w:szCs w:val="24"/>
              </w:rPr>
              <w:t>公司控股子公司深圳市亚微新材料有限公司总经理</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lang w:val="en-US" w:eastAsia="zh-CN"/>
              </w:rPr>
              <w:t>核心技术人员</w:t>
            </w:r>
            <w:r>
              <w:rPr>
                <w:rFonts w:hint="eastAsia" w:ascii="宋体" w:hAnsi="宋体" w:eastAsia="宋体" w:cs="Times New Roman"/>
                <w:bCs/>
                <w:iCs/>
                <w:sz w:val="24"/>
                <w:szCs w:val="24"/>
              </w:rPr>
              <w:t>黄斌卿先生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54"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投资者关系活动主要内容介绍</w:t>
            </w:r>
          </w:p>
        </w:tc>
        <w:tc>
          <w:tcPr>
            <w:tcW w:w="7374" w:type="dxa"/>
            <w:shd w:val="clear" w:color="auto" w:fill="auto"/>
          </w:tcPr>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r>
              <w:rPr>
                <w:rFonts w:hint="eastAsia" w:ascii="宋体" w:hAnsi="宋体" w:eastAsia="宋体" w:cs="Times New Roman"/>
                <w:b/>
                <w:iCs/>
                <w:sz w:val="24"/>
                <w:szCs w:val="24"/>
              </w:rPr>
              <w:t>您好，请问公司今年有扩展其他业务的打算吗？</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公司长期深耕智能制造高端装备的研发、制造与销售，公司的五大核心代表产品：SDC单向双面涂布机、辊压机、分切机、高真空除水干燥系统及自动化装配线。依托“装备+工艺+材料”三位一体布局，公司在电池工艺设计、新材料开发、固态电解质的研发、锂离子电池高端装备研制、部分关键零部件研制等方面积极布局。今年公司将积极推动干法电极设备、固态电池电解质卤化物、新材料领域的落地，夯实企业的“科技护城河”。感谢您对公司的关注！</w:t>
            </w:r>
          </w:p>
          <w:p>
            <w:pPr>
              <w:spacing w:line="360" w:lineRule="auto"/>
              <w:rPr>
                <w:rFonts w:hint="eastAsia" w:ascii="宋体" w:hAnsi="宋体" w:eastAsia="宋体" w:cs="Times New Roman"/>
                <w:bCs/>
                <w:iCs/>
                <w:sz w:val="24"/>
                <w:szCs w:val="24"/>
              </w:rPr>
            </w:pPr>
          </w:p>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bookmarkStart w:id="0" w:name="OLE_LINK3"/>
            <w:bookmarkStart w:id="1" w:name="OLE_LINK2"/>
            <w:r>
              <w:rPr>
                <w:rFonts w:hint="eastAsia" w:ascii="宋体" w:hAnsi="宋体" w:eastAsia="宋体" w:cs="Times New Roman"/>
                <w:b/>
                <w:iCs/>
                <w:sz w:val="24"/>
                <w:szCs w:val="24"/>
              </w:rPr>
              <w:t>请问公司营收情况如何？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2025年上半年，公司实现营业收入8,647.66万元，当期归母净利润为-7,240.64万元。截至2025年8月，公司在手订单金额（包含已中标未签约订单）11.07亿元，未来，公司将继续提供优质的产品，积极扩大市场份额，持续为股东创造增量价值。感谢您对公司的关注</w:t>
            </w:r>
            <w:bookmarkEnd w:id="0"/>
            <w:bookmarkEnd w:id="1"/>
            <w:r>
              <w:rPr>
                <w:rFonts w:hint="eastAsia" w:ascii="宋体" w:hAnsi="宋体" w:eastAsia="宋体" w:cs="Times New Roman"/>
                <w:bCs/>
                <w:iCs/>
                <w:kern w:val="2"/>
                <w:sz w:val="24"/>
                <w:szCs w:val="24"/>
                <w:lang w:val="en-US" w:eastAsia="zh-CN" w:bidi="ar-SA"/>
              </w:rPr>
              <w:t>！</w:t>
            </w:r>
          </w:p>
          <w:p>
            <w:pPr>
              <w:spacing w:line="360" w:lineRule="auto"/>
              <w:rPr>
                <w:rFonts w:hint="eastAsia" w:ascii="宋体" w:hAnsi="宋体" w:eastAsia="宋体" w:cs="Times New Roman"/>
                <w:bCs/>
                <w:iCs/>
                <w:sz w:val="24"/>
                <w:szCs w:val="24"/>
              </w:rPr>
            </w:pPr>
          </w:p>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bookmarkStart w:id="2" w:name="OLE_LINK1"/>
            <w:r>
              <w:rPr>
                <w:rFonts w:hint="eastAsia" w:ascii="宋体" w:hAnsi="宋体" w:eastAsia="宋体" w:cs="Times New Roman"/>
                <w:b/>
                <w:iCs/>
                <w:sz w:val="24"/>
                <w:szCs w:val="24"/>
              </w:rPr>
              <w:t>请问公司营业收入下滑的原因是什么？</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2025年上半年公司营业收入下滑主要受订单不连续及验收进度影响，已发货订单未验收导致未能在报告期确认收入，但新项目订单的验收在逐步增加，且在手订单金额创同期历史新高。感谢您对公司的关注！</w:t>
            </w:r>
          </w:p>
          <w:p>
            <w:pPr>
              <w:spacing w:line="360" w:lineRule="auto"/>
              <w:rPr>
                <w:rFonts w:ascii="宋体" w:hAnsi="宋体" w:eastAsia="宋体" w:cs="Times New Roman"/>
                <w:bCs/>
                <w:iCs/>
                <w:sz w:val="24"/>
                <w:szCs w:val="24"/>
              </w:rPr>
            </w:pPr>
          </w:p>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r>
              <w:rPr>
                <w:rFonts w:hint="eastAsia" w:ascii="宋体" w:hAnsi="宋体" w:eastAsia="宋体" w:cs="Times New Roman"/>
                <w:b/>
                <w:iCs/>
                <w:sz w:val="24"/>
                <w:szCs w:val="24"/>
              </w:rPr>
              <w:t>请问公司上半年订单情况怎么样？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截至2025年8月，公司在手订单金额11.07亿元（包含已中标未签约订单），其中今年新接订单超人民币8亿元，头部电池厂商订单占在手订单的比例超85%。基于公司对行业竞争前景的判断以及锂电头部客户对公司技术实力及产品性能的认可，目前公司与头部电池厂商的合作持续深化。未来，公司将凭借高质量产品与服务，巩固与头部客户的合作关系，扩大市场份额，稳定现金流，保障可持续发展。感谢您对公司的关注</w:t>
            </w:r>
            <w:bookmarkEnd w:id="2"/>
            <w:r>
              <w:rPr>
                <w:rFonts w:hint="eastAsia" w:ascii="宋体" w:hAnsi="宋体" w:eastAsia="宋体" w:cs="Times New Roman"/>
                <w:bCs/>
                <w:iCs/>
                <w:kern w:val="2"/>
                <w:sz w:val="24"/>
                <w:szCs w:val="24"/>
                <w:lang w:val="en-US" w:eastAsia="zh-CN" w:bidi="ar-SA"/>
              </w:rPr>
              <w:t>！</w:t>
            </w:r>
          </w:p>
          <w:p>
            <w:pPr>
              <w:spacing w:line="360" w:lineRule="auto"/>
              <w:rPr>
                <w:rFonts w:hint="eastAsia" w:ascii="宋体" w:hAnsi="宋体" w:eastAsia="宋体" w:cs="Times New Roman"/>
                <w:bCs/>
                <w:iCs/>
                <w:sz w:val="24"/>
                <w:szCs w:val="24"/>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iCs/>
                <w:sz w:val="24"/>
                <w:szCs w:val="24"/>
              </w:rPr>
            </w:pPr>
            <w:r>
              <w:rPr>
                <w:rFonts w:hint="eastAsia" w:ascii="宋体" w:hAnsi="宋体" w:eastAsia="宋体" w:cs="Times New Roman"/>
                <w:b/>
                <w:iCs/>
                <w:sz w:val="24"/>
                <w:szCs w:val="24"/>
              </w:rPr>
              <w:t>了解到公司上半年经营现金流净额实现正流入，请问公司具体做了哪些改善措施？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2025年1-6月，公司实现经营活动产生的现金流量净额2,880.41万元，上年同期为-2,531.97万元，其中2025年第二季度实现经营活动产生的现金流量净额7,027.61万元，实现正流入。主要是公司加强了款项的催收工作，同时，积极落实降本增效举措，使得公司经营性现金净流量得以改善。感谢您对公司的关注！</w:t>
            </w:r>
          </w:p>
          <w:p>
            <w:pPr>
              <w:pStyle w:val="17"/>
              <w:widowControl w:val="0"/>
              <w:numPr>
                <w:ilvl w:val="0"/>
                <w:numId w:val="0"/>
              </w:numPr>
              <w:spacing w:line="360" w:lineRule="auto"/>
              <w:jc w:val="both"/>
              <w:rPr>
                <w:rFonts w:hint="eastAsia" w:ascii="宋体" w:hAnsi="宋体" w:eastAsia="宋体" w:cs="Times New Roman"/>
                <w:b/>
                <w:iCs/>
                <w:sz w:val="24"/>
                <w:szCs w:val="24"/>
                <w:lang w:eastAsia="zh-CN"/>
              </w:rPr>
            </w:pPr>
          </w:p>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r>
              <w:rPr>
                <w:rFonts w:hint="eastAsia" w:ascii="宋体" w:hAnsi="宋体" w:eastAsia="宋体" w:cs="Times New Roman"/>
                <w:b/>
                <w:iCs/>
                <w:sz w:val="24"/>
                <w:szCs w:val="24"/>
              </w:rPr>
              <w:t>请问公司干法电极设备的进展？有什么优点？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公司干法电极试验样机已研制成功，现正进行关键参数调试与技术验证，并已与国内头部电池企业展开首轮技术交流；该成套设备由搅拌设备和干法涂布设备组成，前者在无溶剂条件下实现活性物质与添加剂的均匀干混与颗粒分散，后者通过定制模头将干粉混合物均匀沉积于预涂导电胶层的集流体表面，经多级加热辊一次热压复合制得正负极极片。相比同行“制膜+热复合”的两步工艺，公司采用独创“干粉直涂热复合”一步成型技术，粘结剂用量更低且无需高压辊压，可同时制备正负极极片；用于厚电极制备时，极片活性物质厚度是湿法工艺的2-3倍；这种制备方法显著提升电池倍率性能与高容量设计空间。目前该设备已申请并获得6项专利，其中发明专利3项、实用新型专利3项。感谢您对公司的关注！</w:t>
            </w:r>
          </w:p>
          <w:p>
            <w:pPr>
              <w:pStyle w:val="17"/>
              <w:widowControl w:val="0"/>
              <w:numPr>
                <w:ilvl w:val="0"/>
                <w:numId w:val="0"/>
              </w:numPr>
              <w:spacing w:line="360" w:lineRule="auto"/>
              <w:jc w:val="both"/>
              <w:rPr>
                <w:rFonts w:hint="eastAsia" w:ascii="宋体" w:hAnsi="宋体" w:eastAsia="宋体" w:cs="Times New Roman"/>
                <w:b/>
                <w:iCs/>
                <w:sz w:val="24"/>
                <w:szCs w:val="24"/>
                <w:lang w:eastAsia="zh-CN"/>
              </w:rPr>
            </w:pPr>
          </w:p>
          <w:p>
            <w:pPr>
              <w:pStyle w:val="17"/>
              <w:numPr>
                <w:ilvl w:val="0"/>
                <w:numId w:val="1"/>
              </w:numPr>
              <w:spacing w:line="360" w:lineRule="auto"/>
              <w:ind w:left="720" w:leftChars="0" w:hanging="720" w:firstLineChars="0"/>
              <w:rPr>
                <w:rFonts w:hint="eastAsia" w:ascii="宋体" w:hAnsi="宋体" w:eastAsia="宋体" w:cs="Times New Roman"/>
                <w:b/>
                <w:iCs/>
                <w:sz w:val="24"/>
                <w:szCs w:val="24"/>
              </w:rPr>
            </w:pPr>
            <w:r>
              <w:rPr>
                <w:rFonts w:hint="eastAsia" w:ascii="宋体" w:hAnsi="宋体" w:eastAsia="宋体" w:cs="Times New Roman"/>
                <w:b/>
                <w:iCs/>
                <w:sz w:val="24"/>
                <w:szCs w:val="24"/>
              </w:rPr>
              <w:t>请问公司目前在固态电解质领域的进展如何?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在固态电解质领域，公司已取得一定进展，专注于降低材料成本并开发高离子导电率的卤化物固态电解质，采取“能量型+快充型”双路线布局。公司成功试制了卤化物固态电解质样品，并完成了首轮电化学测试，离子电导率达到1.5-2mS/cm，展现出良好的导电性能。与硫化物体系相比，该卤化物电解质具有三大优势：电化学窗口更宽，可稳定匹配4.3V以上高电压平台，有助于提升正极能量密度；稳定性更优，制备工艺简化；原料与制造成本更低。感谢您对公司的关注！</w:t>
            </w:r>
          </w:p>
          <w:p>
            <w:pPr>
              <w:pStyle w:val="17"/>
              <w:widowControl w:val="0"/>
              <w:numPr>
                <w:ilvl w:val="0"/>
                <w:numId w:val="0"/>
              </w:numPr>
              <w:spacing w:line="360" w:lineRule="auto"/>
              <w:jc w:val="both"/>
              <w:rPr>
                <w:rFonts w:hint="eastAsia" w:ascii="宋体" w:hAnsi="宋体" w:eastAsia="宋体" w:cs="Times New Roman"/>
                <w:b/>
                <w:iCs/>
                <w:sz w:val="24"/>
                <w:szCs w:val="24"/>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iCs/>
                <w:sz w:val="24"/>
                <w:szCs w:val="24"/>
              </w:rPr>
            </w:pPr>
            <w:r>
              <w:rPr>
                <w:rFonts w:hint="eastAsia" w:ascii="宋体" w:hAnsi="宋体" w:eastAsia="宋体" w:cs="Times New Roman"/>
                <w:b/>
                <w:iCs/>
                <w:sz w:val="24"/>
                <w:szCs w:val="24"/>
              </w:rPr>
              <w:t>请问子公司亚微新材在拟人体皮肤材料业务上的商业化进展如何</w:t>
            </w:r>
            <w:r>
              <w:rPr>
                <w:rFonts w:hint="eastAsia" w:ascii="宋体" w:hAnsi="宋体" w:eastAsia="宋体" w:cs="Times New Roman"/>
                <w:b/>
                <w:iCs/>
                <w:sz w:val="24"/>
                <w:szCs w:val="24"/>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拟人体皮肤材料以有机硅为基体，通过纳米压印工艺实现逼真的触感和快速反馈。其技术壁垒在于配方研发需实现材料的触感逼真、可延展、弯曲不变形、耐磨等特性，该材料的研发需要和柔性传感器及FPC厂商合作制备。目前公司已与部分磁电传感器、压阻传感器及FPC厂商对接并送样。感谢您对公司的关注！</w:t>
            </w:r>
          </w:p>
          <w:p>
            <w:pPr>
              <w:pStyle w:val="17"/>
              <w:widowControl w:val="0"/>
              <w:numPr>
                <w:ilvl w:val="0"/>
                <w:numId w:val="0"/>
              </w:numPr>
              <w:spacing w:line="360" w:lineRule="auto"/>
              <w:jc w:val="both"/>
              <w:rPr>
                <w:rFonts w:hint="eastAsia" w:ascii="宋体" w:hAnsi="宋体" w:eastAsia="宋体" w:cs="Times New Roman"/>
                <w:b/>
                <w:iCs/>
                <w:sz w:val="24"/>
                <w:szCs w:val="24"/>
                <w:lang w:eastAsia="zh-CN"/>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iCs/>
                <w:sz w:val="24"/>
                <w:szCs w:val="24"/>
              </w:rPr>
            </w:pPr>
            <w:r>
              <w:rPr>
                <w:rFonts w:hint="eastAsia" w:ascii="宋体" w:hAnsi="宋体" w:eastAsia="宋体" w:cs="Times New Roman"/>
                <w:b/>
                <w:iCs/>
                <w:sz w:val="24"/>
                <w:szCs w:val="24"/>
              </w:rPr>
              <w:t>请问公司在卤化物固态电解质领域的未来发展计划是怎样的？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Cs/>
                <w:iCs/>
                <w:kern w:val="2"/>
                <w:sz w:val="24"/>
                <w:szCs w:val="24"/>
                <w:lang w:val="en-US" w:eastAsia="zh-CN" w:bidi="ar-SA"/>
              </w:rPr>
            </w:pPr>
            <w:r>
              <w:rPr>
                <w:rFonts w:hint="eastAsia" w:ascii="宋体" w:hAnsi="宋体" w:eastAsia="宋体" w:cs="Times New Roman"/>
                <w:bCs/>
                <w:iCs/>
                <w:kern w:val="2"/>
                <w:sz w:val="24"/>
                <w:szCs w:val="24"/>
                <w:lang w:val="en-US" w:eastAsia="zh-CN" w:bidi="ar-SA"/>
              </w:rPr>
              <w:t>尊敬的投资者，您好！目前，公司正进行卤化物电解质的结构及表征性能测试，尚未对外送样。未来半年，公司将按计划持续推进卤化物固态电解质的性能优化及客户验证工作，以及进行正极材料包覆卤化物电解质的全固态电池性能测试，并使用廉价金属对电解质进行掺杂改性，以降低成本，实现大规模生产。感谢您对公司的关注！</w:t>
            </w:r>
          </w:p>
          <w:p>
            <w:pPr>
              <w:pStyle w:val="17"/>
              <w:widowControl w:val="0"/>
              <w:numPr>
                <w:ilvl w:val="0"/>
                <w:numId w:val="0"/>
              </w:numPr>
              <w:spacing w:line="360" w:lineRule="auto"/>
              <w:jc w:val="both"/>
              <w:rPr>
                <w:rFonts w:hint="eastAsia" w:ascii="宋体" w:hAnsi="宋体" w:eastAsia="宋体" w:cs="Times New Roman"/>
                <w:b/>
                <w:iCs/>
                <w:sz w:val="24"/>
                <w:szCs w:val="24"/>
                <w:lang w:eastAsia="zh-CN"/>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iCs/>
                <w:sz w:val="24"/>
                <w:szCs w:val="24"/>
              </w:rPr>
            </w:pPr>
            <w:r>
              <w:rPr>
                <w:rFonts w:hint="eastAsia" w:ascii="宋体" w:hAnsi="宋体" w:eastAsia="宋体" w:cs="Times New Roman"/>
                <w:b/>
                <w:iCs/>
                <w:sz w:val="24"/>
                <w:szCs w:val="24"/>
              </w:rPr>
              <w:t>请问亚微新材在水汽阻隔膜材料上的竞争优势有哪些，何时创收？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iCs/>
                <w:sz w:val="24"/>
                <w:szCs w:val="24"/>
                <w:lang w:eastAsia="zh-CN"/>
              </w:rPr>
            </w:pPr>
            <w:r>
              <w:rPr>
                <w:rFonts w:hint="eastAsia" w:ascii="宋体" w:hAnsi="宋体" w:eastAsia="宋体" w:cs="Times New Roman"/>
                <w:bCs/>
                <w:iCs/>
                <w:sz w:val="24"/>
                <w:szCs w:val="24"/>
              </w:rPr>
              <w:t>尊敬的投资者，您好！水汽阻隔膜方面，亚微新材是国内少数能将水汽阻隔率做到十的负四次方的公司，其产品广泛应用于墨水屏、电子书封装及柔性钙钛矿领域。目前已成功向国内数家柔性钙钛矿厂商供货，但由于柔性钙钛矿行业尚处初期，该业务收入贡献较小。感谢您对公司的关注</w:t>
            </w:r>
            <w:r>
              <w:rPr>
                <w:rFonts w:hint="eastAsia" w:ascii="宋体" w:hAnsi="宋体" w:eastAsia="宋体" w:cs="Times New Roman"/>
                <w:bCs/>
                <w:i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7374"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是否涉及应当披露重大信息</w:t>
            </w:r>
          </w:p>
        </w:tc>
        <w:tc>
          <w:tcPr>
            <w:tcW w:w="7374" w:type="dxa"/>
            <w:shd w:val="clear" w:color="auto" w:fill="auto"/>
          </w:tcPr>
          <w:p>
            <w:pPr>
              <w:spacing w:line="360" w:lineRule="auto"/>
              <w:jc w:val="left"/>
              <w:rPr>
                <w:rFonts w:ascii="宋体" w:hAnsi="宋体" w:eastAsia="宋体" w:cs="Times New Roman"/>
                <w:bCs/>
                <w:iCs/>
                <w:sz w:val="24"/>
                <w:szCs w:val="24"/>
              </w:rPr>
            </w:pPr>
            <w:r>
              <w:rPr>
                <w:rFonts w:hint="eastAsia" w:ascii="宋体" w:hAnsi="宋体" w:eastAsia="宋体" w:cs="Times New Roman"/>
                <w:bCs/>
                <w:i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7374" w:type="dxa"/>
            <w:shd w:val="clear" w:color="auto" w:fill="auto"/>
            <w:vAlign w:val="center"/>
          </w:tcPr>
          <w:p>
            <w:pPr>
              <w:spacing w:line="360" w:lineRule="auto"/>
              <w:rPr>
                <w:rFonts w:ascii="宋体" w:hAnsi="宋体" w:eastAsia="宋体" w:cs="Times New Roman"/>
                <w:iCs/>
                <w:sz w:val="24"/>
                <w:szCs w:val="24"/>
              </w:rPr>
            </w:pPr>
            <w:r>
              <w:rPr>
                <w:rFonts w:hint="eastAsia" w:ascii="宋体" w:hAnsi="宋体" w:eastAsia="宋体" w:cs="Times New Roman"/>
                <w:iCs/>
                <w:sz w:val="24"/>
                <w:szCs w:val="24"/>
              </w:rPr>
              <w:t>2025年</w:t>
            </w:r>
            <w:r>
              <w:rPr>
                <w:rFonts w:hint="eastAsia" w:ascii="宋体" w:hAnsi="宋体" w:eastAsia="宋体" w:cs="Times New Roman"/>
                <w:iCs/>
                <w:sz w:val="24"/>
                <w:szCs w:val="24"/>
                <w:lang w:val="en-US" w:eastAsia="zh-CN"/>
              </w:rPr>
              <w:t>9</w:t>
            </w:r>
            <w:r>
              <w:rPr>
                <w:rFonts w:hint="eastAsia" w:ascii="宋体" w:hAnsi="宋体" w:eastAsia="宋体" w:cs="Times New Roman"/>
                <w:iCs/>
                <w:sz w:val="24"/>
                <w:szCs w:val="24"/>
              </w:rPr>
              <w:t>月</w:t>
            </w:r>
            <w:r>
              <w:rPr>
                <w:rFonts w:hint="eastAsia" w:ascii="宋体" w:hAnsi="宋体" w:eastAsia="宋体" w:cs="Times New Roman"/>
                <w:iCs/>
                <w:sz w:val="24"/>
                <w:szCs w:val="24"/>
                <w:lang w:val="en-US" w:eastAsia="zh-CN"/>
              </w:rPr>
              <w:t>4</w:t>
            </w:r>
            <w:r>
              <w:rPr>
                <w:rFonts w:hint="eastAsia" w:ascii="宋体" w:hAnsi="宋体" w:eastAsia="宋体" w:cs="Times New Roman"/>
                <w:iCs/>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07518"/>
    <w:multiLevelType w:val="singleLevel"/>
    <w:tmpl w:val="7AC0751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MDY3Y2RiZDljNTAxNDIzMzNlMTRkMmRkYjJhZGMifQ=="/>
  </w:docVars>
  <w:rsids>
    <w:rsidRoot w:val="00D20A50"/>
    <w:rsid w:val="000C3350"/>
    <w:rsid w:val="00194BFD"/>
    <w:rsid w:val="00252C5E"/>
    <w:rsid w:val="004C0075"/>
    <w:rsid w:val="005634F6"/>
    <w:rsid w:val="00617E4A"/>
    <w:rsid w:val="006244DD"/>
    <w:rsid w:val="00684C5E"/>
    <w:rsid w:val="007D17C3"/>
    <w:rsid w:val="00A9489F"/>
    <w:rsid w:val="00AE4EAC"/>
    <w:rsid w:val="00AE5D8A"/>
    <w:rsid w:val="00C736CB"/>
    <w:rsid w:val="00C9538C"/>
    <w:rsid w:val="00D20A50"/>
    <w:rsid w:val="00DC643F"/>
    <w:rsid w:val="00EE194E"/>
    <w:rsid w:val="00F02B9B"/>
    <w:rsid w:val="00FB07AB"/>
    <w:rsid w:val="04FF506B"/>
    <w:rsid w:val="09B33B03"/>
    <w:rsid w:val="0D1A02B4"/>
    <w:rsid w:val="11796994"/>
    <w:rsid w:val="184328A0"/>
    <w:rsid w:val="18CB6C94"/>
    <w:rsid w:val="1B71020D"/>
    <w:rsid w:val="1D80344C"/>
    <w:rsid w:val="20073C97"/>
    <w:rsid w:val="21226945"/>
    <w:rsid w:val="270C74B9"/>
    <w:rsid w:val="27430976"/>
    <w:rsid w:val="28DA1DEF"/>
    <w:rsid w:val="2D551541"/>
    <w:rsid w:val="32BF120B"/>
    <w:rsid w:val="32C67EE7"/>
    <w:rsid w:val="32DC0D89"/>
    <w:rsid w:val="376437A6"/>
    <w:rsid w:val="3DA2332F"/>
    <w:rsid w:val="43062FC1"/>
    <w:rsid w:val="48DD3F9B"/>
    <w:rsid w:val="4BEA6ADC"/>
    <w:rsid w:val="4CD90842"/>
    <w:rsid w:val="519A433C"/>
    <w:rsid w:val="54060014"/>
    <w:rsid w:val="55FC65E0"/>
    <w:rsid w:val="59663055"/>
    <w:rsid w:val="5B9223A9"/>
    <w:rsid w:val="5EBF2697"/>
    <w:rsid w:val="5FF21B28"/>
    <w:rsid w:val="63E00ABA"/>
    <w:rsid w:val="67746F85"/>
    <w:rsid w:val="68F64248"/>
    <w:rsid w:val="6FE91939"/>
    <w:rsid w:val="70143ED4"/>
    <w:rsid w:val="71C24EFF"/>
    <w:rsid w:val="72D1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6"/>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table" w:styleId="8">
    <w:name w:val="Table Grid"/>
    <w:basedOn w:val="7"/>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autoRedefine/>
    <w:unhideWhenUsed/>
    <w:qFormat/>
    <w:uiPriority w:val="99"/>
    <w:rPr>
      <w:sz w:val="21"/>
      <w:szCs w:val="21"/>
    </w:rPr>
  </w:style>
  <w:style w:type="character" w:customStyle="1" w:styleId="11">
    <w:name w:val="页眉 Char"/>
    <w:basedOn w:val="9"/>
    <w:link w:val="5"/>
    <w:autoRedefine/>
    <w:qFormat/>
    <w:uiPriority w:val="99"/>
    <w:rPr>
      <w:kern w:val="2"/>
      <w:sz w:val="18"/>
      <w:szCs w:val="18"/>
    </w:rPr>
  </w:style>
  <w:style w:type="character" w:customStyle="1" w:styleId="12">
    <w:name w:val="页脚 Char"/>
    <w:basedOn w:val="9"/>
    <w:link w:val="4"/>
    <w:autoRedefine/>
    <w:qFormat/>
    <w:uiPriority w:val="99"/>
    <w:rPr>
      <w:kern w:val="2"/>
      <w:sz w:val="18"/>
      <w:szCs w:val="18"/>
    </w:rPr>
  </w:style>
  <w:style w:type="paragraph" w:customStyle="1" w:styleId="13">
    <w:name w:val="列出段落1"/>
    <w:basedOn w:val="1"/>
    <w:autoRedefine/>
    <w:qFormat/>
    <w:uiPriority w:val="99"/>
    <w:pPr>
      <w:ind w:firstLine="420" w:firstLineChars="200"/>
    </w:pPr>
  </w:style>
  <w:style w:type="character" w:customStyle="1" w:styleId="14">
    <w:name w:val="批注文字 Char"/>
    <w:basedOn w:val="9"/>
    <w:link w:val="2"/>
    <w:autoRedefine/>
    <w:semiHidden/>
    <w:qFormat/>
    <w:uiPriority w:val="99"/>
    <w:rPr>
      <w:kern w:val="2"/>
      <w:sz w:val="21"/>
      <w:szCs w:val="22"/>
    </w:rPr>
  </w:style>
  <w:style w:type="character" w:customStyle="1" w:styleId="15">
    <w:name w:val="批注主题 Char"/>
    <w:basedOn w:val="14"/>
    <w:link w:val="6"/>
    <w:autoRedefine/>
    <w:semiHidden/>
    <w:qFormat/>
    <w:uiPriority w:val="99"/>
    <w:rPr>
      <w:b/>
      <w:bCs/>
      <w:kern w:val="2"/>
      <w:sz w:val="21"/>
      <w:szCs w:val="22"/>
    </w:rPr>
  </w:style>
  <w:style w:type="character" w:customStyle="1" w:styleId="16">
    <w:name w:val="批注框文本 Char"/>
    <w:basedOn w:val="9"/>
    <w:link w:val="3"/>
    <w:autoRedefine/>
    <w:semiHidden/>
    <w:qFormat/>
    <w:uiPriority w:val="99"/>
    <w:rPr>
      <w:kern w:val="2"/>
      <w:sz w:val="18"/>
      <w:szCs w:val="18"/>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333</Words>
  <Characters>1904</Characters>
  <Lines>15</Lines>
  <Paragraphs>4</Paragraphs>
  <TotalTime>10</TotalTime>
  <ScaleCrop>false</ScaleCrop>
  <LinksUpToDate>false</LinksUpToDate>
  <CharactersWithSpaces>2233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2025-06-11T04:08:00Z</dcterms:created>
  <dc:creator>Li Xiang</dc:creator>
  <cp:lastModifiedBy>谢怡凡</cp:lastModifiedBy>
  <dcterms:modified xsi:type="dcterms:W3CDTF">2025-09-04T07:35:23Z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E1A8CA8A852F41E698FBBC1D47AA9CC9_13</vt:lpwstr>
  </property>
</Properties>
</file>