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94C8A">
      <w:pPr>
        <w:snapToGrid w:val="0"/>
        <w:spacing w:before="156" w:beforeLines="50" w:after="156" w:afterLines="50" w:line="240" w:lineRule="atLeas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证券简称：麒麟信安                        </w:t>
      </w:r>
      <w:r>
        <w:rPr>
          <w:rFonts w:ascii="宋体" w:hAnsi="宋体" w:eastAsia="宋体" w:cs="Times New Roman"/>
          <w:b/>
          <w:bCs/>
          <w:color w:val="000000"/>
          <w:sz w:val="24"/>
          <w:szCs w:val="24"/>
        </w:rPr>
        <w:t xml:space="preserve">      </w:t>
      </w:r>
      <w:r>
        <w:rPr>
          <w:rFonts w:hint="eastAsia" w:ascii="宋体" w:hAnsi="宋体" w:eastAsia="宋体" w:cs="Times New Roman"/>
          <w:b/>
          <w:bCs/>
          <w:color w:val="000000"/>
          <w:sz w:val="24"/>
          <w:szCs w:val="24"/>
        </w:rPr>
        <w:t xml:space="preserve">  </w:t>
      </w:r>
      <w:r>
        <w:rPr>
          <w:rFonts w:ascii="宋体" w:hAnsi="宋体" w:eastAsia="宋体" w:cs="Times New Roman"/>
          <w:b/>
          <w:bCs/>
          <w:color w:val="000000"/>
          <w:sz w:val="24"/>
          <w:szCs w:val="24"/>
        </w:rPr>
        <w:t xml:space="preserve"> </w:t>
      </w:r>
      <w:r>
        <w:rPr>
          <w:rFonts w:hint="eastAsia" w:ascii="宋体" w:hAnsi="宋体" w:eastAsia="宋体" w:cs="Times New Roman"/>
          <w:b/>
          <w:bCs/>
          <w:color w:val="000000"/>
          <w:sz w:val="24"/>
          <w:szCs w:val="24"/>
        </w:rPr>
        <w:t xml:space="preserve"> 证券代码：6</w:t>
      </w:r>
      <w:r>
        <w:rPr>
          <w:rFonts w:ascii="宋体" w:hAnsi="宋体" w:eastAsia="宋体" w:cs="Times New Roman"/>
          <w:b/>
          <w:bCs/>
          <w:color w:val="000000"/>
          <w:sz w:val="24"/>
          <w:szCs w:val="24"/>
        </w:rPr>
        <w:t>88152</w:t>
      </w:r>
    </w:p>
    <w:p w14:paraId="7AEA5B4E">
      <w:pPr>
        <w:snapToGrid w:val="0"/>
        <w:spacing w:before="468" w:beforeLines="150" w:after="156" w:afterLines="50" w:line="240" w:lineRule="atLeast"/>
        <w:ind w:firstLine="602" w:firstLineChars="200"/>
        <w:rPr>
          <w:rFonts w:ascii="宋体" w:hAnsi="宋体" w:eastAsia="宋体" w:cs="Times New Roman"/>
          <w:b/>
          <w:bCs/>
          <w:color w:val="000000"/>
          <w:sz w:val="30"/>
          <w:szCs w:val="30"/>
        </w:rPr>
      </w:pPr>
      <w:r>
        <w:rPr>
          <w:rFonts w:hint="eastAsia" w:ascii="宋体" w:hAnsi="宋体" w:eastAsia="宋体" w:cs="Times New Roman"/>
          <w:b/>
          <w:bCs/>
          <w:color w:val="000000"/>
          <w:sz w:val="30"/>
          <w:szCs w:val="30"/>
        </w:rPr>
        <w:t>湖南麒麟信安科技股份有限公司投资者关系活动记录表</w:t>
      </w:r>
    </w:p>
    <w:p w14:paraId="52414F73">
      <w:pPr>
        <w:snapToGrid w:val="0"/>
        <w:spacing w:before="156" w:beforeLines="50" w:after="156" w:afterLines="50"/>
        <w:ind w:firstLine="482" w:firstLineChars="200"/>
        <w:jc w:val="center"/>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（2</w:t>
      </w:r>
      <w:r>
        <w:rPr>
          <w:rFonts w:ascii="宋体" w:hAnsi="宋体" w:eastAsia="宋体" w:cs="Times New Roman"/>
          <w:b/>
          <w:bCs/>
          <w:color w:val="000000"/>
          <w:sz w:val="24"/>
          <w:szCs w:val="24"/>
        </w:rPr>
        <w:t>02</w:t>
      </w:r>
      <w:r>
        <w:rPr>
          <w:rFonts w:hint="eastAsia" w:ascii="宋体" w:hAnsi="宋体" w:eastAsia="宋体" w:cs="Times New Roman"/>
          <w:b/>
          <w:bCs/>
          <w:color w:val="000000"/>
          <w:sz w:val="24"/>
          <w:szCs w:val="24"/>
        </w:rPr>
        <w:t>5年</w:t>
      </w:r>
      <w:r>
        <w:rPr>
          <w:rFonts w:hint="eastAsia" w:ascii="宋体" w:hAnsi="宋体" w:eastAsia="宋体" w:cs="Times New Roman"/>
          <w:b/>
          <w:bCs/>
          <w:color w:val="000000"/>
          <w:sz w:val="24"/>
          <w:szCs w:val="24"/>
          <w:lang w:val="en-US" w:eastAsia="zh-CN"/>
        </w:rPr>
        <w:t>9</w:t>
      </w:r>
      <w:r>
        <w:rPr>
          <w:rFonts w:hint="eastAsia" w:ascii="宋体" w:hAnsi="宋体" w:eastAsia="宋体" w:cs="Times New Roman"/>
          <w:b/>
          <w:bCs/>
          <w:color w:val="000000"/>
          <w:sz w:val="24"/>
          <w:szCs w:val="24"/>
        </w:rPr>
        <w:t>月</w:t>
      </w:r>
      <w:r>
        <w:rPr>
          <w:rFonts w:hint="eastAsia" w:ascii="宋体" w:hAnsi="宋体" w:eastAsia="宋体" w:cs="Times New Roman"/>
          <w:b/>
          <w:bCs/>
          <w:color w:val="000000"/>
          <w:sz w:val="24"/>
          <w:szCs w:val="24"/>
          <w:lang w:val="en-US" w:eastAsia="zh-CN"/>
        </w:rPr>
        <w:t>19</w:t>
      </w:r>
      <w:r>
        <w:rPr>
          <w:rFonts w:hint="eastAsia" w:ascii="宋体" w:hAnsi="宋体" w:eastAsia="宋体" w:cs="Times New Roman"/>
          <w:b/>
          <w:bCs/>
          <w:color w:val="000000"/>
          <w:sz w:val="24"/>
          <w:szCs w:val="24"/>
        </w:rPr>
        <w:t>日）</w:t>
      </w:r>
    </w:p>
    <w:p w14:paraId="2A01A29F">
      <w:pPr>
        <w:snapToGrid w:val="0"/>
        <w:spacing w:before="156" w:beforeLines="50" w:after="156" w:afterLines="50" w:line="240" w:lineRule="atLeast"/>
        <w:ind w:firstLine="420" w:firstLineChars="200"/>
        <w:jc w:val="right"/>
        <w:rPr>
          <w:rFonts w:hint="eastAsia" w:ascii="宋体" w:hAnsi="宋体" w:eastAsia="宋体" w:cs="Times New Roman"/>
          <w:color w:val="000000"/>
          <w:szCs w:val="21"/>
          <w:lang w:eastAsia="zh-CN"/>
        </w:rPr>
      </w:pPr>
      <w:r>
        <w:rPr>
          <w:rFonts w:hint="eastAsia" w:ascii="宋体" w:hAnsi="宋体" w:eastAsia="宋体" w:cs="Times New Roman"/>
          <w:color w:val="000000"/>
          <w:szCs w:val="21"/>
        </w:rPr>
        <w:t>编号：2</w:t>
      </w:r>
      <w:r>
        <w:rPr>
          <w:rFonts w:ascii="宋体" w:hAnsi="宋体" w:eastAsia="宋体" w:cs="Times New Roman"/>
          <w:color w:val="000000"/>
          <w:szCs w:val="21"/>
        </w:rPr>
        <w:t>02</w:t>
      </w:r>
      <w:r>
        <w:rPr>
          <w:rFonts w:hint="eastAsia" w:ascii="宋体" w:hAnsi="宋体" w:eastAsia="宋体" w:cs="Times New Roman"/>
          <w:color w:val="000000"/>
          <w:szCs w:val="21"/>
        </w:rPr>
        <w:t>5</w:t>
      </w:r>
      <w:r>
        <w:rPr>
          <w:rFonts w:ascii="宋体" w:hAnsi="宋体" w:eastAsia="宋体" w:cs="Times New Roman"/>
          <w:color w:val="000000"/>
          <w:szCs w:val="21"/>
          <w:highlight w:val="none"/>
        </w:rPr>
        <w:t>-</w:t>
      </w:r>
      <w:r>
        <w:rPr>
          <w:rFonts w:hint="eastAsia" w:ascii="宋体" w:hAnsi="宋体" w:eastAsia="宋体" w:cs="Times New Roman"/>
          <w:color w:val="000000"/>
          <w:szCs w:val="21"/>
          <w:highlight w:val="none"/>
        </w:rPr>
        <w:t>00</w:t>
      </w:r>
      <w:r>
        <w:rPr>
          <w:rFonts w:hint="eastAsia" w:ascii="宋体" w:hAnsi="宋体" w:eastAsia="宋体" w:cs="Times New Roman"/>
          <w:color w:val="000000"/>
          <w:szCs w:val="21"/>
          <w:highlight w:val="none"/>
          <w:lang w:val="en-US" w:eastAsia="zh-CN"/>
        </w:rPr>
        <w:t>5</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387"/>
      </w:tblGrid>
      <w:tr w14:paraId="2651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2134" w:type="dxa"/>
            <w:vAlign w:val="center"/>
          </w:tcPr>
          <w:p w14:paraId="03E3F586">
            <w:pPr>
              <w:snapToGrid w:val="0"/>
              <w:spacing w:before="156" w:beforeLines="50" w:after="156" w:afterLines="50" w:line="240" w:lineRule="atLeast"/>
              <w:jc w:val="center"/>
              <w:rPr>
                <w:rFonts w:ascii="宋体" w:hAnsi="宋体" w:eastAsia="宋体" w:cs="Times New Roman"/>
                <w:b/>
                <w:bCs/>
                <w:color w:val="000000" w:themeColor="text1"/>
                <w:kern w:val="0"/>
                <w:sz w:val="24"/>
                <w:szCs w:val="24"/>
                <w14:textFill>
                  <w14:solidFill>
                    <w14:schemeClr w14:val="tx1"/>
                  </w14:solidFill>
                </w14:textFill>
              </w:rPr>
            </w:pPr>
            <w:r>
              <w:rPr>
                <w:rFonts w:hint="eastAsia" w:ascii="宋体" w:hAnsi="宋体" w:eastAsia="宋体" w:cs="Times New Roman"/>
                <w:b/>
                <w:bCs/>
                <w:color w:val="000000" w:themeColor="text1"/>
                <w:kern w:val="0"/>
                <w:sz w:val="24"/>
                <w:szCs w:val="24"/>
                <w14:textFill>
                  <w14:solidFill>
                    <w14:schemeClr w14:val="tx1"/>
                  </w14:solidFill>
                </w14:textFill>
              </w:rPr>
              <w:t>投资者关系活动类别</w:t>
            </w:r>
          </w:p>
        </w:tc>
        <w:tc>
          <w:tcPr>
            <w:tcW w:w="6387" w:type="dxa"/>
            <w:vAlign w:val="center"/>
          </w:tcPr>
          <w:p w14:paraId="2E2E71A7">
            <w:pPr>
              <w:snapToGrid w:val="0"/>
              <w:spacing w:before="156" w:beforeLines="50" w:after="156" w:afterLines="50" w:line="240" w:lineRule="atLeas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lang w:eastAsia="zh-CN"/>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特定对象调研         □分析师会议</w:t>
            </w:r>
          </w:p>
          <w:p w14:paraId="49CE1BB8">
            <w:pPr>
              <w:snapToGrid w:val="0"/>
              <w:spacing w:before="156" w:beforeLines="50" w:after="156" w:afterLines="50" w:line="240" w:lineRule="atLeas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□媒体采访             □业绩说明会</w:t>
            </w:r>
          </w:p>
          <w:p w14:paraId="2EC32E45">
            <w:pPr>
              <w:snapToGrid w:val="0"/>
              <w:spacing w:before="156" w:beforeLines="50" w:after="156" w:afterLines="50" w:line="240" w:lineRule="atLeas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□新闻发布会           □路演活动</w:t>
            </w:r>
          </w:p>
          <w:p w14:paraId="47583F0C">
            <w:pPr>
              <w:snapToGrid w:val="0"/>
              <w:spacing w:before="156" w:beforeLines="50" w:after="156" w:afterLines="50" w:line="240" w:lineRule="atLeast"/>
              <w:ind w:left="3120" w:hanging="3120" w:hangingChars="1300"/>
              <w:rPr>
                <w:rFonts w:hint="eastAsia" w:ascii="宋体" w:hAnsi="宋体" w:eastAsia="宋体" w:cs="Times New Roman"/>
                <w:color w:val="000000" w:themeColor="text1"/>
                <w:kern w:val="0"/>
                <w:sz w:val="24"/>
                <w:szCs w:val="24"/>
                <w:lang w:val="en-US" w:eastAsia="zh-CN"/>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xml:space="preserve">□现场参观             </w:t>
            </w:r>
            <w:r>
              <w:rPr>
                <w:rFonts w:hint="eastAsia" w:ascii="宋体" w:hAnsi="宋体" w:eastAsia="宋体" w:cs="Times New Roman"/>
                <w:color w:val="000000" w:themeColor="text1"/>
                <w:kern w:val="0"/>
                <w:sz w:val="24"/>
                <w:szCs w:val="24"/>
                <w:lang w:eastAsia="zh-CN"/>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其他</w:t>
            </w:r>
            <w:r>
              <w:rPr>
                <w:rFonts w:hint="eastAsia" w:ascii="宋体" w:hAnsi="宋体" w:eastAsia="宋体" w:cs="Times New Roman"/>
                <w:color w:val="000000" w:themeColor="text1"/>
                <w:kern w:val="0"/>
                <w:sz w:val="24"/>
                <w:szCs w:val="24"/>
                <w:lang w:val="en-US" w:eastAsia="zh-CN"/>
                <w14:textFill>
                  <w14:solidFill>
                    <w14:schemeClr w14:val="tx1"/>
                  </w14:solidFill>
                </w14:textFill>
              </w:rPr>
              <w:t>-参加2025年湖南辖区上市公司投资者网上集体接待日暨半年度业绩说明会活动</w:t>
            </w:r>
          </w:p>
        </w:tc>
      </w:tr>
      <w:tr w14:paraId="2ECA4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4" w:type="dxa"/>
            <w:vAlign w:val="center"/>
          </w:tcPr>
          <w:p w14:paraId="603799D7">
            <w:pPr>
              <w:snapToGrid w:val="0"/>
              <w:spacing w:before="156" w:beforeLines="50" w:after="156" w:afterLines="50" w:line="240" w:lineRule="atLeast"/>
              <w:jc w:val="center"/>
              <w:rPr>
                <w:rFonts w:ascii="宋体" w:hAnsi="宋体" w:eastAsia="宋体" w:cs="Times New Roman"/>
                <w:b/>
                <w:bCs/>
                <w:color w:val="000000" w:themeColor="text1"/>
                <w:kern w:val="0"/>
                <w:sz w:val="24"/>
                <w:szCs w:val="24"/>
                <w14:textFill>
                  <w14:solidFill>
                    <w14:schemeClr w14:val="tx1"/>
                  </w14:solidFill>
                </w14:textFill>
              </w:rPr>
            </w:pPr>
            <w:r>
              <w:rPr>
                <w:rFonts w:hint="eastAsia" w:ascii="宋体" w:hAnsi="宋体" w:eastAsia="宋体" w:cs="Times New Roman"/>
                <w:b/>
                <w:bCs/>
                <w:color w:val="000000" w:themeColor="text1"/>
                <w:kern w:val="0"/>
                <w:sz w:val="24"/>
                <w:szCs w:val="24"/>
                <w14:textFill>
                  <w14:solidFill>
                    <w14:schemeClr w14:val="tx1"/>
                  </w14:solidFill>
                </w14:textFill>
              </w:rPr>
              <w:t>参与单位名称</w:t>
            </w:r>
          </w:p>
        </w:tc>
        <w:tc>
          <w:tcPr>
            <w:tcW w:w="6387" w:type="dxa"/>
            <w:vAlign w:val="center"/>
          </w:tcPr>
          <w:p w14:paraId="65F7EA57">
            <w:pPr>
              <w:snapToGrid w:val="0"/>
              <w:spacing w:before="78" w:beforeLines="25" w:after="78" w:afterLines="25"/>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参加2025年湖南辖区上市公司投资者网上集体接待日暨半年度业绩说明会活动</w:t>
            </w:r>
          </w:p>
        </w:tc>
      </w:tr>
      <w:tr w14:paraId="62EB6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134" w:type="dxa"/>
            <w:vAlign w:val="center"/>
          </w:tcPr>
          <w:p w14:paraId="5AA08FB6">
            <w:pPr>
              <w:snapToGrid w:val="0"/>
              <w:spacing w:before="156" w:beforeLines="50" w:after="156" w:afterLines="50" w:line="240" w:lineRule="atLeast"/>
              <w:ind w:firstLine="482" w:firstLineChars="200"/>
              <w:rPr>
                <w:rFonts w:ascii="宋体" w:hAnsi="宋体" w:eastAsia="宋体" w:cs="Times New Roman"/>
                <w:b/>
                <w:bCs/>
                <w:color w:val="000000" w:themeColor="text1"/>
                <w:kern w:val="0"/>
                <w:sz w:val="24"/>
                <w:szCs w:val="24"/>
                <w14:textFill>
                  <w14:solidFill>
                    <w14:schemeClr w14:val="tx1"/>
                  </w14:solidFill>
                </w14:textFill>
              </w:rPr>
            </w:pPr>
            <w:r>
              <w:rPr>
                <w:rFonts w:hint="eastAsia" w:ascii="宋体" w:hAnsi="宋体" w:eastAsia="宋体" w:cs="Times New Roman"/>
                <w:b/>
                <w:bCs/>
                <w:color w:val="000000" w:themeColor="text1"/>
                <w:kern w:val="0"/>
                <w:sz w:val="24"/>
                <w:szCs w:val="24"/>
                <w14:textFill>
                  <w14:solidFill>
                    <w14:schemeClr w14:val="tx1"/>
                  </w14:solidFill>
                </w14:textFill>
              </w:rPr>
              <w:t>会议时间</w:t>
            </w:r>
          </w:p>
        </w:tc>
        <w:tc>
          <w:tcPr>
            <w:tcW w:w="6387" w:type="dxa"/>
            <w:vAlign w:val="center"/>
          </w:tcPr>
          <w:p w14:paraId="535B6F8B">
            <w:pPr>
              <w:snapToGrid w:val="0"/>
              <w:spacing w:before="78" w:beforeLines="25" w:after="78" w:afterLines="25"/>
              <w:rPr>
                <w:rFonts w:hint="default" w:ascii="宋体" w:hAnsi="宋体" w:eastAsia="宋体" w:cs="Times New Roman"/>
                <w:color w:val="000000" w:themeColor="text1"/>
                <w:kern w:val="0"/>
                <w:sz w:val="24"/>
                <w:szCs w:val="24"/>
                <w:lang w:val="en-US" w:eastAsia="zh-CN"/>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2025年</w:t>
            </w:r>
            <w:r>
              <w:rPr>
                <w:rFonts w:hint="eastAsia" w:ascii="宋体" w:hAnsi="宋体" w:eastAsia="宋体" w:cs="Times New Roman"/>
                <w:color w:val="000000" w:themeColor="text1"/>
                <w:kern w:val="0"/>
                <w:sz w:val="24"/>
                <w:szCs w:val="24"/>
                <w:lang w:val="en-US" w:eastAsia="zh-CN"/>
                <w14:textFill>
                  <w14:solidFill>
                    <w14:schemeClr w14:val="tx1"/>
                  </w14:solidFill>
                </w14:textFill>
              </w:rPr>
              <w:t>9</w:t>
            </w:r>
            <w:r>
              <w:rPr>
                <w:rFonts w:hint="eastAsia" w:ascii="宋体" w:hAnsi="宋体" w:eastAsia="宋体" w:cs="Times New Roman"/>
                <w:color w:val="000000" w:themeColor="text1"/>
                <w:kern w:val="0"/>
                <w:sz w:val="24"/>
                <w:szCs w:val="24"/>
                <w14:textFill>
                  <w14:solidFill>
                    <w14:schemeClr w14:val="tx1"/>
                  </w14:solidFill>
                </w14:textFill>
              </w:rPr>
              <w:t>月</w:t>
            </w:r>
            <w:r>
              <w:rPr>
                <w:rFonts w:hint="eastAsia" w:ascii="宋体" w:hAnsi="宋体" w:eastAsia="宋体" w:cs="Times New Roman"/>
                <w:color w:val="000000" w:themeColor="text1"/>
                <w:kern w:val="0"/>
                <w:sz w:val="24"/>
                <w:szCs w:val="24"/>
                <w:lang w:val="en-US" w:eastAsia="zh-CN"/>
                <w14:textFill>
                  <w14:solidFill>
                    <w14:schemeClr w14:val="tx1"/>
                  </w14:solidFill>
                </w14:textFill>
              </w:rPr>
              <w:t>19</w:t>
            </w:r>
            <w:r>
              <w:rPr>
                <w:rFonts w:hint="eastAsia" w:ascii="宋体" w:hAnsi="宋体" w:eastAsia="宋体" w:cs="Times New Roman"/>
                <w:color w:val="000000" w:themeColor="text1"/>
                <w:kern w:val="0"/>
                <w:sz w:val="24"/>
                <w:szCs w:val="24"/>
                <w14:textFill>
                  <w14:solidFill>
                    <w14:schemeClr w14:val="tx1"/>
                  </w14:solidFill>
                </w14:textFill>
              </w:rPr>
              <w:t>日</w:t>
            </w:r>
            <w:r>
              <w:rPr>
                <w:rFonts w:hint="eastAsia" w:ascii="宋体" w:hAnsi="宋体" w:eastAsia="宋体" w:cs="Times New Roman"/>
                <w:color w:val="000000" w:themeColor="text1"/>
                <w:kern w:val="0"/>
                <w:sz w:val="24"/>
                <w:szCs w:val="24"/>
                <w:lang w:val="en-US" w:eastAsia="zh-CN"/>
                <w14:textFill>
                  <w14:solidFill>
                    <w14:schemeClr w14:val="tx1"/>
                  </w14:solidFill>
                </w14:textFill>
              </w:rPr>
              <w:t xml:space="preserve"> 14:00-17:00</w:t>
            </w:r>
          </w:p>
        </w:tc>
      </w:tr>
      <w:tr w14:paraId="079F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34" w:type="dxa"/>
            <w:vAlign w:val="center"/>
          </w:tcPr>
          <w:p w14:paraId="35D30BB5">
            <w:pPr>
              <w:snapToGrid w:val="0"/>
              <w:spacing w:before="156" w:beforeLines="50" w:after="156" w:afterLines="50" w:line="240" w:lineRule="atLeast"/>
              <w:ind w:firstLine="482" w:firstLineChars="200"/>
              <w:rPr>
                <w:rFonts w:ascii="宋体" w:hAnsi="宋体" w:eastAsia="宋体" w:cs="Times New Roman"/>
                <w:b/>
                <w:bCs/>
                <w:color w:val="000000" w:themeColor="text1"/>
                <w:kern w:val="0"/>
                <w:sz w:val="24"/>
                <w:szCs w:val="24"/>
                <w14:textFill>
                  <w14:solidFill>
                    <w14:schemeClr w14:val="tx1"/>
                  </w14:solidFill>
                </w14:textFill>
              </w:rPr>
            </w:pPr>
            <w:r>
              <w:rPr>
                <w:rFonts w:hint="eastAsia" w:ascii="宋体" w:hAnsi="宋体" w:eastAsia="宋体" w:cs="Times New Roman"/>
                <w:b/>
                <w:bCs/>
                <w:color w:val="000000" w:themeColor="text1"/>
                <w:kern w:val="0"/>
                <w:sz w:val="24"/>
                <w:szCs w:val="24"/>
                <w14:textFill>
                  <w14:solidFill>
                    <w14:schemeClr w14:val="tx1"/>
                  </w14:solidFill>
                </w14:textFill>
              </w:rPr>
              <w:t>会议地点</w:t>
            </w:r>
          </w:p>
        </w:tc>
        <w:tc>
          <w:tcPr>
            <w:tcW w:w="6387" w:type="dxa"/>
            <w:vAlign w:val="center"/>
          </w:tcPr>
          <w:p w14:paraId="3916CD38">
            <w:pPr>
              <w:snapToGrid w:val="0"/>
              <w:spacing w:before="78" w:beforeLines="25" w:after="78" w:afterLines="25"/>
              <w:rPr>
                <w:rFonts w:hint="default" w:ascii="宋体" w:hAnsi="宋体" w:eastAsia="宋体" w:cs="Times New Roman"/>
                <w:color w:val="000000" w:themeColor="text1"/>
                <w:kern w:val="0"/>
                <w:sz w:val="24"/>
                <w:szCs w:val="24"/>
                <w:lang w:val="en-US" w:eastAsia="zh-CN"/>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华天大酒店</w:t>
            </w:r>
          </w:p>
        </w:tc>
      </w:tr>
      <w:tr w14:paraId="2F2C6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34" w:type="dxa"/>
            <w:vAlign w:val="center"/>
          </w:tcPr>
          <w:p w14:paraId="6EC49FB8">
            <w:pPr>
              <w:snapToGrid w:val="0"/>
              <w:spacing w:before="156" w:beforeLines="50" w:after="156" w:afterLines="50" w:line="240" w:lineRule="atLeast"/>
              <w:jc w:val="center"/>
              <w:rPr>
                <w:rFonts w:ascii="宋体" w:hAnsi="宋体" w:eastAsia="宋体" w:cs="Times New Roman"/>
                <w:b/>
                <w:bCs/>
                <w:color w:val="000000" w:themeColor="text1"/>
                <w:kern w:val="0"/>
                <w:sz w:val="24"/>
                <w:szCs w:val="24"/>
                <w14:textFill>
                  <w14:solidFill>
                    <w14:schemeClr w14:val="tx1"/>
                  </w14:solidFill>
                </w14:textFill>
              </w:rPr>
            </w:pPr>
            <w:r>
              <w:rPr>
                <w:rFonts w:hint="eastAsia" w:ascii="宋体" w:hAnsi="宋体" w:eastAsia="宋体" w:cs="Times New Roman"/>
                <w:b/>
                <w:bCs/>
                <w:color w:val="000000" w:themeColor="text1"/>
                <w:kern w:val="0"/>
                <w:sz w:val="24"/>
                <w:szCs w:val="24"/>
                <w14:textFill>
                  <w14:solidFill>
                    <w14:schemeClr w14:val="tx1"/>
                  </w14:solidFill>
                </w14:textFill>
              </w:rPr>
              <w:t>公司接待人员</w:t>
            </w:r>
          </w:p>
        </w:tc>
        <w:tc>
          <w:tcPr>
            <w:tcW w:w="6387" w:type="dxa"/>
            <w:vAlign w:val="center"/>
          </w:tcPr>
          <w:p w14:paraId="064B3DE1">
            <w:pPr>
              <w:snapToGrid w:val="0"/>
              <w:spacing w:before="78" w:beforeLines="25" w:after="78" w:afterLines="25"/>
              <w:rPr>
                <w:rFonts w:hint="eastAsia"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董事、董事会秘书：杨子嫣女士</w:t>
            </w:r>
          </w:p>
          <w:p w14:paraId="5A02AF04">
            <w:pPr>
              <w:snapToGrid w:val="0"/>
              <w:spacing w:before="78" w:beforeLines="25" w:after="78" w:afterLines="25"/>
              <w:rPr>
                <w:rFonts w:hint="default" w:ascii="宋体" w:hAnsi="宋体" w:eastAsia="宋体" w:cs="Times New Roman"/>
                <w:color w:val="000000" w:themeColor="text1"/>
                <w:kern w:val="0"/>
                <w:sz w:val="24"/>
                <w:szCs w:val="24"/>
                <w:lang w:val="en-US" w:eastAsia="zh-CN"/>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证券事务代表：王磊女士</w:t>
            </w:r>
          </w:p>
        </w:tc>
      </w:tr>
      <w:tr w14:paraId="6837D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4" w:type="dxa"/>
            <w:vAlign w:val="center"/>
          </w:tcPr>
          <w:p w14:paraId="35970286">
            <w:pPr>
              <w:snapToGrid w:val="0"/>
              <w:spacing w:before="156" w:beforeLines="50" w:after="156" w:afterLines="50" w:line="240" w:lineRule="atLeast"/>
              <w:jc w:val="center"/>
              <w:rPr>
                <w:rFonts w:ascii="宋体" w:hAnsi="宋体" w:eastAsia="宋体" w:cs="Times New Roman"/>
                <w:b/>
                <w:bCs/>
                <w:color w:val="000000" w:themeColor="text1"/>
                <w:kern w:val="0"/>
                <w:sz w:val="24"/>
                <w:szCs w:val="24"/>
                <w14:textFill>
                  <w14:solidFill>
                    <w14:schemeClr w14:val="tx1"/>
                  </w14:solidFill>
                </w14:textFill>
              </w:rPr>
            </w:pPr>
          </w:p>
          <w:p w14:paraId="1CB21DC1">
            <w:pPr>
              <w:snapToGrid w:val="0"/>
              <w:spacing w:before="156" w:beforeLines="50" w:after="156" w:afterLines="50" w:line="240" w:lineRule="atLeast"/>
              <w:jc w:val="center"/>
              <w:rPr>
                <w:rFonts w:ascii="宋体" w:hAnsi="宋体" w:eastAsia="宋体" w:cs="Times New Roman"/>
                <w:b/>
                <w:bCs/>
                <w:color w:val="000000" w:themeColor="text1"/>
                <w:kern w:val="0"/>
                <w:sz w:val="24"/>
                <w:szCs w:val="24"/>
                <w14:textFill>
                  <w14:solidFill>
                    <w14:schemeClr w14:val="tx1"/>
                  </w14:solidFill>
                </w14:textFill>
              </w:rPr>
            </w:pPr>
          </w:p>
          <w:p w14:paraId="02FC289E">
            <w:pPr>
              <w:snapToGrid w:val="0"/>
              <w:spacing w:before="156" w:beforeLines="50" w:after="156" w:afterLines="50" w:line="240" w:lineRule="atLeast"/>
              <w:jc w:val="center"/>
              <w:rPr>
                <w:rFonts w:ascii="宋体" w:hAnsi="宋体" w:eastAsia="宋体" w:cs="Times New Roman"/>
                <w:b/>
                <w:bCs/>
                <w:color w:val="000000" w:themeColor="text1"/>
                <w:kern w:val="0"/>
                <w:sz w:val="24"/>
                <w:szCs w:val="24"/>
                <w14:textFill>
                  <w14:solidFill>
                    <w14:schemeClr w14:val="tx1"/>
                  </w14:solidFill>
                </w14:textFill>
              </w:rPr>
            </w:pPr>
          </w:p>
          <w:p w14:paraId="50D22523">
            <w:pPr>
              <w:snapToGrid w:val="0"/>
              <w:spacing w:before="156" w:beforeLines="50" w:after="156" w:afterLines="50" w:line="240" w:lineRule="atLeast"/>
              <w:jc w:val="center"/>
              <w:rPr>
                <w:rFonts w:ascii="宋体" w:hAnsi="宋体" w:eastAsia="宋体" w:cs="Times New Roman"/>
                <w:b/>
                <w:bCs/>
                <w:color w:val="000000" w:themeColor="text1"/>
                <w:kern w:val="0"/>
                <w:sz w:val="24"/>
                <w:szCs w:val="24"/>
                <w14:textFill>
                  <w14:solidFill>
                    <w14:schemeClr w14:val="tx1"/>
                  </w14:solidFill>
                </w14:textFill>
              </w:rPr>
            </w:pPr>
          </w:p>
          <w:p w14:paraId="6E849AED">
            <w:pPr>
              <w:snapToGrid w:val="0"/>
              <w:spacing w:before="156" w:beforeLines="50" w:after="156" w:afterLines="50" w:line="240" w:lineRule="atLeast"/>
              <w:jc w:val="center"/>
              <w:rPr>
                <w:rFonts w:ascii="宋体" w:hAnsi="宋体" w:eastAsia="宋体" w:cs="Times New Roman"/>
                <w:b/>
                <w:bCs/>
                <w:color w:val="000000" w:themeColor="text1"/>
                <w:kern w:val="0"/>
                <w:sz w:val="24"/>
                <w:szCs w:val="24"/>
                <w14:textFill>
                  <w14:solidFill>
                    <w14:schemeClr w14:val="tx1"/>
                  </w14:solidFill>
                </w14:textFill>
              </w:rPr>
            </w:pPr>
          </w:p>
          <w:p w14:paraId="0006D595">
            <w:pPr>
              <w:snapToGrid w:val="0"/>
              <w:spacing w:before="156" w:beforeLines="50" w:after="156" w:afterLines="50" w:line="240" w:lineRule="atLeast"/>
              <w:jc w:val="center"/>
              <w:rPr>
                <w:rFonts w:ascii="宋体" w:hAnsi="宋体" w:eastAsia="宋体" w:cs="Times New Roman"/>
                <w:b/>
                <w:bCs/>
                <w:color w:val="000000" w:themeColor="text1"/>
                <w:kern w:val="0"/>
                <w:sz w:val="24"/>
                <w:szCs w:val="24"/>
                <w14:textFill>
                  <w14:solidFill>
                    <w14:schemeClr w14:val="tx1"/>
                  </w14:solidFill>
                </w14:textFill>
              </w:rPr>
            </w:pPr>
          </w:p>
          <w:p w14:paraId="088D5B24">
            <w:pPr>
              <w:snapToGrid w:val="0"/>
              <w:spacing w:before="156" w:beforeLines="50" w:after="156" w:afterLines="50" w:line="240" w:lineRule="atLeast"/>
              <w:rPr>
                <w:rFonts w:ascii="宋体" w:hAnsi="宋体" w:eastAsia="宋体" w:cs="Times New Roman"/>
                <w:b/>
                <w:bCs/>
                <w:color w:val="000000" w:themeColor="text1"/>
                <w:kern w:val="0"/>
                <w:sz w:val="24"/>
                <w:szCs w:val="24"/>
                <w14:textFill>
                  <w14:solidFill>
                    <w14:schemeClr w14:val="tx1"/>
                  </w14:solidFill>
                </w14:textFill>
              </w:rPr>
            </w:pPr>
          </w:p>
          <w:p w14:paraId="137A59CC">
            <w:pPr>
              <w:snapToGrid w:val="0"/>
              <w:spacing w:before="156" w:beforeLines="50" w:after="156" w:afterLines="50" w:line="240" w:lineRule="atLeast"/>
              <w:jc w:val="center"/>
              <w:rPr>
                <w:rFonts w:ascii="宋体" w:hAnsi="宋体" w:eastAsia="宋体" w:cs="Times New Roman"/>
                <w:b/>
                <w:bCs/>
                <w:color w:val="000000" w:themeColor="text1"/>
                <w:kern w:val="0"/>
                <w:sz w:val="24"/>
                <w:szCs w:val="24"/>
                <w14:textFill>
                  <w14:solidFill>
                    <w14:schemeClr w14:val="tx1"/>
                  </w14:solidFill>
                </w14:textFill>
              </w:rPr>
            </w:pPr>
            <w:r>
              <w:rPr>
                <w:rFonts w:hint="eastAsia" w:ascii="宋体" w:hAnsi="宋体" w:eastAsia="宋体" w:cs="Times New Roman"/>
                <w:b/>
                <w:bCs/>
                <w:color w:val="000000" w:themeColor="text1"/>
                <w:kern w:val="0"/>
                <w:sz w:val="24"/>
                <w:szCs w:val="24"/>
                <w14:textFill>
                  <w14:solidFill>
                    <w14:schemeClr w14:val="tx1"/>
                  </w14:solidFill>
                </w14:textFill>
              </w:rPr>
              <w:t>投资者关系活动主要内容介绍</w:t>
            </w:r>
          </w:p>
        </w:tc>
        <w:tc>
          <w:tcPr>
            <w:tcW w:w="6387" w:type="dxa"/>
            <w:vAlign w:val="center"/>
          </w:tcPr>
          <w:p w14:paraId="0C7468E0">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textAlignment w:val="auto"/>
              <w:outlineLvl w:val="0"/>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本次活动通过网络文字互动的方式展开，主要交流问题：</w:t>
            </w:r>
          </w:p>
          <w:p w14:paraId="11E4F2FD">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firstLine="482" w:firstLineChars="200"/>
              <w:textAlignment w:val="auto"/>
              <w:outlineLvl w:val="0"/>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问题1：公司的信息安全产品有哪些？主要应用在哪些行业？</w:t>
            </w:r>
          </w:p>
          <w:p w14:paraId="618B0DB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Times New Roman"/>
                <w:kern w:val="0"/>
                <w:sz w:val="24"/>
                <w:szCs w:val="24"/>
                <w:lang w:val="en-US" w:eastAsia="zh-CN" w:bidi="ar-SA"/>
              </w:rPr>
            </w:pPr>
            <w:r>
              <w:rPr>
                <w:rFonts w:hint="eastAsia" w:ascii="宋体" w:hAnsi="宋体" w:eastAsia="宋体" w:cs="Times New Roman"/>
                <w:b/>
                <w:bCs/>
                <w:kern w:val="0"/>
                <w:sz w:val="24"/>
                <w:szCs w:val="24"/>
                <w:lang w:val="en-US" w:eastAsia="zh-CN" w:bidi="ar-SA"/>
              </w:rPr>
              <w:t>回复：</w:t>
            </w:r>
            <w:r>
              <w:rPr>
                <w:rFonts w:hint="eastAsia" w:ascii="宋体" w:hAnsi="宋体" w:eastAsia="宋体" w:cs="Times New Roman"/>
                <w:kern w:val="0"/>
                <w:sz w:val="24"/>
                <w:szCs w:val="24"/>
                <w:lang w:val="en-US" w:eastAsia="zh-CN" w:bidi="ar-SA"/>
              </w:rPr>
              <w:t>公司信息安全产品以数据存储安全和终端安全产品为主。公司信息安全产品已在政府、特种行业和企事业单位等得到应用部署，并为关键部门的专用数据安全产品提供配套安全支撑平台。此外，公司数据安全存储产品已获得国家密码管理局颁发的商用密码产品认证，在商密领域已形成典型应用。</w:t>
            </w:r>
          </w:p>
          <w:p w14:paraId="4ED2E1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000000"/>
                <w:kern w:val="0"/>
                <w:sz w:val="24"/>
                <w:szCs w:val="24"/>
                <w:highlight w:val="none"/>
                <w:lang w:val="en-US" w:eastAsia="zh-CN" w:bidi="ar"/>
              </w:rPr>
            </w:pPr>
          </w:p>
          <w:p w14:paraId="3B8152A6">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firstLine="482" w:firstLineChars="200"/>
              <w:textAlignment w:val="auto"/>
              <w:outlineLvl w:val="0"/>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问题2：公司的智算一体机目前市场推广反应情况怎么样？截止目前公司的机器人领域业务进展情况怎么样？下半年针对ai领域有哪些布局？</w:t>
            </w:r>
          </w:p>
          <w:p w14:paraId="7E6648A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Times New Roman"/>
                <w:b/>
                <w:bCs/>
                <w:kern w:val="0"/>
                <w:sz w:val="24"/>
                <w:szCs w:val="24"/>
                <w:lang w:val="en-US" w:eastAsia="zh-CN" w:bidi="ar-SA"/>
              </w:rPr>
              <w:t>回复</w:t>
            </w:r>
            <w:r>
              <w:rPr>
                <w:rFonts w:hint="eastAsia" w:ascii="宋体" w:hAnsi="宋体" w:eastAsia="宋体" w:cs="宋体"/>
                <w:b/>
                <w:bCs/>
                <w:color w:val="000000"/>
                <w:kern w:val="0"/>
                <w:sz w:val="24"/>
                <w:szCs w:val="24"/>
                <w:highlight w:val="none"/>
                <w:lang w:val="en-US" w:eastAsia="zh-CN" w:bidi="ar"/>
              </w:rPr>
              <w:t>：</w:t>
            </w:r>
            <w:r>
              <w:rPr>
                <w:rFonts w:hint="eastAsia" w:ascii="宋体" w:hAnsi="宋体" w:eastAsia="宋体" w:cs="宋体"/>
                <w:b w:val="0"/>
                <w:bCs w:val="0"/>
                <w:color w:val="000000"/>
                <w:kern w:val="0"/>
                <w:sz w:val="24"/>
                <w:szCs w:val="24"/>
                <w:highlight w:val="none"/>
                <w:lang w:val="en-US" w:eastAsia="zh-CN" w:bidi="ar"/>
              </w:rPr>
              <w:t>1、公司智算一体机以麒麟信安操作系统为技术根基，依托多年云计算、信息安全领域的技术沉淀与创新优势，融合行业用户需求，具备全栈国产化能力，能够为用户提供涵盖算力供给、模型推理及运维管理等方面的服务，高效解决AI落地、数据安全等痛点，助力关键领域客户在安全可靠的基础上加速智能化系统建设。目前已经有少量订单，暂不会对公司经营业绩造成重大影响。2、公司基于openEuler Embedded 23.09发布的麒麟信安操作系统（嵌入式版）V3，已开展和超能机器人产品的合作及研发适配，并在持续迭代发展。3、2025年下半年，公司将加快推进麒麟信安操作系统在智算领域上下游生态建设，并持续迭代优化智算一体机与智能运维平台等产品，同时将紧密贴合特种行业、电力、金融、教育及政务等关键领域的智能化应用需求，推动核心产品与行业数智化转型的深度融合，进一步挖掘市场潜力，推动订单增长。</w:t>
            </w:r>
          </w:p>
          <w:p w14:paraId="57420D6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000000"/>
                <w:kern w:val="0"/>
                <w:sz w:val="24"/>
                <w:szCs w:val="24"/>
                <w:highlight w:val="none"/>
                <w:lang w:val="en-US" w:eastAsia="zh-CN" w:bidi="ar"/>
              </w:rPr>
            </w:pPr>
          </w:p>
          <w:p w14:paraId="57423D3D">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firstLine="482" w:firstLineChars="200"/>
              <w:textAlignment w:val="auto"/>
              <w:outlineLvl w:val="0"/>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问题3：目前国家算力非常重视，算力除了硬件，软件以及操作系统也是基础配套设施，请问公司在算力布局上有什么准备，是否有布局，是否有订单</w:t>
            </w:r>
          </w:p>
          <w:p w14:paraId="3332B9C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outlineLvl w:val="0"/>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回复：</w:t>
            </w:r>
            <w:r>
              <w:rPr>
                <w:rFonts w:hint="eastAsia" w:ascii="宋体" w:hAnsi="宋体" w:eastAsia="宋体" w:cs="宋体"/>
                <w:b w:val="0"/>
                <w:bCs w:val="0"/>
                <w:color w:val="000000"/>
                <w:kern w:val="0"/>
                <w:sz w:val="24"/>
                <w:szCs w:val="24"/>
                <w:highlight w:val="none"/>
                <w:lang w:val="en-US" w:eastAsia="zh-CN" w:bidi="ar"/>
              </w:rPr>
              <w:t>公司在算力领域的产品应用主要围绕自主可控的操作系统、融合创新的云计算解决方案以及软硬一体的智算产品展开，致力于为关键行业提供安全、高效的算力支撑。公司的相关产品已广泛应用于电力、特种行业、政务、金融等关键领域。同时，公司积极构建算力生态，积极参与openEuler等开源自主根社区建设，牵头共建湖南欧拉生态创新中心，推动“欧拉+鲲鹏+麒麟信安”的“一测三证”。公司与国内外众多芯片、整机、数据库、中间件等软硬件伙伴完成适配，初步形成全栈适配格局，共同繁荣国产算力生态。目前在手订单良好，具体业绩情况请您关注后续披露的定期报告。</w:t>
            </w:r>
          </w:p>
          <w:p w14:paraId="43636F8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000000"/>
                <w:kern w:val="0"/>
                <w:sz w:val="24"/>
                <w:szCs w:val="24"/>
                <w:highlight w:val="none"/>
                <w:lang w:val="en-US" w:eastAsia="zh-CN" w:bidi="ar"/>
              </w:rPr>
            </w:pPr>
          </w:p>
          <w:p w14:paraId="14EF7B39">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firstLine="482" w:firstLineChars="200"/>
              <w:textAlignment w:val="auto"/>
              <w:outlineLvl w:val="0"/>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问题4：今年对比去年公司哪些产品有增长？公司在各地新成立的分公司目前经营情况怎么样？下半年有没有针对国外市场进行开放？</w:t>
            </w:r>
          </w:p>
          <w:p w14:paraId="0BEF35F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回复：</w:t>
            </w:r>
            <w:r>
              <w:rPr>
                <w:rFonts w:hint="eastAsia" w:ascii="宋体" w:hAnsi="宋体" w:eastAsia="宋体" w:cs="宋体"/>
                <w:b w:val="0"/>
                <w:bCs w:val="0"/>
                <w:color w:val="000000"/>
                <w:kern w:val="0"/>
                <w:sz w:val="24"/>
                <w:szCs w:val="24"/>
                <w:highlight w:val="none"/>
                <w:lang w:val="en-US" w:eastAsia="zh-CN" w:bidi="ar"/>
              </w:rPr>
              <w:t>截至今年上半年末，公司操作系统和信息安全产品同比均实现稳步增长。目前公司各分子公司经营正常，具体业绩经营情况请以公司披露的定期报告为准。现阶段公司业务重心仍聚焦于国内市场，同时依托集成商合作伙伴出口业务，实现产品及服务在“一带一路”国家的应用。</w:t>
            </w:r>
          </w:p>
          <w:p w14:paraId="25B8605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000000"/>
                <w:kern w:val="0"/>
                <w:sz w:val="24"/>
                <w:szCs w:val="24"/>
                <w:highlight w:val="none"/>
                <w:lang w:val="en-US" w:eastAsia="zh-CN" w:bidi="ar"/>
              </w:rPr>
            </w:pPr>
          </w:p>
          <w:p w14:paraId="5A7D9EA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482" w:firstLineChars="200"/>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问题5：快购达集团成功入围2025年度第二期江苏省党政机关、事业单位及团体组织数据库管理系统框架协议与服务器操作系统框架协议采购两大项目。入围后，江苏省各级党政机关、事业单位及团体组织均可通过框架协议采购直接采购麒麟信安服务器操作系统的产品，请问其他省份，地方也有这种平台吗？</w:t>
            </w:r>
          </w:p>
          <w:p w14:paraId="7400D90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回复：</w:t>
            </w:r>
            <w:r>
              <w:rPr>
                <w:rFonts w:hint="eastAsia" w:ascii="宋体" w:hAnsi="宋体" w:eastAsia="宋体" w:cs="宋体"/>
                <w:b w:val="0"/>
                <w:bCs w:val="0"/>
                <w:color w:val="000000"/>
                <w:kern w:val="0"/>
                <w:sz w:val="24"/>
                <w:szCs w:val="24"/>
                <w:highlight w:val="none"/>
                <w:lang w:val="en-US" w:eastAsia="zh-CN" w:bidi="ar"/>
              </w:rPr>
              <w:t>国内不同省份和地方的党政机关、事业单位及团体组织的相关采购流程存在一定差异，具体请以各省份及地方官方发布的信息为准。目前公司已中标中央国家机关及北京、云南、吉林、湖南、江苏、广西、新疆、山东、河北、重庆等全国多地党政机关操作系统框架采购项目，并在多地政务机构打造典型案例。</w:t>
            </w:r>
          </w:p>
          <w:p w14:paraId="6C9735C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b w:val="0"/>
                <w:bCs w:val="0"/>
                <w:color w:val="000000"/>
                <w:kern w:val="0"/>
                <w:sz w:val="24"/>
                <w:szCs w:val="24"/>
                <w:highlight w:val="none"/>
                <w:lang w:val="en-US" w:eastAsia="zh-CN" w:bidi="ar"/>
              </w:rPr>
            </w:pPr>
          </w:p>
          <w:p w14:paraId="53E9478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482" w:firstLineChars="200"/>
              <w:textAlignment w:val="auto"/>
              <w:rPr>
                <w:rFonts w:hint="default"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问题6：</w:t>
            </w:r>
            <w:r>
              <w:rPr>
                <w:rFonts w:hint="default" w:ascii="宋体" w:hAnsi="宋体" w:eastAsia="宋体" w:cs="宋体"/>
                <w:b/>
                <w:bCs/>
                <w:color w:val="000000"/>
                <w:kern w:val="0"/>
                <w:sz w:val="24"/>
                <w:szCs w:val="24"/>
                <w:highlight w:val="none"/>
                <w:lang w:val="en-US" w:eastAsia="zh-CN" w:bidi="ar"/>
              </w:rPr>
              <w:t>董秘好</w:t>
            </w:r>
            <w:r>
              <w:rPr>
                <w:rFonts w:hint="eastAsia" w:ascii="宋体" w:hAnsi="宋体" w:eastAsia="宋体" w:cs="宋体"/>
                <w:b/>
                <w:bCs/>
                <w:color w:val="000000"/>
                <w:kern w:val="0"/>
                <w:sz w:val="24"/>
                <w:szCs w:val="24"/>
                <w:highlight w:val="none"/>
                <w:lang w:val="en-US" w:eastAsia="zh-CN" w:bidi="ar"/>
              </w:rPr>
              <w:t>：</w:t>
            </w:r>
            <w:r>
              <w:rPr>
                <w:rFonts w:hint="default" w:ascii="宋体" w:hAnsi="宋体" w:eastAsia="宋体" w:cs="宋体"/>
                <w:b/>
                <w:bCs/>
                <w:color w:val="000000"/>
                <w:kern w:val="0"/>
                <w:sz w:val="24"/>
                <w:szCs w:val="24"/>
                <w:highlight w:val="none"/>
                <w:lang w:val="en-US" w:eastAsia="zh-CN" w:bidi="ar"/>
              </w:rPr>
              <w:t>请问三季度在手订单以二季度相比大慨增加了多少</w:t>
            </w:r>
          </w:p>
          <w:p w14:paraId="09A8650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rPr>
                <w:rFonts w:hint="default"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回复：</w:t>
            </w:r>
            <w:r>
              <w:rPr>
                <w:rFonts w:hint="default" w:ascii="宋体" w:hAnsi="宋体" w:eastAsia="宋体" w:cs="宋体"/>
                <w:b w:val="0"/>
                <w:bCs w:val="0"/>
                <w:color w:val="000000"/>
                <w:kern w:val="0"/>
                <w:sz w:val="24"/>
                <w:szCs w:val="24"/>
                <w:highlight w:val="none"/>
                <w:lang w:val="en-US" w:eastAsia="zh-CN" w:bidi="ar"/>
              </w:rPr>
              <w:t>目前公司在手订单情况良好，具体业绩经营情况请您以公司发布的定期报告为准。</w:t>
            </w:r>
          </w:p>
          <w:p w14:paraId="3DC32F0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b w:val="0"/>
                <w:bCs w:val="0"/>
                <w:color w:val="000000"/>
                <w:kern w:val="0"/>
                <w:sz w:val="24"/>
                <w:szCs w:val="24"/>
                <w:highlight w:val="none"/>
                <w:lang w:val="en-US" w:eastAsia="zh-CN" w:bidi="ar"/>
              </w:rPr>
            </w:pPr>
          </w:p>
          <w:p w14:paraId="43D7A32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482" w:firstLineChars="200"/>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问题7：截止目前，公司的A1客户是否有部分回款情况？目前该单位还继续跟公司产生新订单吗？</w:t>
            </w:r>
          </w:p>
          <w:p w14:paraId="1BD89E2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回复：</w:t>
            </w:r>
            <w:r>
              <w:rPr>
                <w:rFonts w:hint="eastAsia" w:ascii="宋体" w:hAnsi="宋体" w:eastAsia="宋体" w:cs="宋体"/>
                <w:b w:val="0"/>
                <w:bCs w:val="0"/>
                <w:color w:val="000000"/>
                <w:kern w:val="0"/>
                <w:sz w:val="24"/>
                <w:szCs w:val="24"/>
                <w:highlight w:val="none"/>
                <w:lang w:val="en-US" w:eastAsia="zh-CN" w:bidi="ar"/>
              </w:rPr>
              <w:t>关于A1客户回款及业务情况请详见公司于2025年8月5日披露的《湖南麒麟信安科技股份有限公司关于2024年年度报告信息披露监管问询函的回复公告》（公告编号：2025-059）。具体业绩经营情况请您以公司后续发布的定期报告为准。</w:t>
            </w:r>
          </w:p>
          <w:p w14:paraId="5BD8BA9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b w:val="0"/>
                <w:bCs w:val="0"/>
                <w:color w:val="000000"/>
                <w:kern w:val="0"/>
                <w:sz w:val="24"/>
                <w:szCs w:val="24"/>
                <w:highlight w:val="none"/>
                <w:lang w:val="en-US" w:eastAsia="zh-CN" w:bidi="ar"/>
              </w:rPr>
            </w:pPr>
          </w:p>
          <w:p w14:paraId="6030B86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482" w:firstLineChars="200"/>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问题8：公司的现金流财务情况怎么样？是否有考虑收购上下游软硬件产业链公司做大做强？</w:t>
            </w:r>
          </w:p>
          <w:p w14:paraId="080B2EB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回复：</w:t>
            </w:r>
            <w:r>
              <w:rPr>
                <w:rFonts w:hint="eastAsia" w:ascii="宋体" w:hAnsi="宋体" w:eastAsia="宋体" w:cs="宋体"/>
                <w:b w:val="0"/>
                <w:bCs w:val="0"/>
                <w:color w:val="000000"/>
                <w:kern w:val="0"/>
                <w:sz w:val="24"/>
                <w:szCs w:val="24"/>
                <w:highlight w:val="none"/>
                <w:lang w:val="en-US" w:eastAsia="zh-CN" w:bidi="ar"/>
              </w:rPr>
              <w:t>目前公司经营稳健。截至2025年上半年末，公司货币资金及交易性金融资产合计约7.7亿元，现金流情况良好；同时，公司经营性净现金流同比得到明显改善。公司始终密切关注国家政策与行业动向，积极把握市场机遇，结合公司发展战略和业务规划，在合适时机整合产业优质资源，增强公司在行业内的竞争力，推动公司的高质量发展。如有相关计划，公司将严格根据相关法律法规及时履行信息披露义务。</w:t>
            </w:r>
          </w:p>
          <w:p w14:paraId="66F42BB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000000"/>
                <w:kern w:val="0"/>
                <w:sz w:val="24"/>
                <w:szCs w:val="24"/>
                <w:highlight w:val="none"/>
                <w:lang w:val="en-US" w:eastAsia="zh-CN" w:bidi="ar"/>
              </w:rPr>
            </w:pPr>
          </w:p>
          <w:p w14:paraId="3496A02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482" w:firstLineChars="200"/>
              <w:textAlignment w:val="auto"/>
              <w:rPr>
                <w:rFonts w:hint="default"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问题9：</w:t>
            </w:r>
            <w:r>
              <w:rPr>
                <w:rFonts w:hint="default" w:ascii="宋体" w:hAnsi="宋体" w:eastAsia="宋体" w:cs="宋体"/>
                <w:b/>
                <w:bCs/>
                <w:color w:val="000000"/>
                <w:kern w:val="0"/>
                <w:sz w:val="24"/>
                <w:szCs w:val="24"/>
                <w:highlight w:val="none"/>
                <w:lang w:val="en-US" w:eastAsia="zh-CN" w:bidi="ar"/>
              </w:rPr>
              <w:t>公司常年处于亏损状态，请问贵公司有什么具体改善经营管理的办法么</w:t>
            </w:r>
            <w:r>
              <w:rPr>
                <w:rFonts w:hint="eastAsia" w:ascii="宋体" w:hAnsi="宋体" w:eastAsia="宋体" w:cs="宋体"/>
                <w:b/>
                <w:bCs/>
                <w:color w:val="000000"/>
                <w:kern w:val="0"/>
                <w:sz w:val="24"/>
                <w:szCs w:val="24"/>
                <w:highlight w:val="none"/>
                <w:lang w:val="en-US" w:eastAsia="zh-CN" w:bidi="ar"/>
              </w:rPr>
              <w:t>？</w:t>
            </w:r>
          </w:p>
          <w:p w14:paraId="519B035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rPr>
                <w:rFonts w:hint="default"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回复：</w:t>
            </w:r>
            <w:r>
              <w:rPr>
                <w:rFonts w:hint="default" w:ascii="宋体" w:hAnsi="宋体" w:eastAsia="宋体" w:cs="宋体"/>
                <w:b w:val="0"/>
                <w:bCs w:val="0"/>
                <w:color w:val="000000"/>
                <w:kern w:val="0"/>
                <w:sz w:val="24"/>
                <w:szCs w:val="24"/>
                <w:highlight w:val="none"/>
                <w:lang w:val="en-US" w:eastAsia="zh-CN" w:bidi="ar"/>
              </w:rPr>
              <w:t>公司2024年归母净利润已实现扭亏为盈；2025年上半年，公司归母净利润亏损同比收窄，扣除股份支付影响后已实现扭亏为盈。后续公司将持续强化战略规划与执行，不断优化经营管理机制和组织结构以提升运营效率，同时聚焦市场需求，加大研发投入以推动产品创新，强化成本管控与风险管理，不断提升公司可持续发展能力。感谢您的关注。</w:t>
            </w:r>
          </w:p>
          <w:p w14:paraId="190803A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b w:val="0"/>
                <w:bCs w:val="0"/>
                <w:color w:val="000000"/>
                <w:kern w:val="0"/>
                <w:sz w:val="24"/>
                <w:szCs w:val="24"/>
                <w:highlight w:val="none"/>
                <w:lang w:val="en-US" w:eastAsia="zh-CN" w:bidi="ar"/>
              </w:rPr>
            </w:pPr>
          </w:p>
          <w:p w14:paraId="5348C1D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482" w:firstLineChars="200"/>
              <w:textAlignment w:val="auto"/>
              <w:rPr>
                <w:rFonts w:hint="default"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问题10：</w:t>
            </w:r>
            <w:r>
              <w:rPr>
                <w:rFonts w:hint="default" w:ascii="宋体" w:hAnsi="宋体" w:eastAsia="宋体" w:cs="宋体"/>
                <w:b/>
                <w:bCs/>
                <w:color w:val="000000"/>
                <w:kern w:val="0"/>
                <w:sz w:val="24"/>
                <w:szCs w:val="24"/>
                <w:highlight w:val="none"/>
                <w:lang w:val="en-US" w:eastAsia="zh-CN" w:bidi="ar"/>
              </w:rPr>
              <w:t>麒麟信安的高管您好，请问麒麟信安马上面临大比例原始股解禁，公司是有承诺不减持或者维护市场稳定的考量。</w:t>
            </w:r>
          </w:p>
          <w:p w14:paraId="116C02F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rPr>
                <w:rFonts w:hint="default"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回复：</w:t>
            </w:r>
            <w:r>
              <w:rPr>
                <w:rFonts w:hint="default" w:ascii="宋体" w:hAnsi="宋体" w:eastAsia="宋体" w:cs="宋体"/>
                <w:b w:val="0"/>
                <w:bCs w:val="0"/>
                <w:color w:val="000000"/>
                <w:kern w:val="0"/>
                <w:sz w:val="24"/>
                <w:szCs w:val="24"/>
                <w:highlight w:val="none"/>
                <w:lang w:val="en-US" w:eastAsia="zh-CN" w:bidi="ar"/>
              </w:rPr>
              <w:t>公司始终重视股东利益，将立足行业发展态势，聚焦主业经营，持续强化核心竞争力，努力提升公司投资价值。相关股东如存在法律法规要求的减持预披露情形，需按照法律法规要求履行披露义务。同时，截至目前公司并未接到相关股东提交的减持计划，后续具体情况请以公司披露的相关公告为准。</w:t>
            </w:r>
            <w:bookmarkStart w:id="0" w:name="_GoBack"/>
            <w:bookmarkEnd w:id="0"/>
          </w:p>
          <w:p w14:paraId="7B5D61B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b w:val="0"/>
                <w:bCs w:val="0"/>
                <w:color w:val="000000"/>
                <w:kern w:val="0"/>
                <w:sz w:val="24"/>
                <w:szCs w:val="24"/>
                <w:highlight w:val="none"/>
                <w:lang w:val="en-US" w:eastAsia="zh-CN" w:bidi="ar"/>
              </w:rPr>
            </w:pPr>
          </w:p>
        </w:tc>
      </w:tr>
      <w:tr w14:paraId="522B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14:paraId="6BCF6ABC">
            <w:pPr>
              <w:snapToGrid w:val="0"/>
              <w:spacing w:before="156" w:beforeLines="50" w:after="156" w:afterLines="50" w:line="240" w:lineRule="atLeast"/>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p>
        </w:tc>
        <w:tc>
          <w:tcPr>
            <w:tcW w:w="6387" w:type="dxa"/>
            <w:vAlign w:val="center"/>
          </w:tcPr>
          <w:p w14:paraId="2B0A747E">
            <w:pPr>
              <w:snapToGrid w:val="0"/>
              <w:spacing w:before="156" w:beforeLines="50" w:after="156" w:afterLines="50" w:line="240" w:lineRule="atLeas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无</w:t>
            </w:r>
          </w:p>
        </w:tc>
      </w:tr>
    </w:tbl>
    <w:p w14:paraId="2EB7950E"/>
    <w:sectPr>
      <w:pgSz w:w="11906" w:h="16838"/>
      <w:pgMar w:top="1383" w:right="1800" w:bottom="138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lMGZjMTE1OTA3MDIyYTJiMjA4Mzc2NWUwYjg5ZGYifQ=="/>
  </w:docVars>
  <w:rsids>
    <w:rsidRoot w:val="00173CCC"/>
    <w:rsid w:val="000A0163"/>
    <w:rsid w:val="000B5501"/>
    <w:rsid w:val="00173CCC"/>
    <w:rsid w:val="00585B6D"/>
    <w:rsid w:val="008B1A8D"/>
    <w:rsid w:val="00A13A40"/>
    <w:rsid w:val="00B22BC6"/>
    <w:rsid w:val="00C5411B"/>
    <w:rsid w:val="00D02523"/>
    <w:rsid w:val="00E42E18"/>
    <w:rsid w:val="00F376CF"/>
    <w:rsid w:val="02AD41BE"/>
    <w:rsid w:val="06075020"/>
    <w:rsid w:val="070B6B66"/>
    <w:rsid w:val="072E241B"/>
    <w:rsid w:val="0DDB7591"/>
    <w:rsid w:val="13530D75"/>
    <w:rsid w:val="141A7089"/>
    <w:rsid w:val="157E0E4B"/>
    <w:rsid w:val="1681299E"/>
    <w:rsid w:val="182365F5"/>
    <w:rsid w:val="18D4565B"/>
    <w:rsid w:val="1A7F6865"/>
    <w:rsid w:val="1AB175CD"/>
    <w:rsid w:val="1C781CF2"/>
    <w:rsid w:val="1E0C3498"/>
    <w:rsid w:val="20E54D00"/>
    <w:rsid w:val="20F9530E"/>
    <w:rsid w:val="21AB0397"/>
    <w:rsid w:val="23116E55"/>
    <w:rsid w:val="23B9013C"/>
    <w:rsid w:val="25FE1CD7"/>
    <w:rsid w:val="26A12196"/>
    <w:rsid w:val="27A71389"/>
    <w:rsid w:val="29445189"/>
    <w:rsid w:val="2B667F60"/>
    <w:rsid w:val="2ECE56A3"/>
    <w:rsid w:val="31572824"/>
    <w:rsid w:val="35F83418"/>
    <w:rsid w:val="36CC15BF"/>
    <w:rsid w:val="376D427E"/>
    <w:rsid w:val="377F3C80"/>
    <w:rsid w:val="3AF10618"/>
    <w:rsid w:val="3D580050"/>
    <w:rsid w:val="3D6F7148"/>
    <w:rsid w:val="3EC251B0"/>
    <w:rsid w:val="3F6A0B96"/>
    <w:rsid w:val="4024246B"/>
    <w:rsid w:val="417168B8"/>
    <w:rsid w:val="419D24D5"/>
    <w:rsid w:val="440D58A6"/>
    <w:rsid w:val="44325F1E"/>
    <w:rsid w:val="45FF375F"/>
    <w:rsid w:val="4BE75683"/>
    <w:rsid w:val="4F38383D"/>
    <w:rsid w:val="5133685B"/>
    <w:rsid w:val="52174373"/>
    <w:rsid w:val="55E41D29"/>
    <w:rsid w:val="58553A82"/>
    <w:rsid w:val="5B8A7E0B"/>
    <w:rsid w:val="5F125F0A"/>
    <w:rsid w:val="60395557"/>
    <w:rsid w:val="60D657EB"/>
    <w:rsid w:val="62B45AC3"/>
    <w:rsid w:val="637A2C3D"/>
    <w:rsid w:val="63DD2D30"/>
    <w:rsid w:val="649966D5"/>
    <w:rsid w:val="65711400"/>
    <w:rsid w:val="6688771A"/>
    <w:rsid w:val="67242BCD"/>
    <w:rsid w:val="684749DC"/>
    <w:rsid w:val="685B3FBE"/>
    <w:rsid w:val="68A035E6"/>
    <w:rsid w:val="690732F3"/>
    <w:rsid w:val="693C4046"/>
    <w:rsid w:val="71EF742C"/>
    <w:rsid w:val="727B1B10"/>
    <w:rsid w:val="73E95F5D"/>
    <w:rsid w:val="7441660B"/>
    <w:rsid w:val="744228E5"/>
    <w:rsid w:val="74BB4393"/>
    <w:rsid w:val="79256331"/>
    <w:rsid w:val="7C4F2043"/>
    <w:rsid w:val="7C5C1516"/>
    <w:rsid w:val="7E103E89"/>
    <w:rsid w:val="7F280929"/>
    <w:rsid w:val="7F791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autoRedefine/>
    <w:qFormat/>
    <w:uiPriority w:val="9"/>
    <w:pPr>
      <w:spacing w:before="50" w:beforeLines="50" w:after="50" w:afterLines="50"/>
      <w:ind w:firstLine="482" w:firstLineChars="200"/>
      <w:jc w:val="left"/>
      <w:outlineLvl w:val="0"/>
    </w:pPr>
    <w:rPr>
      <w:rFonts w:hint="eastAsia" w:ascii="宋体" w:hAnsi="宋体" w:eastAsia="宋体" w:cs="Times New Roman"/>
      <w:b/>
      <w:bCs/>
      <w:kern w:val="44"/>
      <w:sz w:val="24"/>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40" w:after="40" w:line="360" w:lineRule="auto"/>
      <w:outlineLvl w:val="2"/>
    </w:pPr>
    <w:rPr>
      <w:b/>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1"/>
    <w:autoRedefine/>
    <w:unhideWhenUsed/>
    <w:qFormat/>
    <w:uiPriority w:val="99"/>
    <w:pPr>
      <w:jc w:val="left"/>
    </w:pPr>
  </w:style>
  <w:style w:type="paragraph" w:styleId="6">
    <w:name w:val="footer"/>
    <w:basedOn w:val="1"/>
    <w:link w:val="19"/>
    <w:autoRedefine/>
    <w:unhideWhenUsed/>
    <w:qFormat/>
    <w:uiPriority w:val="99"/>
    <w:pPr>
      <w:tabs>
        <w:tab w:val="center" w:pos="4153"/>
        <w:tab w:val="right" w:pos="8306"/>
      </w:tabs>
      <w:snapToGrid w:val="0"/>
      <w:jc w:val="left"/>
    </w:pPr>
    <w:rPr>
      <w:sz w:val="18"/>
      <w:szCs w:val="18"/>
    </w:rPr>
  </w:style>
  <w:style w:type="paragraph" w:styleId="7">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9">
    <w:name w:val="Normal (Web)"/>
    <w:basedOn w:val="1"/>
    <w:autoRedefine/>
    <w:unhideWhenUsed/>
    <w:qFormat/>
    <w:uiPriority w:val="99"/>
    <w:pPr>
      <w:spacing w:beforeAutospacing="1" w:afterAutospacing="1"/>
      <w:jc w:val="left"/>
    </w:pPr>
    <w:rPr>
      <w:rFonts w:cs="Times New Roman"/>
      <w:kern w:val="0"/>
      <w:sz w:val="24"/>
    </w:rPr>
  </w:style>
  <w:style w:type="paragraph" w:styleId="10">
    <w:name w:val="annotation subject"/>
    <w:basedOn w:val="5"/>
    <w:next w:val="5"/>
    <w:link w:val="22"/>
    <w:autoRedefine/>
    <w:unhideWhenUsed/>
    <w:qFormat/>
    <w:uiPriority w:val="99"/>
    <w:rPr>
      <w:b/>
      <w:bCs/>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autoRedefine/>
    <w:unhideWhenUsed/>
    <w:qFormat/>
    <w:uiPriority w:val="99"/>
    <w:rPr>
      <w:color w:val="0563C1" w:themeColor="hyperlink"/>
      <w:u w:val="single"/>
      <w14:textFill>
        <w14:solidFill>
          <w14:schemeClr w14:val="hlink"/>
        </w14:solidFill>
      </w14:textFill>
    </w:rPr>
  </w:style>
  <w:style w:type="character" w:styleId="16">
    <w:name w:val="annotation reference"/>
    <w:basedOn w:val="13"/>
    <w:autoRedefine/>
    <w:unhideWhenUsed/>
    <w:qFormat/>
    <w:uiPriority w:val="99"/>
    <w:rPr>
      <w:sz w:val="21"/>
      <w:szCs w:val="21"/>
    </w:rPr>
  </w:style>
  <w:style w:type="paragraph" w:customStyle="1" w:styleId="17">
    <w:name w:val="列表段落1"/>
    <w:basedOn w:val="1"/>
    <w:autoRedefine/>
    <w:qFormat/>
    <w:uiPriority w:val="34"/>
    <w:pPr>
      <w:ind w:firstLine="420" w:firstLineChars="200"/>
    </w:pPr>
  </w:style>
  <w:style w:type="character" w:customStyle="1" w:styleId="18">
    <w:name w:val="页眉 字符"/>
    <w:basedOn w:val="13"/>
    <w:link w:val="7"/>
    <w:autoRedefine/>
    <w:qFormat/>
    <w:uiPriority w:val="99"/>
    <w:rPr>
      <w:sz w:val="18"/>
      <w:szCs w:val="18"/>
    </w:rPr>
  </w:style>
  <w:style w:type="character" w:customStyle="1" w:styleId="19">
    <w:name w:val="页脚 字符"/>
    <w:basedOn w:val="13"/>
    <w:link w:val="6"/>
    <w:autoRedefine/>
    <w:qFormat/>
    <w:uiPriority w:val="99"/>
    <w:rPr>
      <w:sz w:val="18"/>
      <w:szCs w:val="18"/>
    </w:rPr>
  </w:style>
  <w:style w:type="paragraph" w:customStyle="1" w:styleId="20">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1">
    <w:name w:val="批注文字 字符"/>
    <w:basedOn w:val="13"/>
    <w:link w:val="5"/>
    <w:autoRedefine/>
    <w:qFormat/>
    <w:uiPriority w:val="99"/>
  </w:style>
  <w:style w:type="character" w:customStyle="1" w:styleId="22">
    <w:name w:val="批注主题 字符"/>
    <w:basedOn w:val="21"/>
    <w:link w:val="10"/>
    <w:autoRedefine/>
    <w:semiHidden/>
    <w:qFormat/>
    <w:uiPriority w:val="99"/>
    <w:rPr>
      <w:b/>
      <w:bCs/>
    </w:rPr>
  </w:style>
  <w:style w:type="paragraph" w:customStyle="1" w:styleId="23">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4">
    <w:name w:val="标题 1 字符"/>
    <w:link w:val="2"/>
    <w:autoRedefine/>
    <w:qFormat/>
    <w:uiPriority w:val="9"/>
    <w:rPr>
      <w:rFonts w:hint="eastAsia" w:ascii="宋体" w:hAnsi="宋体" w:eastAsia="宋体" w:cs="Times New Roman"/>
      <w:b/>
      <w:bCs/>
      <w:kern w:val="44"/>
      <w:sz w:val="24"/>
      <w:szCs w:val="48"/>
    </w:rPr>
  </w:style>
  <w:style w:type="paragraph" w:customStyle="1" w:styleId="25">
    <w:name w:val="_Style 6"/>
    <w:basedOn w:val="1"/>
    <w:qFormat/>
    <w:uiPriority w:val="34"/>
    <w:pPr>
      <w:ind w:firstLine="420" w:firstLineChars="200"/>
    </w:pPr>
    <w:rPr>
      <w:rFonts w:ascii="Calibri" w:hAnsi="Calibri" w:eastAsia="宋体" w:cs="Times New Roman"/>
      <w:szCs w:val="22"/>
    </w:rPr>
  </w:style>
  <w:style w:type="paragraph" w:styleId="2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2449</Words>
  <Characters>2548</Characters>
  <Lines>17</Lines>
  <Paragraphs>5</Paragraphs>
  <TotalTime>24</TotalTime>
  <ScaleCrop>false</ScaleCrop>
  <LinksUpToDate>false</LinksUpToDate>
  <CharactersWithSpaces>2631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2025-02-28T08:41:00Z</dcterms:created>
  <dc:creator>WL</dc:creator>
  <cp:lastModifiedBy>gechan</cp:lastModifiedBy>
  <cp:lastPrinted>2022-11-29T01:19:00Z</cp:lastPrinted>
  <dcterms:modified xsi:type="dcterms:W3CDTF">2025-09-22T06:15:50Z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685ED79BE74946A4BE615C06CE6A1F34_13</vt:lpwstr>
  </property>
  <property fmtid="{D5CDD505-2E9C-101B-9397-08002B2CF9AE}" pid="4" name="KSOTemplateDocerSaveRecord">
    <vt:lpwstr>eyJoZGlkIjoiZjI2MThiZmNlMjRjNDkyN2Y1ZjUwZWZjZTIwYThiYjIiLCJ1c2VySWQiOiIyOTE1MzI3MjgifQ==</vt:lpwstr>
  </property>
</Properties>
</file>