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0D" w:rsidRDefault="0090450D" w:rsidP="0090450D">
      <w:pPr>
        <w:keepNext/>
        <w:keepLines/>
        <w:spacing w:before="260" w:after="260" w:line="360" w:lineRule="auto"/>
        <w:jc w:val="center"/>
        <w:outlineLvl w:val="1"/>
        <w:rPr>
          <w:rFonts w:ascii="宋体" w:hAnsi="宋体"/>
          <w:b/>
          <w:bCs/>
          <w:iCs/>
          <w:sz w:val="24"/>
          <w:szCs w:val="24"/>
        </w:rPr>
      </w:pPr>
      <w:r>
        <w:rPr>
          <w:rFonts w:ascii="宋体" w:hAnsi="宋体" w:hint="eastAsia"/>
          <w:b/>
          <w:bCs/>
          <w:iCs/>
          <w:sz w:val="24"/>
          <w:szCs w:val="24"/>
        </w:rPr>
        <w:t>证券代码：688</w:t>
      </w:r>
      <w:r>
        <w:rPr>
          <w:rFonts w:ascii="宋体" w:hAnsi="宋体"/>
          <w:b/>
          <w:bCs/>
          <w:iCs/>
          <w:sz w:val="24"/>
          <w:szCs w:val="24"/>
        </w:rPr>
        <w:t>577</w:t>
      </w:r>
      <w:r>
        <w:rPr>
          <w:rFonts w:ascii="宋体" w:hAnsi="宋体" w:hint="eastAsia"/>
          <w:b/>
          <w:bCs/>
          <w:iCs/>
          <w:sz w:val="24"/>
          <w:szCs w:val="24"/>
        </w:rPr>
        <w:t xml:space="preserve">            </w:t>
      </w:r>
      <w:r>
        <w:rPr>
          <w:rFonts w:ascii="宋体" w:hAnsi="宋体"/>
          <w:b/>
          <w:bCs/>
          <w:iCs/>
          <w:sz w:val="24"/>
          <w:szCs w:val="24"/>
        </w:rPr>
        <w:t xml:space="preserve">  </w:t>
      </w:r>
      <w:r>
        <w:rPr>
          <w:rFonts w:ascii="宋体" w:hAnsi="宋体" w:hint="eastAsia"/>
          <w:b/>
          <w:bCs/>
          <w:iCs/>
          <w:sz w:val="24"/>
          <w:szCs w:val="24"/>
        </w:rPr>
        <w:t xml:space="preserve">             证券简称：浙海德曼</w:t>
      </w:r>
    </w:p>
    <w:p w:rsidR="0090450D" w:rsidRDefault="00B7771E" w:rsidP="0090450D">
      <w:pPr>
        <w:keepNext/>
        <w:keepLines/>
        <w:spacing w:before="260" w:after="260" w:line="360" w:lineRule="auto"/>
        <w:jc w:val="center"/>
        <w:outlineLvl w:val="1"/>
        <w:rPr>
          <w:rFonts w:ascii="宋体" w:hAnsi="宋体"/>
          <w:b/>
          <w:bCs/>
          <w:iCs/>
          <w:sz w:val="24"/>
          <w:szCs w:val="24"/>
        </w:rPr>
      </w:pPr>
      <w:r>
        <w:rPr>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7c469db35eacef598dc68b5cef8a9d6" style="width:219.75pt;height:47.25pt;visibility:visible;mso-wrap-style:square">
            <v:imagedata r:id="rId6" o:title="7c469db35eacef598dc68b5cef8a9d6"/>
          </v:shape>
        </w:pict>
      </w:r>
    </w:p>
    <w:p w:rsidR="0090450D" w:rsidRPr="00BD160D" w:rsidRDefault="0090450D" w:rsidP="0090450D">
      <w:pPr>
        <w:keepNext/>
        <w:keepLines/>
        <w:spacing w:before="260" w:after="260" w:line="360" w:lineRule="auto"/>
        <w:jc w:val="center"/>
        <w:outlineLvl w:val="1"/>
        <w:rPr>
          <w:rFonts w:ascii="宋体" w:hAnsi="宋体"/>
          <w:b/>
          <w:bCs/>
          <w:sz w:val="30"/>
          <w:szCs w:val="30"/>
        </w:rPr>
      </w:pPr>
      <w:r w:rsidRPr="00BD160D">
        <w:rPr>
          <w:rFonts w:ascii="宋体" w:hAnsi="宋体" w:hint="eastAsia"/>
          <w:b/>
          <w:bCs/>
          <w:sz w:val="30"/>
          <w:szCs w:val="30"/>
        </w:rPr>
        <w:t>浙江海德曼智能装备股份有限公司投资者关系活动记录表</w:t>
      </w:r>
    </w:p>
    <w:p w:rsidR="00C87F14" w:rsidRPr="00EC71A1" w:rsidRDefault="00C87F14">
      <w:pPr>
        <w:jc w:val="center"/>
        <w:rPr>
          <w:rFonts w:ascii="宋体" w:hAnsi="宋体"/>
          <w:sz w:val="24"/>
          <w:szCs w:val="24"/>
        </w:rPr>
      </w:pPr>
    </w:p>
    <w:p w:rsidR="00C87F14" w:rsidRPr="00EC71A1" w:rsidRDefault="006B7E09" w:rsidP="006B7E09">
      <w:pPr>
        <w:wordWrap w:val="0"/>
        <w:ind w:right="240"/>
        <w:jc w:val="right"/>
        <w:rPr>
          <w:rFonts w:ascii="宋体" w:hAnsi="宋体"/>
          <w:b/>
          <w:sz w:val="24"/>
          <w:szCs w:val="24"/>
        </w:rPr>
      </w:pPr>
      <w:r w:rsidRPr="00EC71A1">
        <w:rPr>
          <w:rFonts w:ascii="宋体" w:hAnsi="宋体" w:hint="eastAsia"/>
          <w:b/>
          <w:sz w:val="24"/>
          <w:szCs w:val="24"/>
        </w:rPr>
        <w:t xml:space="preserve">  </w:t>
      </w:r>
      <w:r w:rsidR="00EC71A1" w:rsidRPr="00EC71A1">
        <w:rPr>
          <w:rFonts w:ascii="宋体" w:hAnsi="宋体" w:hint="eastAsia"/>
          <w:b/>
          <w:sz w:val="24"/>
          <w:szCs w:val="24"/>
        </w:rPr>
        <w:t>编号：</w:t>
      </w:r>
      <w:r w:rsidR="00512346" w:rsidRPr="00EC71A1">
        <w:rPr>
          <w:rFonts w:ascii="宋体" w:hAnsi="宋体" w:hint="eastAsia"/>
          <w:b/>
          <w:sz w:val="24"/>
          <w:szCs w:val="24"/>
        </w:rPr>
        <w:t>2</w:t>
      </w:r>
      <w:r w:rsidR="00512346" w:rsidRPr="00EC71A1">
        <w:rPr>
          <w:rFonts w:ascii="宋体" w:hAnsi="宋体"/>
          <w:b/>
          <w:sz w:val="24"/>
          <w:szCs w:val="24"/>
        </w:rPr>
        <w:t>026-001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C87F14" w:rsidTr="00EC71A1">
        <w:trPr>
          <w:trHeight w:val="838"/>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投资者关系活动类别</w:t>
            </w:r>
          </w:p>
        </w:tc>
        <w:tc>
          <w:tcPr>
            <w:tcW w:w="7191" w:type="dxa"/>
            <w:shd w:val="clear" w:color="auto" w:fill="auto"/>
            <w:vAlign w:val="center"/>
          </w:tcPr>
          <w:p w:rsidR="00C87F14" w:rsidRPr="00EC71A1" w:rsidRDefault="00EC71A1" w:rsidP="00EC71A1">
            <w:pPr>
              <w:spacing w:line="360" w:lineRule="auto"/>
              <w:rPr>
                <w:sz w:val="24"/>
                <w:szCs w:val="24"/>
              </w:rPr>
            </w:pPr>
            <w:r w:rsidRPr="00EC71A1">
              <w:rPr>
                <w:rFonts w:ascii="宋体" w:hAnsi="宋体" w:cs="宋体" w:hint="eastAsia"/>
                <w:sz w:val="24"/>
                <w:szCs w:val="24"/>
              </w:rPr>
              <w:t>业绩说明会</w:t>
            </w:r>
          </w:p>
        </w:tc>
      </w:tr>
      <w:tr w:rsidR="00C87F14" w:rsidTr="00EC71A1">
        <w:trPr>
          <w:trHeight w:val="838"/>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活动主题</w:t>
            </w:r>
          </w:p>
        </w:tc>
        <w:tc>
          <w:tcPr>
            <w:tcW w:w="7191" w:type="dxa"/>
            <w:shd w:val="clear" w:color="auto" w:fill="auto"/>
            <w:vAlign w:val="center"/>
          </w:tcPr>
          <w:p w:rsidR="00C87F14" w:rsidRPr="00EC71A1" w:rsidRDefault="00EC71A1">
            <w:pPr>
              <w:rPr>
                <w:sz w:val="24"/>
                <w:szCs w:val="24"/>
              </w:rPr>
            </w:pPr>
            <w:r w:rsidRPr="00EC71A1">
              <w:rPr>
                <w:rFonts w:ascii="宋体" w:hAnsi="宋体" w:cs="宋体" w:hint="eastAsia"/>
                <w:bCs/>
                <w:iCs/>
                <w:color w:val="000000"/>
                <w:sz w:val="24"/>
                <w:lang w:val="en-GB"/>
              </w:rPr>
              <w:t>浙海德曼2025年度暨2026第一季度业绩说明会</w:t>
            </w:r>
          </w:p>
        </w:tc>
      </w:tr>
      <w:tr w:rsidR="00C87F14" w:rsidTr="00EC71A1">
        <w:trPr>
          <w:trHeight w:val="799"/>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时间</w:t>
            </w:r>
          </w:p>
        </w:tc>
        <w:tc>
          <w:tcPr>
            <w:tcW w:w="7191" w:type="dxa"/>
            <w:shd w:val="clear" w:color="auto" w:fill="auto"/>
            <w:vAlign w:val="center"/>
          </w:tcPr>
          <w:p w:rsidR="00C87F14" w:rsidRPr="00EC71A1" w:rsidRDefault="00EC71A1">
            <w:pPr>
              <w:rPr>
                <w:sz w:val="24"/>
                <w:szCs w:val="24"/>
              </w:rPr>
            </w:pPr>
            <w:r w:rsidRPr="00EC71A1">
              <w:rPr>
                <w:rFonts w:ascii="宋体" w:hAnsi="宋体" w:cs="宋体" w:hint="eastAsia"/>
                <w:bCs/>
                <w:iCs/>
                <w:color w:val="000000"/>
                <w:sz w:val="24"/>
              </w:rPr>
              <w:t>2026-05-15 - 10:00-11:00</w:t>
            </w:r>
          </w:p>
        </w:tc>
      </w:tr>
      <w:tr w:rsidR="00C87F14" w:rsidTr="00EC71A1">
        <w:trPr>
          <w:trHeight w:val="838"/>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地点</w:t>
            </w:r>
            <w:r w:rsidRPr="00EC71A1">
              <w:rPr>
                <w:rFonts w:ascii="宋体" w:hAnsi="宋体" w:hint="eastAsia"/>
                <w:b/>
                <w:sz w:val="24"/>
                <w:szCs w:val="24"/>
              </w:rPr>
              <w:t>/</w:t>
            </w:r>
            <w:r w:rsidRPr="00EC71A1">
              <w:rPr>
                <w:rFonts w:hint="eastAsia"/>
                <w:b/>
                <w:sz w:val="24"/>
                <w:szCs w:val="24"/>
              </w:rPr>
              <w:t>方式</w:t>
            </w:r>
          </w:p>
        </w:tc>
        <w:tc>
          <w:tcPr>
            <w:tcW w:w="7191" w:type="dxa"/>
            <w:shd w:val="clear" w:color="auto" w:fill="auto"/>
          </w:tcPr>
          <w:p w:rsidR="00C87F14" w:rsidRPr="00EC71A1" w:rsidRDefault="00EC71A1" w:rsidP="00EC71A1">
            <w:pPr>
              <w:spacing w:line="360" w:lineRule="auto"/>
              <w:rPr>
                <w:rFonts w:ascii="宋体" w:hAnsi="宋体"/>
                <w:bCs/>
                <w:sz w:val="24"/>
              </w:rPr>
            </w:pPr>
            <w:r w:rsidRPr="00EC71A1">
              <w:rPr>
                <w:rFonts w:ascii="宋体" w:hAnsi="宋体" w:hint="eastAsia"/>
                <w:bCs/>
                <w:sz w:val="24"/>
              </w:rPr>
              <w:t xml:space="preserve">上证路演中心 </w:t>
            </w:r>
            <w:hyperlink r:id="rId7" w:history="1">
              <w:r w:rsidRPr="00EC71A1">
                <w:rPr>
                  <w:rStyle w:val="a5"/>
                  <w:rFonts w:ascii="宋体" w:hAnsi="宋体" w:hint="eastAsia"/>
                  <w:bCs/>
                  <w:sz w:val="24"/>
                </w:rPr>
                <w:t>https://roadshow.sseinfo.com</w:t>
              </w:r>
            </w:hyperlink>
          </w:p>
          <w:p w:rsidR="00C87F14" w:rsidRPr="00EC71A1" w:rsidRDefault="00EC71A1" w:rsidP="00EC71A1">
            <w:pPr>
              <w:spacing w:line="360" w:lineRule="auto"/>
              <w:rPr>
                <w:sz w:val="24"/>
                <w:szCs w:val="24"/>
              </w:rPr>
            </w:pPr>
            <w:r w:rsidRPr="00EC71A1">
              <w:rPr>
                <w:rFonts w:ascii="宋体" w:hAnsi="宋体" w:hint="eastAsia"/>
                <w:bCs/>
                <w:sz w:val="24"/>
              </w:rPr>
              <w:t>网络文字互动</w:t>
            </w:r>
          </w:p>
        </w:tc>
      </w:tr>
      <w:tr w:rsidR="00C87F14" w:rsidTr="00EC71A1">
        <w:trPr>
          <w:trHeight w:val="838"/>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参会人员</w:t>
            </w:r>
          </w:p>
        </w:tc>
        <w:tc>
          <w:tcPr>
            <w:tcW w:w="7191" w:type="dxa"/>
            <w:shd w:val="clear" w:color="auto" w:fill="auto"/>
            <w:vAlign w:val="center"/>
          </w:tcPr>
          <w:p w:rsidR="00C87F14" w:rsidRPr="00EC71A1" w:rsidRDefault="00EC71A1" w:rsidP="00EC71A1">
            <w:pPr>
              <w:spacing w:line="360" w:lineRule="auto"/>
              <w:rPr>
                <w:sz w:val="24"/>
                <w:szCs w:val="24"/>
              </w:rPr>
            </w:pPr>
            <w:r w:rsidRPr="00EC71A1">
              <w:rPr>
                <w:rFonts w:ascii="宋体" w:hAnsi="宋体" w:cs="宋体" w:hint="eastAsia"/>
                <w:sz w:val="24"/>
                <w:szCs w:val="24"/>
              </w:rPr>
              <w:t>独立董事：娄杭</w:t>
            </w:r>
            <w:r w:rsidR="00512346" w:rsidRPr="00EC71A1">
              <w:rPr>
                <w:rFonts w:ascii="宋体" w:hAnsi="宋体" w:cs="宋体" w:hint="eastAsia"/>
                <w:sz w:val="24"/>
                <w:szCs w:val="24"/>
              </w:rPr>
              <w:t>；</w:t>
            </w:r>
            <w:r w:rsidRPr="00EC71A1">
              <w:rPr>
                <w:rFonts w:ascii="宋体" w:hAnsi="宋体" w:cs="宋体" w:hint="eastAsia"/>
                <w:sz w:val="24"/>
                <w:szCs w:val="24"/>
              </w:rPr>
              <w:t>财务负责人：何丽云</w:t>
            </w:r>
            <w:r w:rsidR="00512346" w:rsidRPr="00EC71A1">
              <w:rPr>
                <w:rFonts w:ascii="宋体" w:hAnsi="宋体" w:cs="宋体" w:hint="eastAsia"/>
                <w:sz w:val="24"/>
                <w:szCs w:val="24"/>
              </w:rPr>
              <w:t>；</w:t>
            </w:r>
            <w:r w:rsidRPr="00EC71A1">
              <w:rPr>
                <w:rFonts w:ascii="宋体" w:hAnsi="宋体" w:cs="宋体" w:hint="eastAsia"/>
                <w:sz w:val="24"/>
                <w:szCs w:val="24"/>
              </w:rPr>
              <w:t>董事、总经理：白生文</w:t>
            </w:r>
            <w:r w:rsidR="00512346" w:rsidRPr="00EC71A1">
              <w:rPr>
                <w:rFonts w:ascii="宋体" w:hAnsi="宋体" w:cs="宋体" w:hint="eastAsia"/>
                <w:sz w:val="24"/>
                <w:szCs w:val="24"/>
              </w:rPr>
              <w:t>；</w:t>
            </w:r>
            <w:r w:rsidRPr="00EC71A1">
              <w:rPr>
                <w:rFonts w:ascii="宋体" w:hAnsi="宋体" w:cs="宋体" w:hint="eastAsia"/>
                <w:sz w:val="24"/>
                <w:szCs w:val="24"/>
              </w:rPr>
              <w:t>副总经理、董事会秘书：林素君</w:t>
            </w:r>
          </w:p>
        </w:tc>
      </w:tr>
      <w:tr w:rsidR="00C87F14" w:rsidTr="00EC71A1">
        <w:trPr>
          <w:trHeight w:val="557"/>
        </w:trPr>
        <w:tc>
          <w:tcPr>
            <w:tcW w:w="1526" w:type="dxa"/>
            <w:shd w:val="clear" w:color="auto" w:fill="auto"/>
            <w:vAlign w:val="center"/>
          </w:tcPr>
          <w:p w:rsidR="00C87F14" w:rsidRPr="00EC71A1" w:rsidRDefault="00EC71A1">
            <w:pPr>
              <w:rPr>
                <w:b/>
                <w:sz w:val="24"/>
                <w:szCs w:val="24"/>
              </w:rPr>
            </w:pPr>
            <w:r w:rsidRPr="00EC71A1">
              <w:rPr>
                <w:rFonts w:hint="eastAsia"/>
                <w:b/>
                <w:sz w:val="24"/>
                <w:szCs w:val="24"/>
              </w:rPr>
              <w:t>投资者关系活动主要内容介绍</w:t>
            </w:r>
          </w:p>
        </w:tc>
        <w:tc>
          <w:tcPr>
            <w:tcW w:w="7191" w:type="dxa"/>
            <w:shd w:val="clear" w:color="auto" w:fill="auto"/>
          </w:tcPr>
          <w:p w:rsidR="00512346" w:rsidRPr="00EC71A1" w:rsidRDefault="00512346">
            <w:pPr>
              <w:rPr>
                <w:rFonts w:ascii="宋体"/>
                <w:sz w:val="24"/>
              </w:rPr>
            </w:pPr>
          </w:p>
          <w:p w:rsidR="00512346" w:rsidRPr="00EC71A1" w:rsidRDefault="00512346">
            <w:pPr>
              <w:rPr>
                <w:rFonts w:ascii="宋体"/>
                <w:b/>
                <w:sz w:val="24"/>
              </w:rPr>
            </w:pPr>
          </w:p>
          <w:p w:rsidR="00C87F14" w:rsidRPr="00EC71A1" w:rsidRDefault="00EC71A1" w:rsidP="00EC71A1">
            <w:pPr>
              <w:spacing w:line="360" w:lineRule="auto"/>
              <w:rPr>
                <w:b/>
              </w:rPr>
            </w:pPr>
            <w:r w:rsidRPr="00EC71A1">
              <w:rPr>
                <w:rFonts w:ascii="宋体"/>
                <w:b/>
                <w:sz w:val="24"/>
              </w:rPr>
              <w:t>1、请介绍一下公司的AI战略</w:t>
            </w:r>
          </w:p>
          <w:p w:rsidR="00C87F14" w:rsidRPr="00EC71A1" w:rsidRDefault="00EC71A1" w:rsidP="00EC71A1">
            <w:pPr>
              <w:spacing w:line="360" w:lineRule="auto"/>
              <w:rPr>
                <w:rFonts w:ascii="宋体"/>
                <w:sz w:val="24"/>
              </w:rPr>
            </w:pPr>
            <w:r w:rsidRPr="00EC71A1">
              <w:rPr>
                <w:rFonts w:ascii="宋体"/>
                <w:sz w:val="24"/>
              </w:rPr>
              <w:t>答:感谢您的提问！AI技术应用是数控机床智能化核心方向。通过工业软件应用和开发实现数控机床智能化是公司AI技术应用的基本战略。公司在工业软件开发和应用方面实现了突破，并在客户现场取得了实际业绩，效果明显。公司与国内知名数控系统厂家联合开发的海德曼数控系统已经投放市场，不断优化和升级版本正在陆续推出。2026年公司整合了机床电气设计、软件设计人才队伍，在技术研发中心成立了智能开发部，该部门的成立进一步提高了产品智能化工作的重要性和更加直接的资源支持。工业软件开发的主要任务包括自适应加工、热补偿拓展 、螺纹磨软件、车齿软件、空间</w:t>
            </w:r>
            <w:r w:rsidRPr="00EC71A1">
              <w:rPr>
                <w:rFonts w:ascii="宋体"/>
                <w:sz w:val="24"/>
              </w:rPr>
              <w:lastRenderedPageBreak/>
              <w:t>误差补偿、自适应进给、海德曼专家系统等，这些任务组成公司产品智能化的基础支撑。</w:t>
            </w:r>
          </w:p>
          <w:p w:rsidR="00512346" w:rsidRPr="00EC71A1" w:rsidRDefault="00512346">
            <w:pPr>
              <w:rPr>
                <w:rFonts w:ascii="宋体"/>
                <w:sz w:val="24"/>
              </w:rPr>
            </w:pPr>
          </w:p>
          <w:p w:rsidR="00C87F14" w:rsidRPr="00EC71A1" w:rsidRDefault="00EC71A1" w:rsidP="00EC71A1">
            <w:pPr>
              <w:spacing w:line="360" w:lineRule="auto"/>
              <w:rPr>
                <w:b/>
              </w:rPr>
            </w:pPr>
            <w:r w:rsidRPr="00EC71A1">
              <w:rPr>
                <w:rFonts w:ascii="宋体"/>
                <w:b/>
                <w:sz w:val="24"/>
              </w:rPr>
              <w:t>2、请问，公司在2026年的发力点是哪些？</w:t>
            </w:r>
          </w:p>
          <w:p w:rsidR="00DB27B1" w:rsidRPr="00EC71A1" w:rsidRDefault="00EC71A1" w:rsidP="00EC71A1">
            <w:pPr>
              <w:spacing w:line="360" w:lineRule="auto"/>
              <w:rPr>
                <w:rFonts w:ascii="宋体"/>
                <w:sz w:val="24"/>
              </w:rPr>
            </w:pPr>
            <w:r w:rsidRPr="00EC71A1">
              <w:rPr>
                <w:rFonts w:ascii="宋体"/>
                <w:sz w:val="24"/>
              </w:rPr>
              <w:t>答:感谢您的提问！2026年公司将继续强化和提升在车削领域的竞争优势，不断夯实基础技术和核心技术，不断完善制造体系和提高制造质量，以车削为基本平台，大力开展高精度技术、超高精密技术、复合化技术、智能制造技术领域的基础技术掌握和核心技术突破。公司未来发力点主要包括</w:t>
            </w:r>
            <w:r w:rsidR="007A5813">
              <w:rPr>
                <w:rFonts w:ascii="宋体" w:hint="eastAsia"/>
                <w:sz w:val="24"/>
              </w:rPr>
              <w:t>五</w:t>
            </w:r>
            <w:r w:rsidRPr="00EC71A1">
              <w:rPr>
                <w:rFonts w:ascii="宋体"/>
                <w:sz w:val="24"/>
              </w:rPr>
              <w:t xml:space="preserve">个方面： </w:t>
            </w:r>
            <w:bookmarkStart w:id="0" w:name="_GoBack"/>
            <w:bookmarkEnd w:id="0"/>
          </w:p>
          <w:p w:rsidR="00DB27B1" w:rsidRPr="00EC71A1" w:rsidRDefault="00EC71A1" w:rsidP="00EC71A1">
            <w:pPr>
              <w:spacing w:line="360" w:lineRule="auto"/>
              <w:rPr>
                <w:rFonts w:ascii="宋体"/>
                <w:sz w:val="24"/>
              </w:rPr>
            </w:pPr>
            <w:r w:rsidRPr="00EC71A1">
              <w:rPr>
                <w:rFonts w:ascii="宋体"/>
                <w:sz w:val="24"/>
              </w:rPr>
              <w:t>一是，建立和完善以卧式数控车床为主，立式数控车床为补充的精密级、高精密级数控车床系列，包括配置铣削功能、Y轴功能、C轴功能、副主轴功能的车铣复合中心。</w:t>
            </w:r>
          </w:p>
          <w:p w:rsidR="00DB27B1" w:rsidRPr="00EC71A1" w:rsidRDefault="00EC71A1" w:rsidP="00EC71A1">
            <w:pPr>
              <w:spacing w:line="360" w:lineRule="auto"/>
              <w:rPr>
                <w:rFonts w:ascii="宋体"/>
                <w:sz w:val="24"/>
              </w:rPr>
            </w:pPr>
            <w:r w:rsidRPr="00EC71A1">
              <w:rPr>
                <w:rFonts w:ascii="宋体"/>
                <w:sz w:val="24"/>
              </w:rPr>
              <w:t xml:space="preserve">二是，开展以客户使用为主的工艺创新和工程创新。以公司的多主轴、多刀塔立式和卧式并行复合加工中心，以及一体式自动化加工单元为基本单元，向客户提供成套自动化解决方案。 </w:t>
            </w:r>
          </w:p>
          <w:p w:rsidR="00DB27B1" w:rsidRPr="00EC71A1" w:rsidRDefault="00EC71A1" w:rsidP="00EC71A1">
            <w:pPr>
              <w:spacing w:line="360" w:lineRule="auto"/>
              <w:rPr>
                <w:rFonts w:ascii="宋体"/>
                <w:sz w:val="24"/>
              </w:rPr>
            </w:pPr>
            <w:r w:rsidRPr="00EC71A1">
              <w:rPr>
                <w:rFonts w:ascii="宋体"/>
                <w:sz w:val="24"/>
              </w:rPr>
              <w:t xml:space="preserve">三是，建立以车削平台为主，配置B轴、A轴、A/C轴的卧式五轴车铣复合中心、立式五轴铣车复合中心，开发车齿工艺、车磨工艺、车铣工艺等加工软件，实现集约化和柔性化加工。 </w:t>
            </w:r>
          </w:p>
          <w:p w:rsidR="00DB27B1" w:rsidRPr="00EC71A1" w:rsidRDefault="00EC71A1" w:rsidP="00EC71A1">
            <w:pPr>
              <w:spacing w:line="360" w:lineRule="auto"/>
              <w:rPr>
                <w:rFonts w:ascii="宋体"/>
                <w:sz w:val="24"/>
              </w:rPr>
            </w:pPr>
            <w:r w:rsidRPr="00EC71A1">
              <w:rPr>
                <w:rFonts w:ascii="宋体"/>
                <w:sz w:val="24"/>
              </w:rPr>
              <w:t xml:space="preserve">四是，开发以静压技术为基本平台的超高精密数控车床系列。超高精密级数控车床在制造业应用非常广泛，目前这个领域基本被国外垄断。超高精密级数控车床在半导体行业、航空航天等领域有着广泛的使用前景。 </w:t>
            </w:r>
          </w:p>
          <w:p w:rsidR="00DB27B1" w:rsidRPr="00EC71A1" w:rsidRDefault="00EC71A1" w:rsidP="00EC71A1">
            <w:pPr>
              <w:spacing w:line="360" w:lineRule="auto"/>
              <w:rPr>
                <w:rFonts w:ascii="宋体"/>
                <w:sz w:val="24"/>
              </w:rPr>
            </w:pPr>
            <w:r w:rsidRPr="00EC71A1">
              <w:rPr>
                <w:rFonts w:ascii="宋体"/>
                <w:sz w:val="24"/>
              </w:rPr>
              <w:t xml:space="preserve">五是，工业软件应用和开发。通过工业软件的应用和开发实现数控机床智能化是公司未来技术开发和产品发展的核心方向。以此引领公司实现更大规模和更高水平发展。 </w:t>
            </w:r>
          </w:p>
          <w:p w:rsidR="00512346" w:rsidRPr="00EC71A1" w:rsidRDefault="00512346" w:rsidP="00EC71A1">
            <w:pPr>
              <w:spacing w:line="460" w:lineRule="auto"/>
              <w:rPr>
                <w:rFonts w:ascii="宋体"/>
                <w:sz w:val="24"/>
              </w:rPr>
            </w:pPr>
          </w:p>
          <w:p w:rsidR="00C87F14" w:rsidRPr="00EC71A1" w:rsidRDefault="00EC71A1" w:rsidP="00EC71A1">
            <w:pPr>
              <w:spacing w:line="360" w:lineRule="auto"/>
              <w:rPr>
                <w:b/>
              </w:rPr>
            </w:pPr>
            <w:r w:rsidRPr="00EC71A1">
              <w:rPr>
                <w:rFonts w:ascii="宋体"/>
                <w:b/>
                <w:sz w:val="24"/>
              </w:rPr>
              <w:t>3、您好，我注意到贵公司2024年及本次均未采用直播形式的业绩说明会并在会后提供视频回放。资本市场愈发重视信息透明度与沟通质量，业绩说明会不仅关系到投资者信息获取，也影响公司公众</w:t>
            </w:r>
            <w:r w:rsidRPr="00EC71A1">
              <w:rPr>
                <w:rFonts w:ascii="宋体"/>
                <w:b/>
                <w:sz w:val="24"/>
              </w:rPr>
              <w:lastRenderedPageBreak/>
              <w:t>形象。视频直播及回放有助于提升信息传播与覆盖范围。请问贵公司2025年的业绩说明会，是否考虑采用视频直播并提供会后回放？此外，是否计划引入线上视频交流，在问答环节通过视频形式回应投资者关切，以增强互动效果并提升公司社会影响力？</w:t>
            </w:r>
          </w:p>
          <w:p w:rsidR="00C87F14" w:rsidRPr="00EC71A1" w:rsidRDefault="00EC71A1" w:rsidP="00EC71A1">
            <w:pPr>
              <w:spacing w:line="360" w:lineRule="auto"/>
              <w:rPr>
                <w:rFonts w:ascii="宋体"/>
                <w:sz w:val="24"/>
              </w:rPr>
            </w:pPr>
            <w:r w:rsidRPr="00EC71A1">
              <w:rPr>
                <w:rFonts w:ascii="宋体"/>
                <w:sz w:val="24"/>
              </w:rPr>
              <w:t>答:感谢您的提问！公司未来将举办形式多样的投资者交流活动，以便让投资者更多的了解公司。</w:t>
            </w:r>
          </w:p>
          <w:p w:rsidR="00C87F14" w:rsidRPr="00EC71A1" w:rsidRDefault="00C87F14" w:rsidP="00EC71A1">
            <w:pPr>
              <w:pStyle w:val="Style6"/>
              <w:spacing w:line="460" w:lineRule="exact"/>
              <w:ind w:firstLineChars="0" w:firstLine="0"/>
              <w:rPr>
                <w:rFonts w:ascii="宋体" w:hAnsi="宋体"/>
                <w:sz w:val="24"/>
                <w:szCs w:val="24"/>
              </w:rPr>
            </w:pPr>
          </w:p>
        </w:tc>
      </w:tr>
    </w:tbl>
    <w:p w:rsidR="00C87F14" w:rsidRDefault="00C87F14"/>
    <w:p w:rsidR="00C87F14" w:rsidRDefault="00C87F14"/>
    <w:sectPr w:rsidR="00C87F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71E" w:rsidRDefault="00B7771E">
      <w:r>
        <w:separator/>
      </w:r>
    </w:p>
  </w:endnote>
  <w:endnote w:type="continuationSeparator" w:id="0">
    <w:p w:rsidR="00B7771E" w:rsidRDefault="00B7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71E" w:rsidRDefault="00B7771E">
      <w:r>
        <w:separator/>
      </w:r>
    </w:p>
  </w:footnote>
  <w:footnote w:type="continuationSeparator" w:id="0">
    <w:p w:rsidR="00B7771E" w:rsidRDefault="00B77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3NTlhNGJhZTk1YmZkMTc2MTM0MTg2MGI3NTFmMTEifQ=="/>
  </w:docVars>
  <w:rsids>
    <w:rsidRoot w:val="00C87F14"/>
    <w:rsid w:val="00004DD9"/>
    <w:rsid w:val="002E3FFA"/>
    <w:rsid w:val="00467E97"/>
    <w:rsid w:val="00512346"/>
    <w:rsid w:val="00686296"/>
    <w:rsid w:val="006B7E09"/>
    <w:rsid w:val="007A5813"/>
    <w:rsid w:val="0090450D"/>
    <w:rsid w:val="00B7771E"/>
    <w:rsid w:val="00C615FE"/>
    <w:rsid w:val="00C87F14"/>
    <w:rsid w:val="00DB27B1"/>
    <w:rsid w:val="00EC71A1"/>
    <w:rsid w:val="00F05D04"/>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6ADB6C-89C2-4612-B11C-0698852D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F05D04"/>
    <w:pPr>
      <w:tabs>
        <w:tab w:val="center" w:pos="4153"/>
        <w:tab w:val="right" w:pos="8306"/>
      </w:tabs>
      <w:snapToGrid w:val="0"/>
      <w:jc w:val="left"/>
    </w:pPr>
    <w:rPr>
      <w:sz w:val="18"/>
      <w:szCs w:val="18"/>
    </w:rPr>
  </w:style>
  <w:style w:type="character" w:customStyle="1" w:styleId="Char">
    <w:name w:val="页脚 Char"/>
    <w:link w:val="a6"/>
    <w:rsid w:val="00F05D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adshow.sseinf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2026-05-15T06:16:00Z</dcterms:created>
  <dcterms:modified xsi:type="dcterms:W3CDTF">2026-05-18T05:44:00Z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