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8630" w14:textId="77777777" w:rsidR="00AF788A" w:rsidRPr="002C45AD" w:rsidRDefault="00AF788A" w:rsidP="00AF788A">
      <w:pPr>
        <w:jc w:val="center"/>
        <w:rPr>
          <w:rFonts w:ascii="宋体" w:eastAsia="宋体" w:hAnsi="宋体"/>
          <w:sz w:val="32"/>
          <w:szCs w:val="32"/>
        </w:rPr>
      </w:pPr>
      <w:r w:rsidRPr="002C45AD">
        <w:rPr>
          <w:rFonts w:ascii="宋体" w:eastAsia="宋体" w:hAnsi="宋体" w:hint="eastAsia"/>
          <w:sz w:val="32"/>
          <w:szCs w:val="32"/>
        </w:rPr>
        <w:t>山东高速股份有限公司</w:t>
      </w:r>
    </w:p>
    <w:p w14:paraId="3DBD910A" w14:textId="082DFA20" w:rsidR="001E33D4" w:rsidRPr="002C45AD" w:rsidRDefault="00AF788A" w:rsidP="00AF788A">
      <w:pPr>
        <w:jc w:val="center"/>
        <w:rPr>
          <w:rFonts w:ascii="宋体" w:eastAsia="宋体" w:hAnsi="宋体"/>
          <w:sz w:val="32"/>
          <w:szCs w:val="32"/>
        </w:rPr>
      </w:pPr>
      <w:r w:rsidRPr="002C45AD">
        <w:rPr>
          <w:rFonts w:ascii="宋体" w:eastAsia="宋体" w:hAnsi="宋体"/>
          <w:sz w:val="32"/>
          <w:szCs w:val="32"/>
        </w:rPr>
        <w:t>202</w:t>
      </w:r>
      <w:r w:rsidR="00A6583E" w:rsidRPr="002C45AD">
        <w:rPr>
          <w:rFonts w:ascii="宋体" w:eastAsia="宋体" w:hAnsi="宋体"/>
          <w:sz w:val="32"/>
          <w:szCs w:val="32"/>
        </w:rPr>
        <w:t>1</w:t>
      </w:r>
      <w:r w:rsidRPr="002C45AD">
        <w:rPr>
          <w:rFonts w:ascii="宋体" w:eastAsia="宋体" w:hAnsi="宋体" w:hint="eastAsia"/>
          <w:sz w:val="32"/>
          <w:szCs w:val="32"/>
        </w:rPr>
        <w:t>年度外部调研纪要（第</w:t>
      </w:r>
      <w:r w:rsidR="00D456C8">
        <w:rPr>
          <w:rFonts w:ascii="宋体" w:eastAsia="宋体" w:hAnsi="宋体" w:cs="微软雅黑" w:hint="eastAsia"/>
          <w:sz w:val="32"/>
          <w:szCs w:val="32"/>
        </w:rPr>
        <w:t>三</w:t>
      </w:r>
      <w:r w:rsidRPr="002C45AD">
        <w:rPr>
          <w:rFonts w:ascii="宋体" w:eastAsia="宋体" w:hAnsi="宋体" w:hint="eastAsia"/>
          <w:sz w:val="32"/>
          <w:szCs w:val="32"/>
        </w:rPr>
        <w:t>期）</w:t>
      </w:r>
    </w:p>
    <w:p w14:paraId="2C720FEA" w14:textId="6C5B5E23" w:rsidR="00AF788A" w:rsidRPr="00356742" w:rsidRDefault="00D80EC2" w:rsidP="00AF788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</w:t>
      </w:r>
      <w:r w:rsidR="00A6583E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 w:rsidR="00D456C8">
        <w:rPr>
          <w:rFonts w:ascii="宋体" w:eastAsia="宋体" w:hAnsi="宋体"/>
          <w:sz w:val="24"/>
          <w:szCs w:val="24"/>
        </w:rPr>
        <w:t>11</w:t>
      </w:r>
      <w:r>
        <w:rPr>
          <w:rFonts w:ascii="宋体" w:eastAsia="宋体" w:hAnsi="宋体" w:hint="eastAsia"/>
          <w:sz w:val="24"/>
          <w:szCs w:val="24"/>
        </w:rPr>
        <w:t>月</w:t>
      </w:r>
      <w:r w:rsidR="00B42018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</w:t>
      </w:r>
      <w:r w:rsidR="00E1029E">
        <w:rPr>
          <w:rFonts w:ascii="宋体" w:eastAsia="宋体" w:hAnsi="宋体" w:hint="eastAsia"/>
          <w:sz w:val="24"/>
          <w:szCs w:val="24"/>
        </w:rPr>
        <w:t>，公司</w:t>
      </w:r>
      <w:r>
        <w:rPr>
          <w:rFonts w:ascii="宋体" w:eastAsia="宋体" w:hAnsi="宋体" w:hint="eastAsia"/>
          <w:sz w:val="24"/>
          <w:szCs w:val="24"/>
        </w:rPr>
        <w:t>披露了《</w:t>
      </w:r>
      <w:r w:rsidR="00D456C8" w:rsidRPr="00D456C8">
        <w:rPr>
          <w:rFonts w:ascii="宋体" w:eastAsia="宋体" w:hAnsi="宋体" w:hint="eastAsia"/>
          <w:sz w:val="24"/>
          <w:szCs w:val="24"/>
        </w:rPr>
        <w:t>关于投资毅康科技有限公司</w:t>
      </w:r>
      <w:r w:rsidR="00D456C8" w:rsidRPr="00D456C8">
        <w:rPr>
          <w:rFonts w:ascii="宋体" w:eastAsia="宋体" w:hAnsi="宋体"/>
          <w:sz w:val="24"/>
          <w:szCs w:val="24"/>
        </w:rPr>
        <w:t>51%股权的公告</w:t>
      </w:r>
      <w:r w:rsidR="008605C8">
        <w:rPr>
          <w:rFonts w:ascii="宋体" w:eastAsia="宋体" w:hAnsi="宋体" w:hint="eastAsia"/>
          <w:sz w:val="24"/>
          <w:szCs w:val="24"/>
        </w:rPr>
        <w:t>》；1</w:t>
      </w:r>
      <w:r w:rsidR="008605C8">
        <w:rPr>
          <w:rFonts w:ascii="宋体" w:eastAsia="宋体" w:hAnsi="宋体"/>
          <w:sz w:val="24"/>
          <w:szCs w:val="24"/>
        </w:rPr>
        <w:t>1月</w:t>
      </w:r>
      <w:r w:rsidR="008605C8">
        <w:rPr>
          <w:rFonts w:ascii="宋体" w:eastAsia="宋体" w:hAnsi="宋体" w:hint="eastAsia"/>
          <w:sz w:val="24"/>
          <w:szCs w:val="24"/>
        </w:rPr>
        <w:t>8日，</w:t>
      </w:r>
      <w:r w:rsidR="00AF788A">
        <w:rPr>
          <w:rFonts w:ascii="宋体" w:eastAsia="宋体" w:hAnsi="宋体" w:hint="eastAsia"/>
          <w:sz w:val="24"/>
          <w:szCs w:val="24"/>
        </w:rPr>
        <w:t>与</w:t>
      </w:r>
      <w:r>
        <w:rPr>
          <w:rFonts w:ascii="宋体" w:eastAsia="宋体" w:hAnsi="宋体" w:hint="eastAsia"/>
          <w:sz w:val="24"/>
          <w:szCs w:val="24"/>
        </w:rPr>
        <w:t>多家</w:t>
      </w:r>
      <w:r w:rsidR="00AF788A" w:rsidRPr="00356742">
        <w:rPr>
          <w:rFonts w:ascii="宋体" w:eastAsia="宋体" w:hAnsi="宋体" w:hint="eastAsia"/>
          <w:sz w:val="24"/>
          <w:szCs w:val="24"/>
        </w:rPr>
        <w:t>机构</w:t>
      </w:r>
      <w:r w:rsidR="00AF788A">
        <w:rPr>
          <w:rFonts w:ascii="宋体" w:eastAsia="宋体" w:hAnsi="宋体" w:hint="eastAsia"/>
          <w:sz w:val="24"/>
          <w:szCs w:val="24"/>
        </w:rPr>
        <w:t>投资者进行了交流</w:t>
      </w:r>
      <w:r w:rsidR="00AF788A" w:rsidRPr="00356742">
        <w:rPr>
          <w:rFonts w:ascii="宋体" w:eastAsia="宋体" w:hAnsi="宋体" w:hint="eastAsia"/>
          <w:sz w:val="24"/>
          <w:szCs w:val="24"/>
        </w:rPr>
        <w:t>，</w:t>
      </w:r>
      <w:bookmarkStart w:id="0" w:name="_GoBack"/>
      <w:bookmarkEnd w:id="0"/>
      <w:r w:rsidR="00AF788A" w:rsidRPr="00356742">
        <w:rPr>
          <w:rFonts w:ascii="宋体" w:eastAsia="宋体" w:hAnsi="宋体" w:hint="eastAsia"/>
          <w:sz w:val="24"/>
          <w:szCs w:val="24"/>
        </w:rPr>
        <w:t>参加调研的有公司</w:t>
      </w:r>
      <w:r w:rsidR="00D456C8">
        <w:rPr>
          <w:rFonts w:ascii="宋体" w:eastAsia="宋体" w:hAnsi="宋体" w:hint="eastAsia"/>
          <w:sz w:val="24"/>
          <w:szCs w:val="24"/>
        </w:rPr>
        <w:t>董事会秘书隋荣昌先生、</w:t>
      </w:r>
      <w:r w:rsidR="005D6023">
        <w:rPr>
          <w:rFonts w:ascii="宋体" w:eastAsia="宋体" w:hAnsi="宋体" w:hint="eastAsia"/>
          <w:sz w:val="24"/>
          <w:szCs w:val="24"/>
        </w:rPr>
        <w:t>投资管理部</w:t>
      </w:r>
      <w:r w:rsidR="005D6023">
        <w:rPr>
          <w:rFonts w:ascii="宋体" w:eastAsia="宋体" w:hAnsi="宋体"/>
          <w:sz w:val="24"/>
          <w:szCs w:val="24"/>
        </w:rPr>
        <w:t>部长</w:t>
      </w:r>
      <w:r w:rsidR="005D6023">
        <w:rPr>
          <w:rFonts w:ascii="宋体" w:eastAsia="宋体" w:hAnsi="宋体" w:hint="eastAsia"/>
          <w:sz w:val="24"/>
          <w:szCs w:val="24"/>
        </w:rPr>
        <w:t>王红毅先生、</w:t>
      </w:r>
      <w:r w:rsidR="00A6583E">
        <w:rPr>
          <w:rFonts w:ascii="宋体" w:eastAsia="宋体" w:hAnsi="宋体" w:hint="eastAsia"/>
          <w:sz w:val="24"/>
          <w:szCs w:val="24"/>
        </w:rPr>
        <w:t>董秘处</w:t>
      </w:r>
      <w:r w:rsidR="00A6583E">
        <w:rPr>
          <w:rFonts w:ascii="宋体" w:eastAsia="宋体" w:hAnsi="宋体"/>
          <w:sz w:val="24"/>
          <w:szCs w:val="24"/>
        </w:rPr>
        <w:t>处长</w:t>
      </w:r>
      <w:r w:rsidR="00AF788A" w:rsidRPr="00356742">
        <w:rPr>
          <w:rFonts w:ascii="宋体" w:eastAsia="宋体" w:hAnsi="宋体" w:hint="eastAsia"/>
          <w:sz w:val="24"/>
          <w:szCs w:val="24"/>
        </w:rPr>
        <w:t>证券事务代表程怀先生</w:t>
      </w:r>
      <w:r w:rsidR="00A6583E">
        <w:rPr>
          <w:rFonts w:ascii="宋体" w:eastAsia="宋体" w:hAnsi="宋体" w:hint="eastAsia"/>
          <w:sz w:val="24"/>
          <w:szCs w:val="24"/>
        </w:rPr>
        <w:t>、</w:t>
      </w:r>
      <w:r w:rsidR="00D456C8">
        <w:rPr>
          <w:rFonts w:ascii="宋体" w:eastAsia="宋体" w:hAnsi="宋体" w:hint="eastAsia"/>
          <w:sz w:val="24"/>
          <w:szCs w:val="24"/>
        </w:rPr>
        <w:t>投资管理部副</w:t>
      </w:r>
      <w:r w:rsidR="00D456C8">
        <w:rPr>
          <w:rFonts w:ascii="宋体" w:eastAsia="宋体" w:hAnsi="宋体"/>
          <w:sz w:val="24"/>
          <w:szCs w:val="24"/>
        </w:rPr>
        <w:t>部长张啟义先生</w:t>
      </w:r>
      <w:r w:rsidR="00D456C8">
        <w:rPr>
          <w:rFonts w:ascii="宋体" w:eastAsia="宋体" w:hAnsi="宋体" w:hint="eastAsia"/>
          <w:sz w:val="24"/>
          <w:szCs w:val="24"/>
        </w:rPr>
        <w:t>、</w:t>
      </w:r>
      <w:r w:rsidR="00AF788A">
        <w:rPr>
          <w:rFonts w:ascii="宋体" w:eastAsia="宋体" w:hAnsi="宋体" w:hint="eastAsia"/>
          <w:sz w:val="24"/>
          <w:szCs w:val="24"/>
        </w:rPr>
        <w:t>董事会秘书处</w:t>
      </w:r>
      <w:r w:rsidR="00A6583E">
        <w:rPr>
          <w:rFonts w:ascii="宋体" w:eastAsia="宋体" w:hAnsi="宋体" w:hint="eastAsia"/>
          <w:sz w:val="24"/>
          <w:szCs w:val="24"/>
        </w:rPr>
        <w:t>业务</w:t>
      </w:r>
      <w:r w:rsidR="00A6583E">
        <w:rPr>
          <w:rFonts w:ascii="宋体" w:eastAsia="宋体" w:hAnsi="宋体"/>
          <w:sz w:val="24"/>
          <w:szCs w:val="24"/>
        </w:rPr>
        <w:t>主管</w:t>
      </w:r>
      <w:r w:rsidR="00A6583E">
        <w:rPr>
          <w:rFonts w:ascii="宋体" w:eastAsia="宋体" w:hAnsi="宋体" w:hint="eastAsia"/>
          <w:sz w:val="24"/>
          <w:szCs w:val="24"/>
        </w:rPr>
        <w:t>程坤</w:t>
      </w:r>
      <w:r w:rsidR="00153181">
        <w:rPr>
          <w:rFonts w:ascii="宋体" w:eastAsia="宋体" w:hAnsi="宋体" w:hint="eastAsia"/>
          <w:sz w:val="24"/>
          <w:szCs w:val="24"/>
        </w:rPr>
        <w:t>先生</w:t>
      </w:r>
      <w:r w:rsidR="00AF788A" w:rsidRPr="00356742">
        <w:rPr>
          <w:rFonts w:ascii="宋体" w:eastAsia="宋体" w:hAnsi="宋体" w:hint="eastAsia"/>
          <w:sz w:val="24"/>
          <w:szCs w:val="24"/>
        </w:rPr>
        <w:t>。</w:t>
      </w:r>
      <w:r w:rsidR="00AF788A">
        <w:rPr>
          <w:rFonts w:ascii="宋体" w:eastAsia="宋体" w:hAnsi="宋体" w:hint="eastAsia"/>
          <w:sz w:val="24"/>
          <w:szCs w:val="24"/>
        </w:rPr>
        <w:t>调研情况如下：</w:t>
      </w:r>
    </w:p>
    <w:p w14:paraId="2ED95156" w14:textId="77777777" w:rsidR="00AF788A" w:rsidRPr="00E50DDF" w:rsidRDefault="00AF788A" w:rsidP="00F52045">
      <w:pPr>
        <w:spacing w:beforeLines="50" w:before="156" w:afterLines="50" w:after="156" w:line="48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E50DDF">
        <w:rPr>
          <w:rFonts w:ascii="黑体" w:eastAsia="黑体" w:hAnsi="黑体" w:hint="eastAsia"/>
          <w:sz w:val="24"/>
          <w:szCs w:val="24"/>
        </w:rPr>
        <w:t>一、调研机构</w:t>
      </w:r>
    </w:p>
    <w:p w14:paraId="62121519" w14:textId="55BE1659" w:rsidR="00BF2691" w:rsidRDefault="00A6583E" w:rsidP="00A6583E">
      <w:pPr>
        <w:spacing w:beforeLines="50" w:before="156" w:afterLines="50" w:after="156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A6583E">
        <w:rPr>
          <w:rFonts w:ascii="宋体" w:eastAsia="宋体" w:hAnsi="宋体" w:hint="eastAsia"/>
          <w:sz w:val="24"/>
          <w:szCs w:val="24"/>
        </w:rPr>
        <w:t>浙商证券</w:t>
      </w:r>
      <w:r w:rsidR="00BF2691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中加基金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太平基金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泰康养老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诺德基金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凯读投资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人寿资产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德睿恒丰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华泰证券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建信养老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光大保德信基金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鹏华基金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广发基金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银河基金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长城财富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D456C8" w:rsidRPr="009A1268">
        <w:rPr>
          <w:rFonts w:ascii="宋体" w:eastAsia="宋体" w:hAnsi="宋体"/>
          <w:sz w:val="24"/>
          <w:szCs w:val="24"/>
        </w:rPr>
        <w:t>银华基金</w:t>
      </w:r>
      <w:r w:rsidR="00D456C8" w:rsidRPr="009A1268">
        <w:rPr>
          <w:rFonts w:ascii="宋体" w:eastAsia="宋体" w:hAnsi="宋体" w:hint="eastAsia"/>
          <w:sz w:val="24"/>
          <w:szCs w:val="24"/>
        </w:rPr>
        <w:t>、</w:t>
      </w:r>
      <w:r w:rsidR="009A1268" w:rsidRPr="009A1268">
        <w:rPr>
          <w:rFonts w:ascii="宋体" w:eastAsia="宋体" w:hAnsi="宋体"/>
          <w:sz w:val="24"/>
          <w:szCs w:val="24"/>
        </w:rPr>
        <w:t>国信证券</w:t>
      </w:r>
      <w:r w:rsidR="009A1268" w:rsidRPr="009A1268">
        <w:rPr>
          <w:rFonts w:ascii="宋体" w:eastAsia="宋体" w:hAnsi="宋体" w:hint="eastAsia"/>
          <w:sz w:val="24"/>
          <w:szCs w:val="24"/>
        </w:rPr>
        <w:t>、</w:t>
      </w:r>
      <w:r w:rsidR="009A1268" w:rsidRPr="009A1268">
        <w:rPr>
          <w:rFonts w:ascii="宋体" w:eastAsia="宋体" w:hAnsi="宋体"/>
          <w:sz w:val="24"/>
          <w:szCs w:val="24"/>
        </w:rPr>
        <w:t>宁银理财</w:t>
      </w:r>
    </w:p>
    <w:p w14:paraId="6AC05D82" w14:textId="77777777" w:rsidR="00AF788A" w:rsidRDefault="00AF788A" w:rsidP="00A6583E">
      <w:pPr>
        <w:spacing w:beforeLines="50" w:before="156" w:afterLines="50" w:after="156" w:line="48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E50DDF">
        <w:rPr>
          <w:rFonts w:ascii="黑体" w:eastAsia="黑体" w:hAnsi="黑体" w:hint="eastAsia"/>
          <w:sz w:val="24"/>
          <w:szCs w:val="24"/>
        </w:rPr>
        <w:t>二、调研内容</w:t>
      </w:r>
    </w:p>
    <w:p w14:paraId="70D046F9" w14:textId="77ABB9F7" w:rsidR="00BF2691" w:rsidRPr="00152C8C" w:rsidRDefault="00BF2691" w:rsidP="00152C8C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52C8C">
        <w:rPr>
          <w:rFonts w:ascii="宋体" w:eastAsia="宋体" w:hAnsi="宋体"/>
          <w:b/>
          <w:sz w:val="24"/>
          <w:szCs w:val="24"/>
        </w:rPr>
        <w:t>1、</w:t>
      </w:r>
      <w:r w:rsidR="00264A63" w:rsidRPr="00264A63">
        <w:rPr>
          <w:rFonts w:ascii="宋体" w:eastAsia="宋体" w:hAnsi="宋体" w:hint="eastAsia"/>
          <w:b/>
          <w:sz w:val="24"/>
          <w:szCs w:val="24"/>
        </w:rPr>
        <w:t>请简要介绍一下本次股权收购的情况（原因、背景、价格、进展等）</w:t>
      </w:r>
      <w:r w:rsidRPr="00152C8C">
        <w:rPr>
          <w:rFonts w:ascii="宋体" w:eastAsia="宋体" w:hAnsi="宋体" w:hint="eastAsia"/>
          <w:b/>
          <w:sz w:val="24"/>
          <w:szCs w:val="24"/>
        </w:rPr>
        <w:t>？</w:t>
      </w:r>
    </w:p>
    <w:p w14:paraId="3E8128A5" w14:textId="52E2A4D7" w:rsidR="00BF2691" w:rsidRDefault="00BF2691" w:rsidP="00DB1F4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F2691">
        <w:rPr>
          <w:rFonts w:ascii="宋体" w:eastAsia="宋体" w:hAnsi="宋体" w:hint="eastAsia"/>
          <w:sz w:val="24"/>
          <w:szCs w:val="24"/>
        </w:rPr>
        <w:t>答：</w:t>
      </w:r>
      <w:r w:rsidR="00E53CD1">
        <w:rPr>
          <w:rFonts w:ascii="宋体" w:eastAsia="宋体" w:hAnsi="宋体" w:hint="eastAsia"/>
          <w:sz w:val="24"/>
          <w:szCs w:val="24"/>
        </w:rPr>
        <w:t>本次股权投资是</w:t>
      </w:r>
      <w:r w:rsidR="00E53CD1" w:rsidRPr="00E53CD1">
        <w:rPr>
          <w:rFonts w:ascii="宋体" w:eastAsia="宋体" w:hAnsi="宋体" w:hint="eastAsia"/>
          <w:sz w:val="24"/>
          <w:szCs w:val="24"/>
        </w:rPr>
        <w:t>公司落实发展规划，实现公司战略发展目标所采取的重要投资举措。本次股权投资采用受让老股</w:t>
      </w:r>
      <w:r w:rsidR="00E53CD1" w:rsidRPr="00E53CD1">
        <w:rPr>
          <w:rFonts w:ascii="宋体" w:eastAsia="宋体" w:hAnsi="宋体"/>
          <w:sz w:val="24"/>
          <w:szCs w:val="24"/>
        </w:rPr>
        <w:t>+增资的形式，总投资为209,989.44万元，其中受让毅康科技原股东股权支付对价59,989.44万元，向毅康科技增资15亿元。该项目在11月4</w:t>
      </w:r>
      <w:r w:rsidR="00E53CD1">
        <w:rPr>
          <w:rFonts w:ascii="宋体" w:eastAsia="宋体" w:hAnsi="宋体"/>
          <w:sz w:val="24"/>
          <w:szCs w:val="24"/>
        </w:rPr>
        <w:t>日通过</w:t>
      </w:r>
      <w:r w:rsidR="00E53CD1" w:rsidRPr="00E53CD1">
        <w:rPr>
          <w:rFonts w:ascii="宋体" w:eastAsia="宋体" w:hAnsi="宋体"/>
          <w:sz w:val="24"/>
          <w:szCs w:val="24"/>
        </w:rPr>
        <w:t>公司董事会决策后已启动受让老股的相关工作，目前正在有序推进中</w:t>
      </w:r>
      <w:r w:rsidRPr="00BF2691">
        <w:rPr>
          <w:rFonts w:ascii="宋体" w:eastAsia="宋体" w:hAnsi="宋体"/>
          <w:sz w:val="24"/>
          <w:szCs w:val="24"/>
        </w:rPr>
        <w:t>。</w:t>
      </w:r>
    </w:p>
    <w:p w14:paraId="58C384DC" w14:textId="77777777" w:rsidR="00BF2691" w:rsidRPr="00BF2691" w:rsidRDefault="00BF2691" w:rsidP="00BF269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328D174B" w14:textId="598CAD90" w:rsidR="00DB1F4A" w:rsidRPr="00DB1F4A" w:rsidRDefault="00D66BAB" w:rsidP="00DB1F4A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="00DB1F4A">
        <w:rPr>
          <w:rFonts w:ascii="宋体" w:eastAsia="宋体" w:hAnsi="宋体" w:hint="eastAsia"/>
          <w:b/>
          <w:sz w:val="24"/>
          <w:szCs w:val="24"/>
        </w:rPr>
        <w:t>、</w:t>
      </w:r>
      <w:r w:rsidR="00264A63" w:rsidRPr="00264A63">
        <w:rPr>
          <w:rFonts w:ascii="宋体" w:eastAsia="宋体" w:hAnsi="宋体" w:hint="eastAsia"/>
          <w:b/>
          <w:sz w:val="24"/>
          <w:szCs w:val="24"/>
        </w:rPr>
        <w:t>对于标的</w:t>
      </w:r>
      <w:r w:rsidR="00253A57">
        <w:rPr>
          <w:rFonts w:ascii="宋体" w:eastAsia="宋体" w:hAnsi="宋体" w:hint="eastAsia"/>
          <w:b/>
          <w:sz w:val="24"/>
          <w:szCs w:val="24"/>
        </w:rPr>
        <w:t>资产</w:t>
      </w:r>
      <w:r w:rsidR="00264A63" w:rsidRPr="00264A63">
        <w:rPr>
          <w:rFonts w:ascii="宋体" w:eastAsia="宋体" w:hAnsi="宋体" w:hint="eastAsia"/>
          <w:b/>
          <w:sz w:val="24"/>
          <w:szCs w:val="24"/>
        </w:rPr>
        <w:t>毅康科技的基本情况能否再为大家分享一下</w:t>
      </w:r>
      <w:r w:rsidR="00DB1F4A" w:rsidRPr="00DB1F4A">
        <w:rPr>
          <w:rFonts w:ascii="宋体" w:eastAsia="宋体" w:hAnsi="宋体"/>
          <w:b/>
          <w:sz w:val="24"/>
          <w:szCs w:val="24"/>
        </w:rPr>
        <w:t>？</w:t>
      </w:r>
    </w:p>
    <w:p w14:paraId="3FC7B22A" w14:textId="77777777" w:rsidR="00E53CD1" w:rsidRPr="00E53CD1" w:rsidRDefault="00DB1F4A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</w:t>
      </w:r>
      <w:r w:rsidRPr="00DB1F4A">
        <w:rPr>
          <w:rFonts w:ascii="宋体" w:eastAsia="宋体" w:hAnsi="宋体"/>
          <w:sz w:val="24"/>
          <w:szCs w:val="24"/>
        </w:rPr>
        <w:t>：</w:t>
      </w:r>
      <w:r w:rsidR="00E53CD1" w:rsidRPr="00E53CD1">
        <w:rPr>
          <w:rFonts w:ascii="宋体" w:eastAsia="宋体" w:hAnsi="宋体" w:hint="eastAsia"/>
          <w:sz w:val="24"/>
          <w:szCs w:val="24"/>
        </w:rPr>
        <w:t>毅康科技</w:t>
      </w:r>
      <w:r w:rsidR="00E53CD1" w:rsidRPr="00E53CD1">
        <w:rPr>
          <w:rFonts w:ascii="宋体" w:eastAsia="宋体" w:hAnsi="宋体"/>
          <w:sz w:val="24"/>
          <w:szCs w:val="24"/>
        </w:rPr>
        <w:t>2009年成立于山东省烟台市，是国家高新技术企业，于2015年在新三板挂牌，2017年摘牌后并入康佳集团，现控股股东为康佳集团。毅康科技主要从事城乡供水、污水处理、中水回用、水环境生态修复、黑臭水体治理、 污泥资源化利用、固废及危废处理等领域的投资运营。</w:t>
      </w:r>
    </w:p>
    <w:p w14:paraId="6B0AC4C2" w14:textId="510551BB" w:rsidR="00E53CD1" w:rsidRPr="00E53CD1" w:rsidRDefault="00E53CD1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53CD1">
        <w:rPr>
          <w:rFonts w:ascii="宋体" w:eastAsia="宋体" w:hAnsi="宋体" w:hint="eastAsia"/>
          <w:sz w:val="24"/>
          <w:szCs w:val="24"/>
        </w:rPr>
        <w:t>毅康科技</w:t>
      </w:r>
      <w:r w:rsidR="00D94B0B">
        <w:rPr>
          <w:rFonts w:ascii="宋体" w:eastAsia="宋体" w:hAnsi="宋体" w:hint="eastAsia"/>
          <w:sz w:val="24"/>
          <w:szCs w:val="24"/>
        </w:rPr>
        <w:t>为山东省企业技术中心且与</w:t>
      </w:r>
      <w:r w:rsidRPr="00E53CD1">
        <w:rPr>
          <w:rFonts w:ascii="宋体" w:eastAsia="宋体" w:hAnsi="宋体" w:hint="eastAsia"/>
          <w:sz w:val="24"/>
          <w:szCs w:val="24"/>
        </w:rPr>
        <w:t>李家春院士联合共建</w:t>
      </w:r>
      <w:r w:rsidR="00D94B0B">
        <w:rPr>
          <w:rFonts w:ascii="宋体" w:eastAsia="宋体" w:hAnsi="宋体" w:hint="eastAsia"/>
          <w:sz w:val="24"/>
          <w:szCs w:val="24"/>
        </w:rPr>
        <w:t>了</w:t>
      </w:r>
      <w:r w:rsidRPr="00E53CD1">
        <w:rPr>
          <w:rFonts w:ascii="宋体" w:eastAsia="宋体" w:hAnsi="宋体" w:hint="eastAsia"/>
          <w:sz w:val="24"/>
          <w:szCs w:val="24"/>
        </w:rPr>
        <w:t>院士工作站。目前，围绕污水处理和河道整治等业务，毅康科技取得了</w:t>
      </w:r>
      <w:r w:rsidRPr="00E53CD1">
        <w:rPr>
          <w:rFonts w:ascii="宋体" w:eastAsia="宋体" w:hAnsi="宋体"/>
          <w:sz w:val="24"/>
          <w:szCs w:val="24"/>
        </w:rPr>
        <w:t>10项发明专利，142项实用新型专利，26项软件著作权。毅康科技围绕污水智慧化运营开发的污水处理装置入选《环保装备制造行业（污水治理）规范条件》企业名单。</w:t>
      </w:r>
    </w:p>
    <w:p w14:paraId="69C35815" w14:textId="172B2C9B" w:rsidR="00DB1F4A" w:rsidRDefault="00E53CD1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53CD1">
        <w:rPr>
          <w:rFonts w:ascii="宋体" w:eastAsia="宋体" w:hAnsi="宋体" w:hint="eastAsia"/>
          <w:sz w:val="24"/>
          <w:szCs w:val="24"/>
        </w:rPr>
        <w:lastRenderedPageBreak/>
        <w:t>截止目前，毅康科技共有项目</w:t>
      </w:r>
      <w:r w:rsidRPr="00E53CD1">
        <w:rPr>
          <w:rFonts w:ascii="宋体" w:eastAsia="宋体" w:hAnsi="宋体"/>
          <w:sz w:val="24"/>
          <w:szCs w:val="24"/>
        </w:rPr>
        <w:t>28个，其中处于运营期的项目4个，建设期项目18个，已中标储备项目6个。毅康科技共19个PPP项目入库，其中处于运营期的有1个，处于建设期的有16个，已中标储备的有2个</w:t>
      </w:r>
      <w:r w:rsidR="00DB1F4A" w:rsidRPr="00DB1F4A">
        <w:rPr>
          <w:rFonts w:ascii="宋体" w:eastAsia="宋体" w:hAnsi="宋体"/>
          <w:sz w:val="24"/>
          <w:szCs w:val="24"/>
        </w:rPr>
        <w:t>。</w:t>
      </w:r>
    </w:p>
    <w:p w14:paraId="2F4CD49C" w14:textId="77777777" w:rsidR="00D66BAB" w:rsidRPr="00DB1F4A" w:rsidRDefault="00D66BAB" w:rsidP="00DB1F4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09DDFC3" w14:textId="71865049" w:rsidR="00264A63" w:rsidRPr="00DB1F4A" w:rsidRDefault="00D66BAB" w:rsidP="00E53CD1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3</w:t>
      </w:r>
      <w:r w:rsidR="00DB1F4A">
        <w:rPr>
          <w:rFonts w:ascii="宋体" w:eastAsia="宋体" w:hAnsi="宋体" w:hint="eastAsia"/>
          <w:b/>
          <w:sz w:val="24"/>
          <w:szCs w:val="24"/>
        </w:rPr>
        <w:t>、</w:t>
      </w:r>
      <w:r w:rsidR="00264A63">
        <w:rPr>
          <w:rFonts w:ascii="宋体" w:eastAsia="宋体" w:hAnsi="宋体" w:hint="eastAsia"/>
          <w:b/>
          <w:sz w:val="24"/>
          <w:szCs w:val="24"/>
        </w:rPr>
        <w:t>请问</w:t>
      </w:r>
      <w:r w:rsidR="00264A63" w:rsidRPr="00264A63">
        <w:rPr>
          <w:rFonts w:ascii="宋体" w:eastAsia="宋体" w:hAnsi="宋体" w:hint="eastAsia"/>
          <w:b/>
          <w:sz w:val="24"/>
          <w:szCs w:val="24"/>
        </w:rPr>
        <w:t>收购毅康科技</w:t>
      </w:r>
      <w:r w:rsidR="00B42018">
        <w:rPr>
          <w:rFonts w:ascii="宋体" w:eastAsia="宋体" w:hAnsi="宋体" w:hint="eastAsia"/>
          <w:b/>
          <w:sz w:val="24"/>
          <w:szCs w:val="24"/>
        </w:rPr>
        <w:t>的</w:t>
      </w:r>
      <w:r w:rsidR="00264A63" w:rsidRPr="00264A63">
        <w:rPr>
          <w:rFonts w:ascii="宋体" w:eastAsia="宋体" w:hAnsi="宋体" w:hint="eastAsia"/>
          <w:b/>
          <w:sz w:val="24"/>
          <w:szCs w:val="24"/>
        </w:rPr>
        <w:t>价格是如何确定的？</w:t>
      </w:r>
    </w:p>
    <w:p w14:paraId="6B6E17A4" w14:textId="55577958" w:rsidR="00E53CD1" w:rsidRPr="00E53CD1" w:rsidRDefault="00DB1F4A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答</w:t>
      </w:r>
      <w:r w:rsidRPr="00DB1F4A">
        <w:rPr>
          <w:rFonts w:ascii="宋体" w:eastAsia="宋体" w:hAnsi="宋体"/>
          <w:sz w:val="24"/>
          <w:szCs w:val="24"/>
        </w:rPr>
        <w:t>：</w:t>
      </w:r>
      <w:r w:rsidR="00E53CD1" w:rsidRPr="00E53CD1">
        <w:rPr>
          <w:rFonts w:ascii="宋体" w:eastAsia="宋体" w:hAnsi="宋体" w:hint="eastAsia"/>
          <w:sz w:val="24"/>
          <w:szCs w:val="24"/>
        </w:rPr>
        <w:t>此次交易聘请中联资产评估集团有限公司采取收益法进行评估。收益法评估后的毅康科技股东全部权益价值为</w:t>
      </w:r>
      <w:r w:rsidR="00E53CD1" w:rsidRPr="00E53CD1">
        <w:rPr>
          <w:rFonts w:ascii="宋体" w:eastAsia="宋体" w:hAnsi="宋体"/>
          <w:sz w:val="24"/>
          <w:szCs w:val="24"/>
        </w:rPr>
        <w:t>265,438.28</w:t>
      </w:r>
      <w:r w:rsidR="00E53CD1">
        <w:rPr>
          <w:rFonts w:ascii="宋体" w:eastAsia="宋体" w:hAnsi="宋体"/>
          <w:sz w:val="24"/>
          <w:szCs w:val="24"/>
        </w:rPr>
        <w:t>万元。基于中联资产评估集团有限公司的评估结果，</w:t>
      </w:r>
      <w:r w:rsidR="00E53CD1" w:rsidRPr="00E53CD1">
        <w:rPr>
          <w:rFonts w:ascii="宋体" w:eastAsia="宋体" w:hAnsi="宋体"/>
          <w:sz w:val="24"/>
          <w:szCs w:val="24"/>
        </w:rPr>
        <w:t>公司与毅康科技原股东协商后，确定毅康科技的股东全部权益价值为26.18亿元。</w:t>
      </w:r>
    </w:p>
    <w:p w14:paraId="2E921D49" w14:textId="798DCC63" w:rsidR="00DB1F4A" w:rsidRDefault="00E53CD1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53CD1">
        <w:rPr>
          <w:rFonts w:ascii="宋体" w:eastAsia="宋体" w:hAnsi="宋体" w:hint="eastAsia"/>
          <w:sz w:val="24"/>
          <w:szCs w:val="24"/>
        </w:rPr>
        <w:t>目前二级市场与毅康科技业务类型相似的可比公司有首创水务、国中水务、博世科、中环环保等上市公司。</w:t>
      </w:r>
      <w:r w:rsidRPr="00E53CD1">
        <w:rPr>
          <w:rFonts w:ascii="宋体" w:eastAsia="宋体" w:hAnsi="宋体"/>
          <w:sz w:val="24"/>
          <w:szCs w:val="24"/>
        </w:rPr>
        <w:t>2020年可比公司所属行业PE的中位数约为19.03。毅康科技2020年净利润为3.26亿元，本次对毅康科技的投前估值为26.18亿元，对应投前PE为8.03倍，投后PE为12.63倍，整体交易估值较为合理</w:t>
      </w:r>
      <w:r w:rsidR="00DB1F4A" w:rsidRPr="00DB1F4A">
        <w:rPr>
          <w:rFonts w:ascii="宋体" w:eastAsia="宋体" w:hAnsi="宋体"/>
          <w:sz w:val="24"/>
          <w:szCs w:val="24"/>
        </w:rPr>
        <w:t>。</w:t>
      </w:r>
    </w:p>
    <w:p w14:paraId="0667ED67" w14:textId="77777777" w:rsidR="00D66BAB" w:rsidRPr="00EA0B1D" w:rsidRDefault="00D66BAB" w:rsidP="00D66BAB">
      <w:pPr>
        <w:spacing w:line="480" w:lineRule="exact"/>
        <w:ind w:firstLineChars="200" w:firstLine="562"/>
        <w:rPr>
          <w:rFonts w:ascii="黑体" w:eastAsia="黑体" w:hAnsi="黑体"/>
          <w:b/>
          <w:sz w:val="28"/>
        </w:rPr>
      </w:pPr>
    </w:p>
    <w:p w14:paraId="367A44D3" w14:textId="271893D9" w:rsidR="00DB1F4A" w:rsidRPr="005A589C" w:rsidRDefault="00D66BAB" w:rsidP="00DB1F4A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A589C">
        <w:rPr>
          <w:rFonts w:ascii="宋体" w:eastAsia="宋体" w:hAnsi="宋体"/>
          <w:b/>
          <w:sz w:val="24"/>
          <w:szCs w:val="24"/>
        </w:rPr>
        <w:t>4</w:t>
      </w:r>
      <w:r w:rsidR="00DB1F4A" w:rsidRPr="005A589C">
        <w:rPr>
          <w:rFonts w:ascii="宋体" w:eastAsia="宋体" w:hAnsi="宋体" w:hint="eastAsia"/>
          <w:b/>
          <w:sz w:val="24"/>
          <w:szCs w:val="24"/>
        </w:rPr>
        <w:t>、</w:t>
      </w:r>
      <w:r w:rsidR="00253A57" w:rsidRPr="005A589C">
        <w:rPr>
          <w:rFonts w:ascii="宋体" w:eastAsia="宋体" w:hAnsi="宋体" w:hint="eastAsia"/>
          <w:b/>
          <w:sz w:val="24"/>
          <w:szCs w:val="24"/>
        </w:rPr>
        <w:t>关于</w:t>
      </w:r>
      <w:r w:rsidR="00264A63" w:rsidRPr="005A589C">
        <w:rPr>
          <w:rFonts w:ascii="宋体" w:eastAsia="宋体" w:hAnsi="宋体" w:hint="eastAsia"/>
          <w:b/>
          <w:sz w:val="24"/>
          <w:szCs w:val="24"/>
        </w:rPr>
        <w:t>本次收购</w:t>
      </w:r>
      <w:r w:rsidR="00253A57" w:rsidRPr="005A589C">
        <w:rPr>
          <w:rFonts w:ascii="宋体" w:eastAsia="宋体" w:hAnsi="宋体" w:hint="eastAsia"/>
          <w:b/>
          <w:sz w:val="24"/>
          <w:szCs w:val="24"/>
        </w:rPr>
        <w:t>毅康科技</w:t>
      </w:r>
      <w:r w:rsidR="00264A63" w:rsidRPr="005A589C">
        <w:rPr>
          <w:rFonts w:ascii="宋体" w:eastAsia="宋体" w:hAnsi="宋体" w:hint="eastAsia"/>
          <w:b/>
          <w:sz w:val="24"/>
          <w:szCs w:val="24"/>
        </w:rPr>
        <w:t>的资金来源</w:t>
      </w:r>
      <w:r w:rsidR="00B42018" w:rsidRPr="005A589C">
        <w:rPr>
          <w:rFonts w:ascii="宋体" w:eastAsia="宋体" w:hAnsi="宋体" w:hint="eastAsia"/>
          <w:b/>
          <w:sz w:val="24"/>
          <w:szCs w:val="24"/>
        </w:rPr>
        <w:t>，能否</w:t>
      </w:r>
      <w:r w:rsidR="00253A57" w:rsidRPr="005A589C">
        <w:rPr>
          <w:rFonts w:ascii="宋体" w:eastAsia="宋体" w:hAnsi="宋体" w:hint="eastAsia"/>
          <w:b/>
          <w:sz w:val="24"/>
          <w:szCs w:val="24"/>
        </w:rPr>
        <w:t>简单介绍下</w:t>
      </w:r>
      <w:r w:rsidR="00DB1F4A" w:rsidRPr="005A589C">
        <w:rPr>
          <w:rFonts w:ascii="宋体" w:eastAsia="宋体" w:hAnsi="宋体"/>
          <w:b/>
          <w:sz w:val="24"/>
          <w:szCs w:val="24"/>
        </w:rPr>
        <w:t>？</w:t>
      </w:r>
    </w:p>
    <w:p w14:paraId="111EB58F" w14:textId="63CC0B28" w:rsidR="005A589C" w:rsidRPr="00DB1F4A" w:rsidRDefault="00DB1F4A" w:rsidP="005A589C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A589C">
        <w:rPr>
          <w:rFonts w:ascii="宋体" w:eastAsia="宋体" w:hAnsi="宋体"/>
          <w:sz w:val="24"/>
          <w:szCs w:val="24"/>
        </w:rPr>
        <w:t>答：</w:t>
      </w:r>
      <w:r w:rsidR="005A589C" w:rsidRPr="005A589C">
        <w:rPr>
          <w:rFonts w:ascii="宋体" w:eastAsia="宋体" w:hAnsi="宋体" w:hint="eastAsia"/>
          <w:sz w:val="24"/>
          <w:szCs w:val="24"/>
        </w:rPr>
        <w:t>毅康科技收购资金</w:t>
      </w:r>
      <w:r w:rsidR="005A589C" w:rsidRPr="005A589C">
        <w:rPr>
          <w:rFonts w:ascii="宋体" w:eastAsia="宋体" w:hAnsi="宋体"/>
          <w:sz w:val="24"/>
          <w:szCs w:val="24"/>
        </w:rPr>
        <w:t>209,989.44万元，公司按照40%自有资金、60%银行贷款及</w:t>
      </w:r>
      <w:r w:rsidR="005A589C">
        <w:rPr>
          <w:rFonts w:ascii="宋体" w:eastAsia="宋体" w:hAnsi="宋体" w:hint="eastAsia"/>
          <w:sz w:val="24"/>
          <w:szCs w:val="24"/>
        </w:rPr>
        <w:t>并购</w:t>
      </w:r>
      <w:r w:rsidR="005A589C" w:rsidRPr="005A589C">
        <w:rPr>
          <w:rFonts w:ascii="宋体" w:eastAsia="宋体" w:hAnsi="宋体"/>
          <w:sz w:val="24"/>
          <w:szCs w:val="24"/>
        </w:rPr>
        <w:t>贷款利率4.35%进行的可行性研究测算。公司将根据付款时，公司资金状况具体确定银行贷款比例。</w:t>
      </w:r>
    </w:p>
    <w:p w14:paraId="57B2AD52" w14:textId="55C7C9B3" w:rsidR="00DB1F4A" w:rsidRPr="000B56C4" w:rsidRDefault="00DB1F4A" w:rsidP="00DB1F4A">
      <w:pPr>
        <w:rPr>
          <w:rFonts w:ascii="黑体" w:eastAsia="黑体" w:hAnsi="黑体"/>
          <w:b/>
          <w:sz w:val="28"/>
        </w:rPr>
      </w:pPr>
    </w:p>
    <w:p w14:paraId="0817C6C4" w14:textId="2FD22026" w:rsidR="00DB1F4A" w:rsidRPr="00DB1F4A" w:rsidRDefault="005A589C" w:rsidP="00DB1F4A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5</w:t>
      </w:r>
      <w:r w:rsidR="00DB1F4A">
        <w:rPr>
          <w:rFonts w:ascii="宋体" w:eastAsia="宋体" w:hAnsi="宋体" w:hint="eastAsia"/>
          <w:b/>
          <w:sz w:val="24"/>
          <w:szCs w:val="24"/>
        </w:rPr>
        <w:t>、</w:t>
      </w:r>
      <w:r w:rsidR="00264A63" w:rsidRPr="00264A63">
        <w:rPr>
          <w:rFonts w:ascii="宋体" w:eastAsia="宋体" w:hAnsi="宋体" w:hint="eastAsia"/>
          <w:b/>
          <w:sz w:val="24"/>
          <w:szCs w:val="24"/>
        </w:rPr>
        <w:t>本次收购后，公司和毅康科技在业务上如何协调或融合，未来如何管理毅康科技</w:t>
      </w:r>
      <w:r w:rsidR="00DB1F4A" w:rsidRPr="00DB1F4A">
        <w:rPr>
          <w:rFonts w:ascii="宋体" w:eastAsia="宋体" w:hAnsi="宋体"/>
          <w:b/>
          <w:sz w:val="24"/>
          <w:szCs w:val="24"/>
        </w:rPr>
        <w:t>？</w:t>
      </w:r>
    </w:p>
    <w:p w14:paraId="1F6857BE" w14:textId="47954C4F" w:rsidR="00E53CD1" w:rsidRPr="00E53CD1" w:rsidRDefault="00DB1F4A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答</w:t>
      </w:r>
      <w:r w:rsidRPr="00DB1F4A">
        <w:rPr>
          <w:rFonts w:ascii="宋体" w:eastAsia="宋体" w:hAnsi="宋体"/>
          <w:sz w:val="24"/>
          <w:szCs w:val="24"/>
        </w:rPr>
        <w:t>：</w:t>
      </w:r>
      <w:r w:rsidR="00E53CD1" w:rsidRPr="00E53CD1">
        <w:rPr>
          <w:rFonts w:ascii="宋体" w:eastAsia="宋体" w:hAnsi="宋体" w:hint="eastAsia"/>
          <w:sz w:val="24"/>
          <w:szCs w:val="24"/>
        </w:rPr>
        <w:t>一是毅康科技现有项目</w:t>
      </w:r>
      <w:r w:rsidR="00E53CD1" w:rsidRPr="00E53CD1">
        <w:rPr>
          <w:rFonts w:ascii="宋体" w:eastAsia="宋体" w:hAnsi="宋体"/>
          <w:sz w:val="24"/>
          <w:szCs w:val="24"/>
        </w:rPr>
        <w:t>28个，区域辐射山东、安徽、河</w:t>
      </w:r>
      <w:r w:rsidR="00E53CD1">
        <w:rPr>
          <w:rFonts w:ascii="宋体" w:eastAsia="宋体" w:hAnsi="宋体"/>
          <w:sz w:val="24"/>
          <w:szCs w:val="24"/>
        </w:rPr>
        <w:t>南、陕西、四川、山西等多个省市，初步实现了全国性的业务布局。</w:t>
      </w:r>
      <w:r w:rsidR="00E53CD1" w:rsidRPr="00E53CD1">
        <w:rPr>
          <w:rFonts w:ascii="宋体" w:eastAsia="宋体" w:hAnsi="宋体"/>
          <w:sz w:val="24"/>
          <w:szCs w:val="24"/>
        </w:rPr>
        <w:t>公司亦在全国多个省市有业务布局，双方合作后，将增加彼此业务获取渠道，增强彼此获取项目的</w:t>
      </w:r>
      <w:r w:rsidR="00E53CD1">
        <w:rPr>
          <w:rFonts w:ascii="宋体" w:eastAsia="宋体" w:hAnsi="宋体"/>
          <w:sz w:val="24"/>
          <w:szCs w:val="24"/>
        </w:rPr>
        <w:t>能力；二是毅康科技主营业务为环保水务领域的投资、运营、管理，</w:t>
      </w:r>
      <w:r w:rsidR="00E53CD1" w:rsidRPr="00E53CD1">
        <w:rPr>
          <w:rFonts w:ascii="宋体" w:eastAsia="宋体" w:hAnsi="宋体"/>
          <w:sz w:val="24"/>
          <w:szCs w:val="24"/>
        </w:rPr>
        <w:t>公司拥有丰富的交通基础设施投资、运营、管理经验，双方均从事基础设施领域的投资、管理工作，在业务类型方面存在一定的共性，有利于彼此业务及管理方面的融合。</w:t>
      </w:r>
    </w:p>
    <w:p w14:paraId="1330FCB6" w14:textId="1C798D05" w:rsidR="00DB1F4A" w:rsidRDefault="00E53CD1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53CD1">
        <w:rPr>
          <w:rFonts w:ascii="宋体" w:eastAsia="宋体" w:hAnsi="宋体" w:hint="eastAsia"/>
          <w:sz w:val="24"/>
          <w:szCs w:val="24"/>
        </w:rPr>
        <w:t>毅康科技于</w:t>
      </w:r>
      <w:r w:rsidRPr="00E53CD1">
        <w:rPr>
          <w:rFonts w:ascii="宋体" w:eastAsia="宋体" w:hAnsi="宋体"/>
          <w:sz w:val="24"/>
          <w:szCs w:val="24"/>
        </w:rPr>
        <w:t>2015年在新三板挂牌，2017年摘牌后并入康佳集团。毅康科技</w:t>
      </w:r>
      <w:r w:rsidRPr="00E53CD1">
        <w:rPr>
          <w:rFonts w:ascii="宋体" w:eastAsia="宋体" w:hAnsi="宋体"/>
          <w:sz w:val="24"/>
          <w:szCs w:val="24"/>
        </w:rPr>
        <w:lastRenderedPageBreak/>
        <w:t>先后接受证监会及国有体系管理已稳定经营5年有</w:t>
      </w:r>
      <w:r>
        <w:rPr>
          <w:rFonts w:ascii="宋体" w:eastAsia="宋体" w:hAnsi="宋体"/>
          <w:sz w:val="24"/>
          <w:szCs w:val="24"/>
        </w:rPr>
        <w:t>余，已形成了较为稳健的管理制度及内部控制体系，经营规范。</w:t>
      </w:r>
    </w:p>
    <w:p w14:paraId="522B139C" w14:textId="77777777" w:rsidR="00D66BAB" w:rsidRDefault="00D66BAB" w:rsidP="00DB1F4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39839DD0" w14:textId="3EBD6F03" w:rsidR="00264A63" w:rsidRPr="00DB1F4A" w:rsidRDefault="005A589C" w:rsidP="00264A63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6</w:t>
      </w:r>
      <w:r w:rsidR="00264A63">
        <w:rPr>
          <w:rFonts w:ascii="宋体" w:eastAsia="宋体" w:hAnsi="宋体" w:hint="eastAsia"/>
          <w:b/>
          <w:sz w:val="24"/>
          <w:szCs w:val="24"/>
        </w:rPr>
        <w:t>、</w:t>
      </w:r>
      <w:r w:rsidR="00253A57">
        <w:rPr>
          <w:rFonts w:ascii="宋体" w:eastAsia="宋体" w:hAnsi="宋体" w:hint="eastAsia"/>
          <w:b/>
          <w:sz w:val="24"/>
          <w:szCs w:val="24"/>
        </w:rPr>
        <w:t>本次收购与高速公路主业关系，是确定环保作为第二主业</w:t>
      </w:r>
      <w:r w:rsidR="00B42018">
        <w:rPr>
          <w:rFonts w:ascii="宋体" w:eastAsia="宋体" w:hAnsi="宋体" w:hint="eastAsia"/>
          <w:b/>
          <w:sz w:val="24"/>
          <w:szCs w:val="24"/>
        </w:rPr>
        <w:t>了吗？</w:t>
      </w:r>
      <w:r w:rsidR="00264A63" w:rsidRPr="00264A63">
        <w:rPr>
          <w:rFonts w:ascii="宋体" w:eastAsia="宋体" w:hAnsi="宋体" w:hint="eastAsia"/>
          <w:b/>
          <w:sz w:val="24"/>
          <w:szCs w:val="24"/>
        </w:rPr>
        <w:t>公司十四五规划是如何考虑的</w:t>
      </w:r>
      <w:r w:rsidR="00264A63" w:rsidRPr="00DB1F4A">
        <w:rPr>
          <w:rFonts w:ascii="宋体" w:eastAsia="宋体" w:hAnsi="宋体"/>
          <w:b/>
          <w:sz w:val="24"/>
          <w:szCs w:val="24"/>
        </w:rPr>
        <w:t>？</w:t>
      </w:r>
    </w:p>
    <w:p w14:paraId="2F527BED" w14:textId="5E05F43B" w:rsidR="00E53CD1" w:rsidRPr="00E53CD1" w:rsidRDefault="00264A63" w:rsidP="00E53CD1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答</w:t>
      </w:r>
      <w:r w:rsidRPr="00DB1F4A">
        <w:rPr>
          <w:rFonts w:ascii="宋体" w:eastAsia="宋体" w:hAnsi="宋体"/>
          <w:sz w:val="24"/>
          <w:szCs w:val="24"/>
        </w:rPr>
        <w:t>：</w:t>
      </w:r>
      <w:r w:rsidR="00E53CD1" w:rsidRPr="00E53CD1">
        <w:rPr>
          <w:rFonts w:ascii="宋体" w:eastAsia="宋体" w:hAnsi="宋体" w:hint="eastAsia"/>
          <w:sz w:val="24"/>
          <w:szCs w:val="24"/>
        </w:rPr>
        <w:t>毅康科技目前大量在建的</w:t>
      </w:r>
      <w:r w:rsidR="00E53CD1" w:rsidRPr="00E53CD1">
        <w:rPr>
          <w:rFonts w:ascii="宋体" w:eastAsia="宋体" w:hAnsi="宋体"/>
          <w:sz w:val="24"/>
          <w:szCs w:val="24"/>
        </w:rPr>
        <w:t>PPP项目多为15-30年长期项目，</w:t>
      </w:r>
      <w:r w:rsidR="00E53CD1">
        <w:rPr>
          <w:rFonts w:ascii="宋体" w:eastAsia="宋体" w:hAnsi="宋体"/>
          <w:sz w:val="24"/>
          <w:szCs w:val="24"/>
        </w:rPr>
        <w:t>回收期较长，业务发展需要较为充裕的现金流。本次收购有利于发挥</w:t>
      </w:r>
      <w:r w:rsidR="00E53CD1" w:rsidRPr="00E53CD1">
        <w:rPr>
          <w:rFonts w:ascii="宋体" w:eastAsia="宋体" w:hAnsi="宋体"/>
          <w:sz w:val="24"/>
          <w:szCs w:val="24"/>
        </w:rPr>
        <w:t>公司现金流量稳定的主业优势，有利于股份公司培育新的利润增长点。</w:t>
      </w:r>
    </w:p>
    <w:p w14:paraId="0A9F36CE" w14:textId="4DA2D8FA" w:rsidR="00264A63" w:rsidRDefault="00E53CD1" w:rsidP="005858F9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53CD1">
        <w:rPr>
          <w:rFonts w:ascii="宋体" w:eastAsia="宋体" w:hAnsi="宋体" w:hint="eastAsia"/>
          <w:sz w:val="24"/>
          <w:szCs w:val="24"/>
        </w:rPr>
        <w:t>公司计划在十四五期间围绕高速公路产业链上下游、政府购买服务等领域，选择具备投资前景的行业培育</w:t>
      </w:r>
      <w:r w:rsidR="00153181">
        <w:rPr>
          <w:rFonts w:ascii="宋体" w:eastAsia="宋体" w:hAnsi="宋体" w:hint="eastAsia"/>
          <w:sz w:val="24"/>
          <w:szCs w:val="24"/>
        </w:rPr>
        <w:t>新的</w:t>
      </w:r>
      <w:r w:rsidR="00153181">
        <w:rPr>
          <w:rFonts w:ascii="宋体" w:eastAsia="宋体" w:hAnsi="宋体"/>
          <w:sz w:val="24"/>
          <w:szCs w:val="24"/>
        </w:rPr>
        <w:t>利润增长点</w:t>
      </w:r>
      <w:r w:rsidRPr="00E53CD1">
        <w:rPr>
          <w:rFonts w:ascii="宋体" w:eastAsia="宋体" w:hAnsi="宋体" w:hint="eastAsia"/>
          <w:sz w:val="24"/>
          <w:szCs w:val="24"/>
        </w:rPr>
        <w:t>，打造集投资、建设管理、运营服务（含管理输出）为一体的专业化基础设施运营企业。若公司对毅康科技的投资成果符合预期，公司将逐步扩大其投资规模，收购核心技术，吸纳相关人才，逐步</w:t>
      </w:r>
      <w:r w:rsidR="00153181">
        <w:rPr>
          <w:rFonts w:ascii="宋体" w:eastAsia="宋体" w:hAnsi="宋体" w:hint="eastAsia"/>
          <w:sz w:val="24"/>
          <w:szCs w:val="24"/>
        </w:rPr>
        <w:t>增强这一利润</w:t>
      </w:r>
      <w:r w:rsidR="00153181">
        <w:rPr>
          <w:rFonts w:ascii="宋体" w:eastAsia="宋体" w:hAnsi="宋体"/>
          <w:sz w:val="24"/>
          <w:szCs w:val="24"/>
        </w:rPr>
        <w:t>增长点</w:t>
      </w:r>
      <w:r w:rsidR="00264A63" w:rsidRPr="00DB1F4A">
        <w:rPr>
          <w:rFonts w:ascii="宋体" w:eastAsia="宋体" w:hAnsi="宋体"/>
          <w:sz w:val="24"/>
          <w:szCs w:val="24"/>
        </w:rPr>
        <w:t>。</w:t>
      </w:r>
    </w:p>
    <w:p w14:paraId="5373EC17" w14:textId="77777777" w:rsidR="00264A63" w:rsidRDefault="00264A63" w:rsidP="00DB1F4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14B9C06" w14:textId="5218D3C8" w:rsidR="007B3CD8" w:rsidRPr="00DB1F4A" w:rsidRDefault="005858F9" w:rsidP="007B3CD8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7</w:t>
      </w:r>
      <w:r w:rsidR="007B3CD8">
        <w:rPr>
          <w:rFonts w:ascii="宋体" w:eastAsia="宋体" w:hAnsi="宋体" w:hint="eastAsia"/>
          <w:b/>
          <w:sz w:val="24"/>
          <w:szCs w:val="24"/>
        </w:rPr>
        <w:t>、</w:t>
      </w:r>
      <w:r w:rsidR="007B3CD8" w:rsidRPr="007B3CD8">
        <w:rPr>
          <w:rFonts w:ascii="宋体" w:eastAsia="宋体" w:hAnsi="宋体" w:hint="eastAsia"/>
          <w:b/>
          <w:sz w:val="24"/>
          <w:szCs w:val="24"/>
        </w:rPr>
        <w:t>股权交易的定价是以经评估的母公司的股权价值为依据的，为何没有以合并口径的评估价值作为交易定价</w:t>
      </w:r>
      <w:r w:rsidR="007B3CD8" w:rsidRPr="00DB1F4A">
        <w:rPr>
          <w:rFonts w:ascii="宋体" w:eastAsia="宋体" w:hAnsi="宋体"/>
          <w:b/>
          <w:sz w:val="24"/>
          <w:szCs w:val="24"/>
        </w:rPr>
        <w:t>？</w:t>
      </w:r>
    </w:p>
    <w:p w14:paraId="0F761D38" w14:textId="4FB4F88B" w:rsidR="007B3CD8" w:rsidRDefault="007B3CD8" w:rsidP="00DB1F4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7B3CD8">
        <w:rPr>
          <w:rFonts w:ascii="宋体" w:eastAsia="宋体" w:hAnsi="宋体" w:hint="eastAsia"/>
          <w:sz w:val="24"/>
          <w:szCs w:val="24"/>
        </w:rPr>
        <w:t>按照评估的准则及惯例，对股权交易的标定公司进行收益法评估时，评估对象往往是标的企业母公司股权。收益法仅预测母公司的收入、成本、费用及现金流，被评估企业合并报表内的其他子公司的价值往往作为溢余资产，体现在母公司的长期股权投资价值中。因此对母公司的收益法评估能够体现毅康科技全部股东权益价值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1A55568" w14:textId="77777777" w:rsidR="007B3CD8" w:rsidRDefault="007B3CD8" w:rsidP="00DB1F4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52D9F18E" w14:textId="0ACB7290" w:rsidR="007B3CD8" w:rsidRPr="00DB1F4A" w:rsidRDefault="005858F9" w:rsidP="007B3CD8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8</w:t>
      </w:r>
      <w:r w:rsidR="007B3CD8">
        <w:rPr>
          <w:rFonts w:ascii="宋体" w:eastAsia="宋体" w:hAnsi="宋体" w:hint="eastAsia"/>
          <w:b/>
          <w:sz w:val="24"/>
          <w:szCs w:val="24"/>
        </w:rPr>
        <w:t>、请问</w:t>
      </w:r>
      <w:r w:rsidR="007B3CD8" w:rsidRPr="007B3CD8">
        <w:rPr>
          <w:rFonts w:ascii="宋体" w:eastAsia="宋体" w:hAnsi="宋体" w:hint="eastAsia"/>
          <w:b/>
          <w:sz w:val="24"/>
          <w:szCs w:val="24"/>
        </w:rPr>
        <w:t>毅康科技的收入预测为何是逐年下滑的状态</w:t>
      </w:r>
      <w:r w:rsidR="007B3CD8" w:rsidRPr="00DB1F4A">
        <w:rPr>
          <w:rFonts w:ascii="宋体" w:eastAsia="宋体" w:hAnsi="宋体"/>
          <w:b/>
          <w:sz w:val="24"/>
          <w:szCs w:val="24"/>
        </w:rPr>
        <w:t>？</w:t>
      </w:r>
    </w:p>
    <w:p w14:paraId="63D49D5B" w14:textId="24E61880" w:rsidR="007B3CD8" w:rsidRPr="007B3CD8" w:rsidRDefault="007B3CD8" w:rsidP="007B3CD8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答：</w:t>
      </w:r>
      <w:r w:rsidRPr="007B3CD8">
        <w:rPr>
          <w:rFonts w:ascii="宋体" w:eastAsia="宋体" w:hAnsi="宋体" w:hint="eastAsia"/>
          <w:sz w:val="24"/>
          <w:szCs w:val="24"/>
        </w:rPr>
        <w:t>毅康科技当前处于业务转型期，目前大部分项目处于建设阶段，尚未进入运营期，未来</w:t>
      </w:r>
      <w:r w:rsidR="00540643">
        <w:rPr>
          <w:rFonts w:ascii="宋体" w:eastAsia="宋体" w:hAnsi="宋体" w:hint="eastAsia"/>
          <w:sz w:val="24"/>
          <w:szCs w:val="24"/>
        </w:rPr>
        <w:t>公司</w:t>
      </w:r>
      <w:r w:rsidRPr="007B3CD8">
        <w:rPr>
          <w:rFonts w:ascii="宋体" w:eastAsia="宋体" w:hAnsi="宋体" w:hint="eastAsia"/>
          <w:sz w:val="24"/>
          <w:szCs w:val="24"/>
        </w:rPr>
        <w:t>投资后将控制毅康科技新增投资项目的规模，减少施工收入的占比，逐步提升运营收入的占比。</w:t>
      </w:r>
    </w:p>
    <w:p w14:paraId="1ECA52DF" w14:textId="787F618B" w:rsidR="007B3CD8" w:rsidRPr="004F5B04" w:rsidRDefault="007B3CD8" w:rsidP="007B3CD8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B3CD8">
        <w:rPr>
          <w:rFonts w:ascii="宋体" w:eastAsia="宋体" w:hAnsi="宋体" w:hint="eastAsia"/>
          <w:sz w:val="24"/>
          <w:szCs w:val="24"/>
        </w:rPr>
        <w:t>由于毅康科技的业务模式，目前施工业务收入主要在母公司产生，运营业务收入主要在项目公司产生，由于收益法的评估对象是毅康科技母公司，因此施工业务收入呈现逐年下降的状态，</w:t>
      </w:r>
      <w:r w:rsidR="004F5B04" w:rsidRPr="007B3CD8" w:rsidDel="004F5B04">
        <w:rPr>
          <w:rFonts w:ascii="宋体" w:eastAsia="宋体" w:hAnsi="宋体" w:hint="eastAsia"/>
          <w:sz w:val="24"/>
          <w:szCs w:val="24"/>
        </w:rPr>
        <w:t xml:space="preserve"> </w:t>
      </w:r>
    </w:p>
    <w:p w14:paraId="121F9C69" w14:textId="77777777" w:rsidR="007B3CD8" w:rsidRDefault="007B3CD8" w:rsidP="00DB1F4A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7B6ADEFC" w14:textId="48A7BD33" w:rsidR="005858F9" w:rsidRPr="00DB1F4A" w:rsidRDefault="005858F9" w:rsidP="005858F9">
      <w:pPr>
        <w:spacing w:line="48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9</w:t>
      </w:r>
      <w:r>
        <w:rPr>
          <w:rFonts w:ascii="宋体" w:eastAsia="宋体" w:hAnsi="宋体" w:hint="eastAsia"/>
          <w:b/>
          <w:sz w:val="24"/>
          <w:szCs w:val="24"/>
        </w:rPr>
        <w:t>、公司</w:t>
      </w:r>
      <w:r w:rsidRPr="00264A63">
        <w:rPr>
          <w:rFonts w:ascii="宋体" w:eastAsia="宋体" w:hAnsi="宋体" w:hint="eastAsia"/>
          <w:b/>
          <w:sz w:val="24"/>
          <w:szCs w:val="24"/>
        </w:rPr>
        <w:t>管理层对公司全年业绩</w:t>
      </w:r>
      <w:r>
        <w:rPr>
          <w:rFonts w:ascii="宋体" w:eastAsia="宋体" w:hAnsi="宋体" w:hint="eastAsia"/>
          <w:b/>
          <w:sz w:val="24"/>
          <w:szCs w:val="24"/>
        </w:rPr>
        <w:t>有何</w:t>
      </w:r>
      <w:r w:rsidRPr="00264A63">
        <w:rPr>
          <w:rFonts w:ascii="宋体" w:eastAsia="宋体" w:hAnsi="宋体" w:hint="eastAsia"/>
          <w:b/>
          <w:sz w:val="24"/>
          <w:szCs w:val="24"/>
        </w:rPr>
        <w:t>展望</w:t>
      </w:r>
      <w:r w:rsidRPr="00DB1F4A">
        <w:rPr>
          <w:rFonts w:ascii="宋体" w:eastAsia="宋体" w:hAnsi="宋体"/>
          <w:b/>
          <w:sz w:val="24"/>
          <w:szCs w:val="24"/>
        </w:rPr>
        <w:t>？</w:t>
      </w:r>
    </w:p>
    <w:p w14:paraId="4DF96687" w14:textId="76B6A331" w:rsidR="005858F9" w:rsidRPr="00E53CD1" w:rsidRDefault="005858F9" w:rsidP="005858F9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答</w:t>
      </w:r>
      <w:r w:rsidRPr="00DB1F4A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公司前三</w:t>
      </w:r>
      <w:r w:rsidRPr="00E53CD1">
        <w:rPr>
          <w:rFonts w:ascii="宋体" w:eastAsia="宋体" w:hAnsi="宋体" w:hint="eastAsia"/>
          <w:sz w:val="24"/>
          <w:szCs w:val="24"/>
        </w:rPr>
        <w:t>季度实现归母净利润</w:t>
      </w:r>
      <w:r w:rsidRPr="00E53CD1">
        <w:rPr>
          <w:rFonts w:ascii="宋体" w:eastAsia="宋体" w:hAnsi="宋体"/>
          <w:sz w:val="24"/>
          <w:szCs w:val="24"/>
        </w:rPr>
        <w:t>20.64亿元，其中第一季度实现5.99亿元，第二季度实现7.34亿元，第三季度实现7.31亿元。若今年第四季度按照去年第四季度7.03亿元估算，全年可实现27.67亿元。</w:t>
      </w:r>
    </w:p>
    <w:p w14:paraId="4FC10818" w14:textId="49CDFEAB" w:rsidR="007B3CD8" w:rsidRDefault="005858F9" w:rsidP="005858F9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E53CD1">
        <w:rPr>
          <w:rFonts w:ascii="宋体" w:eastAsia="宋体" w:hAnsi="宋体" w:hint="eastAsia"/>
          <w:sz w:val="24"/>
          <w:szCs w:val="24"/>
        </w:rPr>
        <w:t>与去年不同的是，今年第四季度有四个变化：一是齐鲁高速收购项目预计年内完成，届时将增厚公司归母净利润约</w:t>
      </w:r>
      <w:r w:rsidRPr="00E53CD1">
        <w:rPr>
          <w:rFonts w:ascii="宋体" w:eastAsia="宋体" w:hAnsi="宋体"/>
          <w:sz w:val="24"/>
          <w:szCs w:val="24"/>
        </w:rPr>
        <w:t>3亿元。二是京台高速济泰改扩建项目，按照正常工期，预计本月中旬左幅（济南-泰安方向）将具备保通条件，而右幅还未进行改扩建一直保持3车道通行，如果京台济泰段在12月份期间实现双向通行，增加的通行费收入将对公司2021年业绩作出贡献。三是若毅康科技项目年内完成收购，也会对公司业绩影响产生积极影响。四是考虑到今年第四季度前两个月疫情多点散发，公司通行费收入可能会有所波动。同时，收购项目可能面临宏观经济、行业政策变</w:t>
      </w:r>
      <w:r w:rsidRPr="00E53CD1">
        <w:rPr>
          <w:rFonts w:ascii="宋体" w:eastAsia="宋体" w:hAnsi="宋体" w:hint="eastAsia"/>
          <w:sz w:val="24"/>
          <w:szCs w:val="24"/>
        </w:rPr>
        <w:t>化等多种不确定因素，具体以公司披露的临时公告为准。以上数据未经会计师</w:t>
      </w:r>
      <w:r>
        <w:rPr>
          <w:rFonts w:ascii="宋体" w:eastAsia="宋体" w:hAnsi="宋体" w:hint="eastAsia"/>
          <w:sz w:val="24"/>
          <w:szCs w:val="24"/>
        </w:rPr>
        <w:t>事务所</w:t>
      </w:r>
      <w:r w:rsidRPr="00E53CD1">
        <w:rPr>
          <w:rFonts w:ascii="宋体" w:eastAsia="宋体" w:hAnsi="宋体" w:hint="eastAsia"/>
          <w:sz w:val="24"/>
          <w:szCs w:val="24"/>
        </w:rPr>
        <w:t>审计，具体以披露的定期报告为准。总之，</w:t>
      </w:r>
      <w:r w:rsidRPr="00E53CD1">
        <w:rPr>
          <w:rFonts w:ascii="宋体" w:eastAsia="宋体" w:hAnsi="宋体"/>
          <w:sz w:val="24"/>
          <w:szCs w:val="24"/>
        </w:rPr>
        <w:t>2021年压力和机遇并存，在最后的2个月里，公司将</w:t>
      </w:r>
      <w:r w:rsidR="004F5B04">
        <w:rPr>
          <w:rFonts w:ascii="宋体" w:eastAsia="宋体" w:hAnsi="宋体" w:hint="eastAsia"/>
          <w:sz w:val="24"/>
          <w:szCs w:val="24"/>
        </w:rPr>
        <w:t>全力以赴</w:t>
      </w:r>
      <w:r w:rsidRPr="00E53CD1">
        <w:rPr>
          <w:rFonts w:ascii="宋体" w:eastAsia="宋体" w:hAnsi="宋体"/>
          <w:sz w:val="24"/>
          <w:szCs w:val="24"/>
        </w:rPr>
        <w:t>，争取给股东及投资者一个满意答卷。</w:t>
      </w:r>
    </w:p>
    <w:p w14:paraId="661232AE" w14:textId="77777777" w:rsidR="005858F9" w:rsidRDefault="005858F9" w:rsidP="005858F9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632F1F4A" w14:textId="77777777" w:rsidR="005858F9" w:rsidRPr="007B3CD8" w:rsidRDefault="005858F9" w:rsidP="005858F9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0A8D0170" w14:textId="77777777" w:rsidR="007075A4" w:rsidRDefault="007075A4" w:rsidP="007075A4">
      <w:pPr>
        <w:spacing w:line="48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山东高速股份有限公司</w:t>
      </w:r>
    </w:p>
    <w:p w14:paraId="5E7CE154" w14:textId="79DDB6DE" w:rsidR="00AF788A" w:rsidRPr="000C5000" w:rsidRDefault="00676719" w:rsidP="000C5000">
      <w:pPr>
        <w:spacing w:line="48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021</w:t>
      </w:r>
      <w:r w:rsidR="007075A4">
        <w:rPr>
          <w:rFonts w:ascii="宋体" w:eastAsia="宋体" w:hAnsi="宋体" w:hint="eastAsia"/>
          <w:sz w:val="24"/>
          <w:szCs w:val="24"/>
        </w:rPr>
        <w:t>年</w:t>
      </w:r>
      <w:r w:rsidR="00DB1F4A">
        <w:rPr>
          <w:rFonts w:ascii="宋体" w:eastAsia="宋体" w:hAnsi="宋体"/>
          <w:sz w:val="24"/>
          <w:szCs w:val="24"/>
        </w:rPr>
        <w:t>11</w:t>
      </w:r>
      <w:r w:rsidR="007075A4">
        <w:rPr>
          <w:rFonts w:ascii="宋体" w:eastAsia="宋体" w:hAnsi="宋体" w:hint="eastAsia"/>
          <w:sz w:val="24"/>
          <w:szCs w:val="24"/>
        </w:rPr>
        <w:t>月</w:t>
      </w:r>
      <w:r w:rsidR="009D5EEE">
        <w:rPr>
          <w:rFonts w:ascii="宋体" w:eastAsia="宋体" w:hAnsi="宋体"/>
          <w:sz w:val="24"/>
          <w:szCs w:val="24"/>
        </w:rPr>
        <w:t>10</w:t>
      </w:r>
      <w:r w:rsidR="007075A4">
        <w:rPr>
          <w:rFonts w:ascii="宋体" w:eastAsia="宋体" w:hAnsi="宋体" w:hint="eastAsia"/>
          <w:sz w:val="24"/>
          <w:szCs w:val="24"/>
        </w:rPr>
        <w:t>日</w:t>
      </w:r>
    </w:p>
    <w:sectPr w:rsidR="00AF788A" w:rsidRPr="000C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499F" w14:textId="77777777" w:rsidR="002516D8" w:rsidRDefault="002516D8" w:rsidP="00E1029E">
      <w:r>
        <w:separator/>
      </w:r>
    </w:p>
  </w:endnote>
  <w:endnote w:type="continuationSeparator" w:id="0">
    <w:p w14:paraId="0B728BF1" w14:textId="77777777" w:rsidR="002516D8" w:rsidRDefault="002516D8" w:rsidP="00E1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7AC8" w14:textId="77777777" w:rsidR="002516D8" w:rsidRDefault="002516D8" w:rsidP="00E1029E">
      <w:r>
        <w:separator/>
      </w:r>
    </w:p>
  </w:footnote>
  <w:footnote w:type="continuationSeparator" w:id="0">
    <w:p w14:paraId="67C3ECB7" w14:textId="77777777" w:rsidR="002516D8" w:rsidRDefault="002516D8" w:rsidP="00E1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A"/>
    <w:rsid w:val="00053A17"/>
    <w:rsid w:val="0008088C"/>
    <w:rsid w:val="000C5000"/>
    <w:rsid w:val="000E20DE"/>
    <w:rsid w:val="0011741E"/>
    <w:rsid w:val="00152C8C"/>
    <w:rsid w:val="00153181"/>
    <w:rsid w:val="00197A6A"/>
    <w:rsid w:val="00197EC2"/>
    <w:rsid w:val="001A3485"/>
    <w:rsid w:val="001B2B7C"/>
    <w:rsid w:val="001C530B"/>
    <w:rsid w:val="001E33D4"/>
    <w:rsid w:val="001F1956"/>
    <w:rsid w:val="002516D8"/>
    <w:rsid w:val="002531E8"/>
    <w:rsid w:val="00253A57"/>
    <w:rsid w:val="00264A63"/>
    <w:rsid w:val="00264EE2"/>
    <w:rsid w:val="002764EF"/>
    <w:rsid w:val="00281428"/>
    <w:rsid w:val="002C45AD"/>
    <w:rsid w:val="002C69E6"/>
    <w:rsid w:val="002D54B8"/>
    <w:rsid w:val="0032061F"/>
    <w:rsid w:val="003326C0"/>
    <w:rsid w:val="00335199"/>
    <w:rsid w:val="003640E5"/>
    <w:rsid w:val="00377735"/>
    <w:rsid w:val="00393982"/>
    <w:rsid w:val="003A2246"/>
    <w:rsid w:val="003B527F"/>
    <w:rsid w:val="003E54FE"/>
    <w:rsid w:val="003F50AC"/>
    <w:rsid w:val="004145B6"/>
    <w:rsid w:val="0044244F"/>
    <w:rsid w:val="004554C5"/>
    <w:rsid w:val="004603F3"/>
    <w:rsid w:val="004733A5"/>
    <w:rsid w:val="00474F40"/>
    <w:rsid w:val="0047511F"/>
    <w:rsid w:val="0049080F"/>
    <w:rsid w:val="0049393F"/>
    <w:rsid w:val="004B62B9"/>
    <w:rsid w:val="004F5B04"/>
    <w:rsid w:val="00501F33"/>
    <w:rsid w:val="00512359"/>
    <w:rsid w:val="005151A8"/>
    <w:rsid w:val="00521811"/>
    <w:rsid w:val="00524BC9"/>
    <w:rsid w:val="00540643"/>
    <w:rsid w:val="005858F9"/>
    <w:rsid w:val="00594803"/>
    <w:rsid w:val="005A589C"/>
    <w:rsid w:val="005D2475"/>
    <w:rsid w:val="005D6023"/>
    <w:rsid w:val="005E7689"/>
    <w:rsid w:val="005F2CAF"/>
    <w:rsid w:val="00624BC2"/>
    <w:rsid w:val="00642226"/>
    <w:rsid w:val="00676719"/>
    <w:rsid w:val="00690BFB"/>
    <w:rsid w:val="006F31C1"/>
    <w:rsid w:val="006F5098"/>
    <w:rsid w:val="007075A4"/>
    <w:rsid w:val="007179FC"/>
    <w:rsid w:val="0079685D"/>
    <w:rsid w:val="007B3CD8"/>
    <w:rsid w:val="007B5C26"/>
    <w:rsid w:val="007B6A02"/>
    <w:rsid w:val="007D73CF"/>
    <w:rsid w:val="00812A73"/>
    <w:rsid w:val="00815306"/>
    <w:rsid w:val="00817899"/>
    <w:rsid w:val="0082615C"/>
    <w:rsid w:val="00841EDD"/>
    <w:rsid w:val="00843ABA"/>
    <w:rsid w:val="008605C8"/>
    <w:rsid w:val="00870D17"/>
    <w:rsid w:val="00874812"/>
    <w:rsid w:val="00875B26"/>
    <w:rsid w:val="00895F5B"/>
    <w:rsid w:val="008E7B1C"/>
    <w:rsid w:val="009074AC"/>
    <w:rsid w:val="0097359F"/>
    <w:rsid w:val="009A1268"/>
    <w:rsid w:val="009A4D09"/>
    <w:rsid w:val="009C3ABA"/>
    <w:rsid w:val="009D5EEE"/>
    <w:rsid w:val="009E6FD3"/>
    <w:rsid w:val="00A07671"/>
    <w:rsid w:val="00A3326F"/>
    <w:rsid w:val="00A6583E"/>
    <w:rsid w:val="00A811C4"/>
    <w:rsid w:val="00A95FB4"/>
    <w:rsid w:val="00AF788A"/>
    <w:rsid w:val="00B42018"/>
    <w:rsid w:val="00B83B4D"/>
    <w:rsid w:val="00B91763"/>
    <w:rsid w:val="00BA303D"/>
    <w:rsid w:val="00BB0722"/>
    <w:rsid w:val="00BB56B6"/>
    <w:rsid w:val="00BD0BAF"/>
    <w:rsid w:val="00BD1D01"/>
    <w:rsid w:val="00BF2691"/>
    <w:rsid w:val="00C144F6"/>
    <w:rsid w:val="00C22674"/>
    <w:rsid w:val="00C3039C"/>
    <w:rsid w:val="00C32E9B"/>
    <w:rsid w:val="00C42951"/>
    <w:rsid w:val="00C56C68"/>
    <w:rsid w:val="00C83688"/>
    <w:rsid w:val="00CE010F"/>
    <w:rsid w:val="00D015CB"/>
    <w:rsid w:val="00D1215A"/>
    <w:rsid w:val="00D249AD"/>
    <w:rsid w:val="00D260D7"/>
    <w:rsid w:val="00D456C8"/>
    <w:rsid w:val="00D569EF"/>
    <w:rsid w:val="00D66BAB"/>
    <w:rsid w:val="00D80EC2"/>
    <w:rsid w:val="00D94B0B"/>
    <w:rsid w:val="00DB1F4A"/>
    <w:rsid w:val="00DF055E"/>
    <w:rsid w:val="00E1029E"/>
    <w:rsid w:val="00E120FD"/>
    <w:rsid w:val="00E53CD1"/>
    <w:rsid w:val="00E6186D"/>
    <w:rsid w:val="00E77F3F"/>
    <w:rsid w:val="00E837FA"/>
    <w:rsid w:val="00EC629A"/>
    <w:rsid w:val="00ED4096"/>
    <w:rsid w:val="00ED698A"/>
    <w:rsid w:val="00EE03F2"/>
    <w:rsid w:val="00EE0BD7"/>
    <w:rsid w:val="00EF65EE"/>
    <w:rsid w:val="00F15ED0"/>
    <w:rsid w:val="00F52045"/>
    <w:rsid w:val="00F54F22"/>
    <w:rsid w:val="00F64BBA"/>
    <w:rsid w:val="00F675EF"/>
    <w:rsid w:val="00F85127"/>
    <w:rsid w:val="00FA64EF"/>
    <w:rsid w:val="00FD2D9F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C4CA5"/>
  <w15:chartTrackingRefBased/>
  <w15:docId w15:val="{2D8EA409-5B96-4309-BEF3-F877A28F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F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90BF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02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029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615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2615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2615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615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26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SGGF</dc:creator>
  <cp:keywords/>
  <dc:description/>
  <cp:lastModifiedBy>CK</cp:lastModifiedBy>
  <cp:revision>6</cp:revision>
  <cp:lastPrinted>2021-10-15T08:53:00Z</cp:lastPrinted>
  <dcterms:created xsi:type="dcterms:W3CDTF">2021-11-09T06:05:00Z</dcterms:created>
  <dcterms:modified xsi:type="dcterms:W3CDTF">2021-11-09T09:03:00Z</dcterms:modified>
</cp:coreProperties>
</file>