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5812" w14:textId="77777777" w:rsidR="00227395" w:rsidRDefault="00817CF3">
      <w:pPr>
        <w:spacing w:beforeLines="50" w:before="180" w:afterLines="50" w:after="180" w:line="400" w:lineRule="exact"/>
        <w:rPr>
          <w:color w:val="000000"/>
          <w:sz w:val="24"/>
          <w:szCs w:val="24"/>
        </w:rPr>
      </w:pPr>
      <w:r>
        <w:rPr>
          <w:color w:val="000000"/>
          <w:sz w:val="24"/>
          <w:szCs w:val="24"/>
        </w:rPr>
        <w:t>证券代码：</w:t>
      </w:r>
      <w:r>
        <w:rPr>
          <w:color w:val="000000"/>
          <w:sz w:val="24"/>
          <w:szCs w:val="24"/>
        </w:rPr>
        <w:t xml:space="preserve">603359                                                                                                          </w:t>
      </w:r>
      <w:r>
        <w:rPr>
          <w:color w:val="000000"/>
          <w:sz w:val="24"/>
          <w:szCs w:val="24"/>
        </w:rPr>
        <w:t>证券简称：东珠生态</w:t>
      </w:r>
    </w:p>
    <w:p w14:paraId="6A8B716C" w14:textId="77777777" w:rsidR="00227395" w:rsidRDefault="00817CF3">
      <w:pPr>
        <w:spacing w:beforeLines="50" w:before="180" w:afterLines="50" w:after="180" w:line="400" w:lineRule="exact"/>
        <w:jc w:val="center"/>
        <w:rPr>
          <w:b/>
          <w:color w:val="000000"/>
          <w:sz w:val="24"/>
          <w:szCs w:val="24"/>
        </w:rPr>
      </w:pPr>
      <w:r>
        <w:rPr>
          <w:b/>
          <w:color w:val="000000"/>
          <w:sz w:val="24"/>
          <w:szCs w:val="24"/>
        </w:rPr>
        <w:t>东珠生态环保股份有限公司投资者关系活动记录表</w:t>
      </w:r>
    </w:p>
    <w:p w14:paraId="028B26A3" w14:textId="77777777" w:rsidR="00227395" w:rsidRDefault="00817CF3">
      <w:pPr>
        <w:spacing w:line="400" w:lineRule="exact"/>
        <w:ind w:right="960" w:firstLineChars="3200" w:firstLine="7680"/>
        <w:rPr>
          <w:color w:val="000000"/>
          <w:sz w:val="24"/>
          <w:szCs w:val="24"/>
        </w:rPr>
      </w:pPr>
      <w:r>
        <w:rPr>
          <w:color w:val="000000"/>
          <w:sz w:val="24"/>
          <w:szCs w:val="24"/>
        </w:rPr>
        <w:t>编号：</w:t>
      </w:r>
      <w:r>
        <w:rPr>
          <w:color w:val="000000"/>
          <w:sz w:val="24"/>
          <w:szCs w:val="24"/>
        </w:rPr>
        <w:t xml:space="preserve"> 2021-002</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227395" w14:paraId="3EA7906E" w14:textId="77777777">
        <w:tc>
          <w:tcPr>
            <w:tcW w:w="1773" w:type="dxa"/>
            <w:vAlign w:val="center"/>
          </w:tcPr>
          <w:p w14:paraId="2F55EBFF" w14:textId="77777777" w:rsidR="00227395" w:rsidRDefault="00817CF3">
            <w:pPr>
              <w:rPr>
                <w:color w:val="000000"/>
                <w:sz w:val="24"/>
                <w:szCs w:val="24"/>
              </w:rPr>
            </w:pPr>
            <w:r>
              <w:rPr>
                <w:color w:val="000000"/>
                <w:sz w:val="24"/>
                <w:szCs w:val="24"/>
              </w:rPr>
              <w:t>投资者关系活动类别</w:t>
            </w:r>
          </w:p>
        </w:tc>
        <w:tc>
          <w:tcPr>
            <w:tcW w:w="8909" w:type="dxa"/>
          </w:tcPr>
          <w:p w14:paraId="0E4B52A2" w14:textId="77777777" w:rsidR="00227395" w:rsidRDefault="00817CF3">
            <w:pPr>
              <w:spacing w:line="480" w:lineRule="atLeast"/>
              <w:rPr>
                <w:color w:val="000000"/>
                <w:sz w:val="24"/>
                <w:szCs w:val="24"/>
              </w:rPr>
            </w:pPr>
            <w:r>
              <w:rPr>
                <w:rFonts w:ascii="宋体" w:hAnsi="宋体" w:hint="eastAsia"/>
                <w:color w:val="000000"/>
                <w:sz w:val="24"/>
                <w:szCs w:val="24"/>
              </w:rPr>
              <w:t>■</w:t>
            </w:r>
            <w:r>
              <w:rPr>
                <w:sz w:val="24"/>
                <w:szCs w:val="24"/>
              </w:rPr>
              <w:t>特定对象调研</w:t>
            </w:r>
            <w:r>
              <w:rPr>
                <w:sz w:val="24"/>
                <w:szCs w:val="24"/>
              </w:rPr>
              <w:t xml:space="preserve">     </w:t>
            </w:r>
            <w:r>
              <w:rPr>
                <w:rFonts w:ascii="宋体" w:hAnsi="宋体" w:hint="eastAsia"/>
                <w:color w:val="000000"/>
                <w:sz w:val="24"/>
                <w:szCs w:val="24"/>
              </w:rPr>
              <w:t>□</w:t>
            </w:r>
            <w:r>
              <w:rPr>
                <w:sz w:val="24"/>
                <w:szCs w:val="24"/>
              </w:rPr>
              <w:t>分析师会议</w:t>
            </w:r>
          </w:p>
          <w:p w14:paraId="7AADD5C8" w14:textId="77777777" w:rsidR="00227395" w:rsidRDefault="00817CF3">
            <w:pPr>
              <w:spacing w:line="480" w:lineRule="atLeast"/>
              <w:rPr>
                <w:color w:val="000000"/>
                <w:sz w:val="24"/>
                <w:szCs w:val="24"/>
              </w:rPr>
            </w:pPr>
            <w:r>
              <w:rPr>
                <w:rFonts w:ascii="宋体" w:hAnsi="宋体" w:hint="eastAsia"/>
                <w:color w:val="000000"/>
                <w:sz w:val="24"/>
                <w:szCs w:val="24"/>
              </w:rPr>
              <w:t>□</w:t>
            </w:r>
            <w:r>
              <w:rPr>
                <w:sz w:val="24"/>
                <w:szCs w:val="24"/>
              </w:rPr>
              <w:t>媒体采访</w:t>
            </w:r>
            <w:r>
              <w:rPr>
                <w:sz w:val="24"/>
                <w:szCs w:val="24"/>
              </w:rPr>
              <w:t xml:space="preserve">             </w:t>
            </w:r>
            <w:r>
              <w:rPr>
                <w:rFonts w:ascii="宋体" w:hAnsi="宋体" w:hint="eastAsia"/>
                <w:color w:val="000000"/>
                <w:sz w:val="24"/>
                <w:szCs w:val="24"/>
              </w:rPr>
              <w:t>□</w:t>
            </w:r>
            <w:r>
              <w:rPr>
                <w:sz w:val="24"/>
                <w:szCs w:val="24"/>
              </w:rPr>
              <w:t>业绩说明会</w:t>
            </w:r>
          </w:p>
          <w:p w14:paraId="79EF5E0D" w14:textId="77777777" w:rsidR="00227395" w:rsidRDefault="00817CF3">
            <w:pPr>
              <w:spacing w:line="480" w:lineRule="atLeast"/>
              <w:rPr>
                <w:color w:val="000000"/>
                <w:sz w:val="24"/>
                <w:szCs w:val="24"/>
              </w:rPr>
            </w:pPr>
            <w:r>
              <w:rPr>
                <w:rFonts w:ascii="宋体" w:hAnsi="宋体" w:hint="eastAsia"/>
                <w:color w:val="000000"/>
                <w:sz w:val="24"/>
                <w:szCs w:val="24"/>
              </w:rPr>
              <w:t>□</w:t>
            </w:r>
            <w:r>
              <w:rPr>
                <w:sz w:val="24"/>
                <w:szCs w:val="24"/>
              </w:rPr>
              <w:t>新闻发布会</w:t>
            </w:r>
            <w:r>
              <w:rPr>
                <w:sz w:val="24"/>
                <w:szCs w:val="24"/>
              </w:rPr>
              <w:t xml:space="preserve">         </w:t>
            </w:r>
            <w:r>
              <w:rPr>
                <w:rFonts w:ascii="宋体" w:hAnsi="宋体" w:hint="eastAsia"/>
                <w:color w:val="000000"/>
                <w:sz w:val="24"/>
                <w:szCs w:val="24"/>
              </w:rPr>
              <w:t>□</w:t>
            </w:r>
            <w:r>
              <w:rPr>
                <w:sz w:val="24"/>
                <w:szCs w:val="24"/>
              </w:rPr>
              <w:t>路演活动</w:t>
            </w:r>
          </w:p>
          <w:p w14:paraId="6EF8176D" w14:textId="77777777" w:rsidR="00227395" w:rsidRDefault="00817CF3">
            <w:pPr>
              <w:tabs>
                <w:tab w:val="left" w:pos="3045"/>
                <w:tab w:val="center" w:pos="3199"/>
              </w:tabs>
              <w:spacing w:line="480" w:lineRule="atLeast"/>
              <w:rPr>
                <w:color w:val="000000"/>
                <w:sz w:val="24"/>
                <w:szCs w:val="24"/>
              </w:rPr>
            </w:pPr>
            <w:r>
              <w:rPr>
                <w:rFonts w:ascii="宋体" w:hAnsi="宋体" w:hint="eastAsia"/>
                <w:color w:val="000000"/>
                <w:sz w:val="24"/>
                <w:szCs w:val="24"/>
              </w:rPr>
              <w:t>□</w:t>
            </w:r>
            <w:r>
              <w:rPr>
                <w:sz w:val="24"/>
                <w:szCs w:val="24"/>
              </w:rPr>
              <w:t>现场参观</w:t>
            </w:r>
            <w:r>
              <w:rPr>
                <w:sz w:val="24"/>
                <w:szCs w:val="24"/>
              </w:rPr>
              <w:t xml:space="preserve">             </w:t>
            </w:r>
            <w:r>
              <w:rPr>
                <w:rFonts w:ascii="宋体" w:hAnsi="宋体" w:hint="eastAsia"/>
                <w:color w:val="000000"/>
                <w:sz w:val="24"/>
                <w:szCs w:val="24"/>
              </w:rPr>
              <w:t>□</w:t>
            </w:r>
            <w:r>
              <w:rPr>
                <w:rFonts w:hint="eastAsia"/>
                <w:sz w:val="24"/>
                <w:szCs w:val="24"/>
              </w:rPr>
              <w:t>电话会议</w:t>
            </w:r>
          </w:p>
        </w:tc>
      </w:tr>
      <w:tr w:rsidR="00227395" w14:paraId="4409E9E6" w14:textId="77777777">
        <w:trPr>
          <w:trHeight w:val="1219"/>
        </w:trPr>
        <w:tc>
          <w:tcPr>
            <w:tcW w:w="1773" w:type="dxa"/>
            <w:vAlign w:val="center"/>
          </w:tcPr>
          <w:p w14:paraId="3D5CB217" w14:textId="77777777" w:rsidR="00227395" w:rsidRDefault="00817CF3">
            <w:pPr>
              <w:rPr>
                <w:color w:val="000000"/>
                <w:sz w:val="24"/>
                <w:szCs w:val="24"/>
              </w:rPr>
            </w:pPr>
            <w:r>
              <w:rPr>
                <w:color w:val="000000"/>
                <w:sz w:val="24"/>
                <w:szCs w:val="24"/>
              </w:rPr>
              <w:t>参与单位名称及人员姓名</w:t>
            </w:r>
          </w:p>
        </w:tc>
        <w:tc>
          <w:tcPr>
            <w:tcW w:w="8909" w:type="dxa"/>
            <w:vAlign w:val="center"/>
          </w:tcPr>
          <w:p w14:paraId="2828E5F0" w14:textId="77777777" w:rsidR="00227395" w:rsidRDefault="00817CF3">
            <w:pPr>
              <w:tabs>
                <w:tab w:val="left" w:pos="1170"/>
              </w:tabs>
              <w:spacing w:line="360" w:lineRule="auto"/>
              <w:rPr>
                <w:sz w:val="24"/>
                <w:szCs w:val="24"/>
              </w:rPr>
            </w:pPr>
            <w:r>
              <w:rPr>
                <w:rFonts w:hint="eastAsia"/>
                <w:sz w:val="24"/>
                <w:szCs w:val="24"/>
              </w:rPr>
              <w:t>申万宏源证券</w:t>
            </w:r>
            <w:r>
              <w:rPr>
                <w:rFonts w:hint="eastAsia"/>
                <w:sz w:val="24"/>
                <w:szCs w:val="24"/>
              </w:rPr>
              <w:t>-</w:t>
            </w:r>
            <w:r>
              <w:rPr>
                <w:rFonts w:hint="eastAsia"/>
                <w:sz w:val="24"/>
                <w:szCs w:val="24"/>
              </w:rPr>
              <w:t>李峙屹</w:t>
            </w:r>
            <w:r>
              <w:rPr>
                <w:rFonts w:hint="eastAsia"/>
                <w:sz w:val="24"/>
                <w:szCs w:val="24"/>
              </w:rPr>
              <w:t>；</w:t>
            </w:r>
            <w:r>
              <w:rPr>
                <w:rFonts w:hint="eastAsia"/>
                <w:sz w:val="24"/>
                <w:szCs w:val="24"/>
              </w:rPr>
              <w:t>国元证券</w:t>
            </w:r>
            <w:r>
              <w:rPr>
                <w:rFonts w:hint="eastAsia"/>
                <w:sz w:val="24"/>
                <w:szCs w:val="24"/>
              </w:rPr>
              <w:t>-</w:t>
            </w:r>
            <w:r>
              <w:rPr>
                <w:rFonts w:hint="eastAsia"/>
                <w:sz w:val="24"/>
                <w:szCs w:val="24"/>
              </w:rPr>
              <w:t>常格非</w:t>
            </w:r>
            <w:r>
              <w:rPr>
                <w:rFonts w:hint="eastAsia"/>
                <w:sz w:val="24"/>
                <w:szCs w:val="24"/>
              </w:rPr>
              <w:t>；</w:t>
            </w:r>
            <w:r>
              <w:rPr>
                <w:rFonts w:hint="eastAsia"/>
                <w:sz w:val="24"/>
                <w:szCs w:val="24"/>
              </w:rPr>
              <w:t>东亚前海证券</w:t>
            </w:r>
            <w:r>
              <w:rPr>
                <w:rFonts w:hint="eastAsia"/>
                <w:sz w:val="24"/>
                <w:szCs w:val="24"/>
              </w:rPr>
              <w:t>-</w:t>
            </w:r>
            <w:r>
              <w:rPr>
                <w:rFonts w:hint="eastAsia"/>
                <w:sz w:val="24"/>
                <w:szCs w:val="24"/>
              </w:rPr>
              <w:t>段小虎</w:t>
            </w:r>
            <w:r>
              <w:rPr>
                <w:rFonts w:hint="eastAsia"/>
                <w:sz w:val="24"/>
                <w:szCs w:val="24"/>
              </w:rPr>
              <w:t xml:space="preserve"> </w:t>
            </w:r>
            <w:r>
              <w:rPr>
                <w:rFonts w:hint="eastAsia"/>
                <w:sz w:val="24"/>
                <w:szCs w:val="24"/>
              </w:rPr>
              <w:t>；上投摩根</w:t>
            </w:r>
            <w:r>
              <w:rPr>
                <w:rFonts w:hint="eastAsia"/>
                <w:sz w:val="24"/>
                <w:szCs w:val="24"/>
              </w:rPr>
              <w:t>-</w:t>
            </w:r>
            <w:r>
              <w:rPr>
                <w:rFonts w:hint="eastAsia"/>
                <w:sz w:val="24"/>
                <w:szCs w:val="24"/>
              </w:rPr>
              <w:t>赵阳芝。</w:t>
            </w:r>
          </w:p>
        </w:tc>
      </w:tr>
      <w:tr w:rsidR="00227395" w14:paraId="55BCDC72" w14:textId="77777777">
        <w:trPr>
          <w:trHeight w:val="227"/>
        </w:trPr>
        <w:tc>
          <w:tcPr>
            <w:tcW w:w="1773" w:type="dxa"/>
          </w:tcPr>
          <w:p w14:paraId="4B5F01DB" w14:textId="77777777" w:rsidR="00227395" w:rsidRDefault="00817CF3">
            <w:pPr>
              <w:spacing w:line="480" w:lineRule="atLeast"/>
              <w:rPr>
                <w:color w:val="000000"/>
                <w:sz w:val="24"/>
                <w:szCs w:val="24"/>
              </w:rPr>
            </w:pPr>
            <w:r>
              <w:rPr>
                <w:color w:val="000000"/>
                <w:sz w:val="24"/>
                <w:szCs w:val="24"/>
              </w:rPr>
              <w:t>时间</w:t>
            </w:r>
          </w:p>
        </w:tc>
        <w:tc>
          <w:tcPr>
            <w:tcW w:w="8909" w:type="dxa"/>
            <w:vAlign w:val="center"/>
          </w:tcPr>
          <w:p w14:paraId="16D71E94" w14:textId="3775FE5D" w:rsidR="00227395" w:rsidRDefault="00817CF3">
            <w:pPr>
              <w:spacing w:line="480" w:lineRule="atLeast"/>
              <w:rPr>
                <w:color w:val="000000"/>
                <w:sz w:val="24"/>
                <w:szCs w:val="24"/>
              </w:rPr>
            </w:pPr>
            <w:r>
              <w:rPr>
                <w:color w:val="000000"/>
                <w:sz w:val="24"/>
                <w:szCs w:val="24"/>
              </w:rPr>
              <w:t>2021</w:t>
            </w:r>
            <w:r>
              <w:rPr>
                <w:color w:val="000000"/>
                <w:sz w:val="24"/>
                <w:szCs w:val="24"/>
              </w:rPr>
              <w:t>年</w:t>
            </w:r>
            <w:r>
              <w:rPr>
                <w:color w:val="000000"/>
                <w:sz w:val="24"/>
                <w:szCs w:val="24"/>
              </w:rPr>
              <w:t>11</w:t>
            </w:r>
            <w:r>
              <w:rPr>
                <w:color w:val="000000"/>
                <w:sz w:val="24"/>
                <w:szCs w:val="24"/>
              </w:rPr>
              <w:t>月</w:t>
            </w:r>
            <w:r>
              <w:rPr>
                <w:color w:val="000000"/>
                <w:sz w:val="24"/>
                <w:szCs w:val="24"/>
              </w:rPr>
              <w:t>15</w:t>
            </w:r>
            <w:r>
              <w:rPr>
                <w:color w:val="000000"/>
                <w:sz w:val="24"/>
                <w:szCs w:val="24"/>
              </w:rPr>
              <w:t>日</w:t>
            </w:r>
            <w:r>
              <w:rPr>
                <w:color w:val="000000"/>
                <w:sz w:val="24"/>
                <w:szCs w:val="24"/>
              </w:rPr>
              <w:t xml:space="preserve"> </w:t>
            </w:r>
            <w:r>
              <w:rPr>
                <w:rFonts w:hint="eastAsia"/>
                <w:color w:val="000000"/>
                <w:sz w:val="24"/>
                <w:szCs w:val="24"/>
              </w:rPr>
              <w:t>1</w:t>
            </w:r>
            <w:r>
              <w:rPr>
                <w:color w:val="000000"/>
                <w:sz w:val="24"/>
                <w:szCs w:val="24"/>
              </w:rPr>
              <w:t>0:00-11:3</w:t>
            </w:r>
            <w:r>
              <w:rPr>
                <w:rFonts w:hint="eastAsia"/>
                <w:color w:val="000000"/>
                <w:sz w:val="24"/>
                <w:szCs w:val="24"/>
              </w:rPr>
              <w:t>0</w:t>
            </w:r>
            <w:r>
              <w:rPr>
                <w:rFonts w:hint="eastAsia"/>
                <w:color w:val="000000"/>
                <w:sz w:val="24"/>
                <w:szCs w:val="24"/>
              </w:rPr>
              <w:t>、</w:t>
            </w:r>
            <w:r>
              <w:rPr>
                <w:color w:val="000000"/>
                <w:sz w:val="24"/>
                <w:szCs w:val="24"/>
              </w:rPr>
              <w:t>2021</w:t>
            </w:r>
            <w:r>
              <w:rPr>
                <w:color w:val="000000"/>
                <w:sz w:val="24"/>
                <w:szCs w:val="24"/>
              </w:rPr>
              <w:t>年</w:t>
            </w:r>
            <w:r>
              <w:rPr>
                <w:color w:val="000000"/>
                <w:sz w:val="24"/>
                <w:szCs w:val="24"/>
              </w:rPr>
              <w:t>11</w:t>
            </w:r>
            <w:r>
              <w:rPr>
                <w:color w:val="000000"/>
                <w:sz w:val="24"/>
                <w:szCs w:val="24"/>
              </w:rPr>
              <w:t>月</w:t>
            </w:r>
            <w:r>
              <w:rPr>
                <w:rFonts w:hint="eastAsia"/>
                <w:color w:val="000000"/>
                <w:sz w:val="24"/>
                <w:szCs w:val="24"/>
              </w:rPr>
              <w:t>19</w:t>
            </w:r>
            <w:r>
              <w:rPr>
                <w:color w:val="000000"/>
                <w:sz w:val="24"/>
                <w:szCs w:val="24"/>
              </w:rPr>
              <w:t>日</w:t>
            </w:r>
            <w:r>
              <w:rPr>
                <w:color w:val="000000"/>
                <w:sz w:val="24"/>
                <w:szCs w:val="24"/>
              </w:rPr>
              <w:t xml:space="preserve"> </w:t>
            </w:r>
            <w:r>
              <w:rPr>
                <w:rFonts w:hint="eastAsia"/>
                <w:color w:val="000000"/>
                <w:sz w:val="24"/>
                <w:szCs w:val="24"/>
              </w:rPr>
              <w:t>13</w:t>
            </w:r>
            <w:r>
              <w:rPr>
                <w:color w:val="000000"/>
                <w:sz w:val="24"/>
                <w:szCs w:val="24"/>
              </w:rPr>
              <w:t>:30-</w:t>
            </w:r>
            <w:r>
              <w:rPr>
                <w:rFonts w:hint="eastAsia"/>
                <w:color w:val="000000"/>
                <w:sz w:val="24"/>
                <w:szCs w:val="24"/>
              </w:rPr>
              <w:t>15</w:t>
            </w:r>
            <w:r>
              <w:rPr>
                <w:color w:val="000000"/>
                <w:sz w:val="24"/>
                <w:szCs w:val="24"/>
              </w:rPr>
              <w:t>:</w:t>
            </w:r>
            <w:r>
              <w:rPr>
                <w:rFonts w:hint="eastAsia"/>
                <w:color w:val="000000"/>
                <w:sz w:val="24"/>
                <w:szCs w:val="24"/>
              </w:rPr>
              <w:t>00</w:t>
            </w:r>
          </w:p>
        </w:tc>
      </w:tr>
      <w:tr w:rsidR="00227395" w14:paraId="43FC3932" w14:textId="77777777">
        <w:trPr>
          <w:trHeight w:val="648"/>
        </w:trPr>
        <w:tc>
          <w:tcPr>
            <w:tcW w:w="1773" w:type="dxa"/>
          </w:tcPr>
          <w:p w14:paraId="4961E299" w14:textId="77777777" w:rsidR="00227395" w:rsidRDefault="00817CF3">
            <w:pPr>
              <w:spacing w:line="480" w:lineRule="atLeast"/>
              <w:rPr>
                <w:color w:val="000000"/>
                <w:sz w:val="24"/>
                <w:szCs w:val="24"/>
              </w:rPr>
            </w:pPr>
            <w:r>
              <w:rPr>
                <w:color w:val="000000"/>
                <w:sz w:val="24"/>
                <w:szCs w:val="24"/>
              </w:rPr>
              <w:t>地点</w:t>
            </w:r>
          </w:p>
        </w:tc>
        <w:tc>
          <w:tcPr>
            <w:tcW w:w="8909" w:type="dxa"/>
            <w:vAlign w:val="center"/>
          </w:tcPr>
          <w:p w14:paraId="4B3ED19C" w14:textId="77777777" w:rsidR="00227395" w:rsidRDefault="00817CF3">
            <w:pPr>
              <w:spacing w:line="480" w:lineRule="atLeast"/>
              <w:rPr>
                <w:color w:val="000000"/>
                <w:sz w:val="24"/>
                <w:szCs w:val="24"/>
              </w:rPr>
            </w:pPr>
            <w:r>
              <w:rPr>
                <w:color w:val="000000"/>
                <w:sz w:val="24"/>
                <w:szCs w:val="24"/>
              </w:rPr>
              <w:t>公司会议室（</w:t>
            </w:r>
            <w:r>
              <w:rPr>
                <w:rFonts w:hint="eastAsia"/>
                <w:color w:val="000000"/>
                <w:sz w:val="24"/>
                <w:szCs w:val="24"/>
              </w:rPr>
              <w:t>现场交流</w:t>
            </w:r>
            <w:r>
              <w:rPr>
                <w:color w:val="000000"/>
                <w:sz w:val="24"/>
                <w:szCs w:val="24"/>
              </w:rPr>
              <w:t>）</w:t>
            </w:r>
          </w:p>
        </w:tc>
      </w:tr>
      <w:tr w:rsidR="00227395" w14:paraId="684B4902" w14:textId="77777777">
        <w:trPr>
          <w:trHeight w:val="700"/>
        </w:trPr>
        <w:tc>
          <w:tcPr>
            <w:tcW w:w="1773" w:type="dxa"/>
          </w:tcPr>
          <w:p w14:paraId="3E2AFFBE" w14:textId="77777777" w:rsidR="00227395" w:rsidRDefault="00817CF3">
            <w:pPr>
              <w:rPr>
                <w:color w:val="000000"/>
                <w:sz w:val="24"/>
                <w:szCs w:val="24"/>
              </w:rPr>
            </w:pPr>
            <w:r>
              <w:rPr>
                <w:color w:val="000000"/>
                <w:sz w:val="24"/>
                <w:szCs w:val="24"/>
              </w:rPr>
              <w:t>上市公司接待人员姓名</w:t>
            </w:r>
          </w:p>
        </w:tc>
        <w:tc>
          <w:tcPr>
            <w:tcW w:w="8909" w:type="dxa"/>
            <w:vAlign w:val="center"/>
          </w:tcPr>
          <w:p w14:paraId="12A1E7EE" w14:textId="77777777" w:rsidR="00227395" w:rsidRDefault="00817CF3">
            <w:pPr>
              <w:spacing w:line="480" w:lineRule="atLeast"/>
              <w:rPr>
                <w:color w:val="000000"/>
                <w:sz w:val="24"/>
                <w:szCs w:val="24"/>
              </w:rPr>
            </w:pPr>
            <w:r>
              <w:rPr>
                <w:color w:val="000000"/>
                <w:sz w:val="24"/>
                <w:szCs w:val="24"/>
              </w:rPr>
              <w:t>谈劭旸</w:t>
            </w:r>
            <w:r>
              <w:rPr>
                <w:rFonts w:hint="eastAsia"/>
                <w:color w:val="000000"/>
                <w:sz w:val="24"/>
                <w:szCs w:val="24"/>
              </w:rPr>
              <w:t>——东珠生态</w:t>
            </w:r>
            <w:r>
              <w:rPr>
                <w:color w:val="000000"/>
                <w:sz w:val="24"/>
                <w:szCs w:val="24"/>
              </w:rPr>
              <w:t>董事会秘书</w:t>
            </w:r>
          </w:p>
        </w:tc>
      </w:tr>
      <w:tr w:rsidR="00227395" w14:paraId="400CDAA7" w14:textId="77777777">
        <w:trPr>
          <w:trHeight w:val="3956"/>
        </w:trPr>
        <w:tc>
          <w:tcPr>
            <w:tcW w:w="1773" w:type="dxa"/>
            <w:vAlign w:val="center"/>
          </w:tcPr>
          <w:p w14:paraId="2B3CD0BB" w14:textId="77777777" w:rsidR="00227395" w:rsidRDefault="00817CF3">
            <w:pPr>
              <w:spacing w:line="480" w:lineRule="atLeast"/>
              <w:rPr>
                <w:color w:val="000000"/>
                <w:sz w:val="24"/>
                <w:szCs w:val="24"/>
              </w:rPr>
            </w:pPr>
            <w:r>
              <w:rPr>
                <w:color w:val="000000"/>
                <w:sz w:val="24"/>
                <w:szCs w:val="24"/>
              </w:rPr>
              <w:t>投资者关系活动主要内容介绍</w:t>
            </w:r>
          </w:p>
          <w:p w14:paraId="57206B33" w14:textId="77777777" w:rsidR="00227395" w:rsidRDefault="00227395">
            <w:pPr>
              <w:spacing w:line="480" w:lineRule="atLeast"/>
              <w:rPr>
                <w:color w:val="000000"/>
                <w:sz w:val="24"/>
                <w:szCs w:val="24"/>
              </w:rPr>
            </w:pPr>
          </w:p>
        </w:tc>
        <w:tc>
          <w:tcPr>
            <w:tcW w:w="8909" w:type="dxa"/>
          </w:tcPr>
          <w:p w14:paraId="11BD787E" w14:textId="77777777" w:rsidR="00227395" w:rsidRDefault="00817CF3">
            <w:pPr>
              <w:spacing w:line="360" w:lineRule="auto"/>
              <w:rPr>
                <w:b/>
                <w:bCs/>
                <w:color w:val="000000"/>
                <w:sz w:val="24"/>
                <w:szCs w:val="24"/>
              </w:rPr>
            </w:pPr>
            <w:r>
              <w:rPr>
                <w:rFonts w:hint="eastAsia"/>
                <w:b/>
                <w:bCs/>
                <w:color w:val="000000"/>
                <w:sz w:val="24"/>
                <w:szCs w:val="24"/>
              </w:rPr>
              <w:t>投资者关系活动主要内容介绍</w:t>
            </w:r>
          </w:p>
          <w:p w14:paraId="2CC44201" w14:textId="77777777" w:rsidR="00227395" w:rsidRDefault="00227395">
            <w:pPr>
              <w:spacing w:line="360" w:lineRule="auto"/>
              <w:rPr>
                <w:b/>
                <w:bCs/>
                <w:color w:val="000000"/>
                <w:sz w:val="24"/>
                <w:szCs w:val="24"/>
              </w:rPr>
            </w:pPr>
          </w:p>
          <w:p w14:paraId="0024FE1A" w14:textId="77777777" w:rsidR="00227395" w:rsidRDefault="00817CF3">
            <w:pPr>
              <w:spacing w:line="360" w:lineRule="auto"/>
              <w:rPr>
                <w:b/>
                <w:bCs/>
                <w:color w:val="000000"/>
                <w:sz w:val="24"/>
                <w:szCs w:val="24"/>
              </w:rPr>
            </w:pPr>
            <w:r>
              <w:rPr>
                <w:rFonts w:hint="eastAsia"/>
                <w:b/>
                <w:bCs/>
                <w:color w:val="000000"/>
                <w:sz w:val="24"/>
                <w:szCs w:val="24"/>
              </w:rPr>
              <w:t>一、董事会秘书谈劭旸简单介绍公司的基本情况；</w:t>
            </w:r>
          </w:p>
          <w:p w14:paraId="2634E7D7" w14:textId="77777777" w:rsidR="00227395" w:rsidRDefault="00817CF3">
            <w:pPr>
              <w:spacing w:line="360" w:lineRule="auto"/>
              <w:rPr>
                <w:b/>
                <w:bCs/>
                <w:color w:val="000000"/>
                <w:sz w:val="24"/>
                <w:szCs w:val="24"/>
              </w:rPr>
            </w:pPr>
            <w:r>
              <w:rPr>
                <w:rFonts w:hint="eastAsia"/>
                <w:b/>
                <w:bCs/>
                <w:color w:val="000000"/>
                <w:sz w:val="24"/>
                <w:szCs w:val="24"/>
              </w:rPr>
              <w:t>二、</w:t>
            </w:r>
            <w:r>
              <w:rPr>
                <w:rFonts w:hint="eastAsia"/>
                <w:b/>
                <w:bCs/>
                <w:color w:val="000000"/>
                <w:sz w:val="24"/>
                <w:szCs w:val="24"/>
              </w:rPr>
              <w:t xml:space="preserve"> </w:t>
            </w:r>
            <w:r>
              <w:rPr>
                <w:rFonts w:hint="eastAsia"/>
                <w:b/>
                <w:bCs/>
                <w:color w:val="000000"/>
                <w:sz w:val="24"/>
                <w:szCs w:val="24"/>
              </w:rPr>
              <w:t>公司领导主要就以下问题和来访者进行了交流：</w:t>
            </w:r>
          </w:p>
          <w:p w14:paraId="56AEE604" w14:textId="77777777" w:rsidR="00227395" w:rsidRDefault="00817CF3">
            <w:pPr>
              <w:spacing w:line="360" w:lineRule="auto"/>
              <w:rPr>
                <w:b/>
                <w:bCs/>
                <w:color w:val="000000"/>
                <w:sz w:val="24"/>
                <w:szCs w:val="24"/>
              </w:rPr>
            </w:pPr>
            <w:r>
              <w:rPr>
                <w:rFonts w:hint="eastAsia"/>
                <w:b/>
                <w:bCs/>
                <w:color w:val="000000"/>
                <w:sz w:val="24"/>
                <w:szCs w:val="24"/>
              </w:rPr>
              <w:t>1</w:t>
            </w:r>
            <w:r>
              <w:rPr>
                <w:rFonts w:hint="eastAsia"/>
                <w:b/>
                <w:bCs/>
                <w:color w:val="000000"/>
                <w:sz w:val="24"/>
                <w:szCs w:val="24"/>
              </w:rPr>
              <w:t>、公司是哪一年切入林业碳汇业务的，目前与哪些地方政府正在合作，准备开发哪里的林地资源？</w:t>
            </w:r>
          </w:p>
          <w:p w14:paraId="0EBB178D" w14:textId="77777777" w:rsidR="00227395" w:rsidRDefault="00817CF3">
            <w:pPr>
              <w:spacing w:line="360" w:lineRule="auto"/>
              <w:rPr>
                <w:color w:val="000000"/>
                <w:sz w:val="24"/>
                <w:szCs w:val="24"/>
              </w:rPr>
            </w:pPr>
            <w:r>
              <w:rPr>
                <w:rFonts w:hint="eastAsia"/>
                <w:color w:val="000000"/>
                <w:sz w:val="24"/>
                <w:szCs w:val="24"/>
              </w:rPr>
              <w:t>答：随着国家“碳达峰、碳中和”的战略部署，生态领域投资持续保持高景气，“十四五”国土绿化目标基本确定，到</w:t>
            </w:r>
            <w:r>
              <w:rPr>
                <w:rFonts w:hint="eastAsia"/>
                <w:color w:val="000000"/>
                <w:sz w:val="24"/>
                <w:szCs w:val="24"/>
              </w:rPr>
              <w:t>2025</w:t>
            </w:r>
            <w:r>
              <w:rPr>
                <w:rFonts w:hint="eastAsia"/>
                <w:color w:val="000000"/>
                <w:sz w:val="24"/>
                <w:szCs w:val="24"/>
              </w:rPr>
              <w:t>年力争全国森林覆盖率达</w:t>
            </w:r>
            <w:r>
              <w:rPr>
                <w:rFonts w:hint="eastAsia"/>
                <w:color w:val="000000"/>
                <w:sz w:val="24"/>
                <w:szCs w:val="24"/>
              </w:rPr>
              <w:t>24.1%</w:t>
            </w:r>
            <w:r>
              <w:rPr>
                <w:rFonts w:hint="eastAsia"/>
                <w:color w:val="000000"/>
                <w:sz w:val="24"/>
                <w:szCs w:val="24"/>
              </w:rPr>
              <w:t>，森林蓄积量达</w:t>
            </w:r>
            <w:r>
              <w:rPr>
                <w:rFonts w:hint="eastAsia"/>
                <w:color w:val="000000"/>
                <w:sz w:val="24"/>
                <w:szCs w:val="24"/>
              </w:rPr>
              <w:t>190</w:t>
            </w:r>
            <w:r>
              <w:rPr>
                <w:rFonts w:hint="eastAsia"/>
                <w:color w:val="000000"/>
                <w:sz w:val="24"/>
                <w:szCs w:val="24"/>
              </w:rPr>
              <w:t>亿立方米，草原综合植被盖度达</w:t>
            </w:r>
            <w:r>
              <w:rPr>
                <w:rFonts w:hint="eastAsia"/>
                <w:color w:val="000000"/>
                <w:sz w:val="24"/>
                <w:szCs w:val="24"/>
              </w:rPr>
              <w:t>57%</w:t>
            </w:r>
            <w:r>
              <w:rPr>
                <w:rFonts w:hint="eastAsia"/>
                <w:color w:val="000000"/>
                <w:sz w:val="24"/>
                <w:szCs w:val="24"/>
              </w:rPr>
              <w:t>，湿地保护率达</w:t>
            </w:r>
            <w:r>
              <w:rPr>
                <w:rFonts w:hint="eastAsia"/>
                <w:color w:val="000000"/>
                <w:sz w:val="24"/>
                <w:szCs w:val="24"/>
              </w:rPr>
              <w:t>55%</w:t>
            </w:r>
            <w:r>
              <w:rPr>
                <w:rFonts w:hint="eastAsia"/>
                <w:color w:val="000000"/>
                <w:sz w:val="24"/>
                <w:szCs w:val="24"/>
              </w:rPr>
              <w:t>，沙化土地治理率达</w:t>
            </w:r>
            <w:r>
              <w:rPr>
                <w:rFonts w:hint="eastAsia"/>
                <w:color w:val="000000"/>
                <w:sz w:val="24"/>
                <w:szCs w:val="24"/>
              </w:rPr>
              <w:t>60%</w:t>
            </w:r>
            <w:r>
              <w:rPr>
                <w:rFonts w:hint="eastAsia"/>
                <w:color w:val="000000"/>
                <w:sz w:val="24"/>
                <w:szCs w:val="24"/>
              </w:rPr>
              <w:t>。基于这个大背景下，公司在</w:t>
            </w:r>
            <w:r>
              <w:rPr>
                <w:rFonts w:hint="eastAsia"/>
                <w:color w:val="000000"/>
                <w:sz w:val="24"/>
                <w:szCs w:val="24"/>
              </w:rPr>
              <w:t>2</w:t>
            </w:r>
            <w:r>
              <w:rPr>
                <w:color w:val="000000"/>
                <w:sz w:val="24"/>
                <w:szCs w:val="24"/>
              </w:rPr>
              <w:t>02</w:t>
            </w:r>
            <w:r>
              <w:rPr>
                <w:rFonts w:hint="eastAsia"/>
                <w:color w:val="000000"/>
                <w:sz w:val="24"/>
                <w:szCs w:val="24"/>
              </w:rPr>
              <w:t>1</w:t>
            </w:r>
            <w:r>
              <w:rPr>
                <w:rFonts w:hint="eastAsia"/>
                <w:color w:val="000000"/>
                <w:sz w:val="24"/>
                <w:szCs w:val="24"/>
              </w:rPr>
              <w:t>年开始布局林业碳汇业务板块，到今年下半年有了一定的进展。目前公司与</w:t>
            </w:r>
            <w:r>
              <w:rPr>
                <w:rFonts w:hint="eastAsia"/>
                <w:color w:val="000000"/>
                <w:sz w:val="24"/>
                <w:szCs w:val="24"/>
              </w:rPr>
              <w:t>四川省</w:t>
            </w:r>
            <w:r>
              <w:rPr>
                <w:rFonts w:hint="eastAsia"/>
                <w:color w:val="000000"/>
                <w:sz w:val="24"/>
                <w:szCs w:val="24"/>
              </w:rPr>
              <w:t>长江造林局达成</w:t>
            </w:r>
            <w:r>
              <w:rPr>
                <w:rFonts w:hint="eastAsia"/>
                <w:color w:val="000000"/>
                <w:sz w:val="24"/>
                <w:szCs w:val="24"/>
              </w:rPr>
              <w:t>战略合作关系</w:t>
            </w:r>
            <w:r>
              <w:rPr>
                <w:rFonts w:hint="eastAsia"/>
                <w:color w:val="000000"/>
                <w:sz w:val="24"/>
                <w:szCs w:val="24"/>
              </w:rPr>
              <w:t>，依</w:t>
            </w:r>
            <w:r>
              <w:rPr>
                <w:rFonts w:hint="eastAsia"/>
                <w:color w:val="000000"/>
                <w:sz w:val="24"/>
                <w:szCs w:val="24"/>
              </w:rPr>
              <w:t>托</w:t>
            </w:r>
            <w:r>
              <w:rPr>
                <w:rFonts w:hint="eastAsia"/>
                <w:color w:val="000000"/>
                <w:sz w:val="24"/>
                <w:szCs w:val="24"/>
              </w:rPr>
              <w:t>省内</w:t>
            </w:r>
            <w:r>
              <w:rPr>
                <w:rFonts w:hint="eastAsia"/>
                <w:color w:val="000000"/>
                <w:sz w:val="24"/>
                <w:szCs w:val="24"/>
              </w:rPr>
              <w:t>丰富的林业资源，进行深入合作。除了四川省，未来还将在</w:t>
            </w:r>
            <w:r>
              <w:rPr>
                <w:rFonts w:hint="eastAsia"/>
                <w:color w:val="000000"/>
                <w:sz w:val="24"/>
                <w:szCs w:val="24"/>
              </w:rPr>
              <w:t>云南省、广西省、福建省等</w:t>
            </w:r>
            <w:r>
              <w:rPr>
                <w:rFonts w:hint="eastAsia"/>
                <w:color w:val="000000"/>
                <w:sz w:val="24"/>
                <w:szCs w:val="24"/>
              </w:rPr>
              <w:t>其他森林资源丰富的省份谋篇布局，同当地相关政府或机构合作，开拓林业碳汇业务。</w:t>
            </w:r>
          </w:p>
          <w:p w14:paraId="3A832582" w14:textId="77777777" w:rsidR="00227395" w:rsidRDefault="00817CF3">
            <w:pPr>
              <w:spacing w:line="360" w:lineRule="auto"/>
              <w:rPr>
                <w:b/>
                <w:bCs/>
                <w:color w:val="000000"/>
                <w:sz w:val="24"/>
                <w:szCs w:val="24"/>
              </w:rPr>
            </w:pPr>
            <w:r>
              <w:rPr>
                <w:b/>
                <w:bCs/>
                <w:color w:val="000000"/>
                <w:sz w:val="24"/>
                <w:szCs w:val="24"/>
              </w:rPr>
              <w:t>2</w:t>
            </w:r>
            <w:r>
              <w:rPr>
                <w:rFonts w:hint="eastAsia"/>
                <w:b/>
                <w:bCs/>
                <w:color w:val="000000"/>
                <w:sz w:val="24"/>
                <w:szCs w:val="24"/>
              </w:rPr>
              <w:t>、前段时间新设立的全资子公司东珠碳汇（上海）科技生态有限公司在公司内部的定位和发展规划？</w:t>
            </w:r>
          </w:p>
          <w:p w14:paraId="5442C949" w14:textId="77777777" w:rsidR="00227395" w:rsidRDefault="00817CF3">
            <w:pPr>
              <w:spacing w:line="360" w:lineRule="auto"/>
              <w:rPr>
                <w:color w:val="000000"/>
                <w:sz w:val="24"/>
                <w:szCs w:val="24"/>
              </w:rPr>
            </w:pPr>
            <w:r>
              <w:rPr>
                <w:rFonts w:hint="eastAsia"/>
                <w:color w:val="000000"/>
                <w:sz w:val="24"/>
                <w:szCs w:val="24"/>
              </w:rPr>
              <w:t>答：东珠碳汇是公司全资子公司，目前承担了公司林业碳汇板块的主要运营责任。未来</w:t>
            </w:r>
            <w:r>
              <w:rPr>
                <w:rFonts w:hint="eastAsia"/>
                <w:color w:val="000000"/>
                <w:sz w:val="24"/>
                <w:szCs w:val="24"/>
              </w:rPr>
              <w:t>公司</w:t>
            </w:r>
            <w:r>
              <w:rPr>
                <w:rFonts w:hint="eastAsia"/>
                <w:color w:val="000000"/>
                <w:sz w:val="24"/>
                <w:szCs w:val="24"/>
              </w:rPr>
              <w:t>将不断扩充团队力量，并会在全国多个省份继续开拓林业碳汇业务，增强</w:t>
            </w:r>
            <w:r>
              <w:rPr>
                <w:rFonts w:hint="eastAsia"/>
                <w:color w:val="000000"/>
                <w:sz w:val="24"/>
                <w:szCs w:val="24"/>
              </w:rPr>
              <w:lastRenderedPageBreak/>
              <w:t>上市公司林业碳汇业务的影响力。</w:t>
            </w:r>
          </w:p>
          <w:p w14:paraId="2130E64A" w14:textId="77777777" w:rsidR="00227395" w:rsidRDefault="00817CF3">
            <w:pPr>
              <w:spacing w:line="360" w:lineRule="auto"/>
              <w:rPr>
                <w:b/>
                <w:bCs/>
                <w:color w:val="000000"/>
                <w:sz w:val="24"/>
                <w:szCs w:val="24"/>
              </w:rPr>
            </w:pPr>
            <w:r>
              <w:rPr>
                <w:rFonts w:hint="eastAsia"/>
                <w:b/>
                <w:bCs/>
                <w:color w:val="000000"/>
                <w:sz w:val="24"/>
                <w:szCs w:val="24"/>
              </w:rPr>
              <w:t>3</w:t>
            </w:r>
            <w:r>
              <w:rPr>
                <w:rFonts w:hint="eastAsia"/>
                <w:b/>
                <w:bCs/>
                <w:color w:val="000000"/>
                <w:sz w:val="24"/>
                <w:szCs w:val="24"/>
              </w:rPr>
              <w:t>、公司主业未来几年展望，目前整体财务情况比较健康，那么未来是否可以持续？</w:t>
            </w:r>
          </w:p>
          <w:p w14:paraId="6BFF6685" w14:textId="77777777" w:rsidR="00227395" w:rsidRDefault="00817CF3">
            <w:pPr>
              <w:spacing w:line="360" w:lineRule="auto"/>
              <w:rPr>
                <w:color w:val="000000"/>
                <w:sz w:val="24"/>
                <w:szCs w:val="24"/>
              </w:rPr>
            </w:pPr>
            <w:r>
              <w:rPr>
                <w:rFonts w:hint="eastAsia"/>
                <w:color w:val="000000"/>
                <w:sz w:val="24"/>
                <w:szCs w:val="24"/>
              </w:rPr>
              <w:t>答：公司</w:t>
            </w:r>
            <w:r>
              <w:rPr>
                <w:rFonts w:hint="eastAsia"/>
                <w:color w:val="000000"/>
                <w:sz w:val="24"/>
                <w:szCs w:val="24"/>
              </w:rPr>
              <w:t>主营业务发展稳健，财务情况比较良好的原因主要有二</w:t>
            </w:r>
            <w:r>
              <w:rPr>
                <w:rFonts w:hint="eastAsia"/>
                <w:color w:val="000000"/>
                <w:sz w:val="24"/>
                <w:szCs w:val="24"/>
              </w:rPr>
              <w:t>，</w:t>
            </w:r>
            <w:r>
              <w:rPr>
                <w:rFonts w:hint="eastAsia"/>
                <w:color w:val="000000"/>
                <w:sz w:val="24"/>
                <w:szCs w:val="24"/>
              </w:rPr>
              <w:t>一是国家不断加码生态</w:t>
            </w:r>
            <w:r>
              <w:rPr>
                <w:rFonts w:hint="eastAsia"/>
                <w:color w:val="000000"/>
                <w:sz w:val="24"/>
                <w:szCs w:val="24"/>
              </w:rPr>
              <w:t>环境建设</w:t>
            </w:r>
            <w:r>
              <w:rPr>
                <w:rFonts w:hint="eastAsia"/>
                <w:color w:val="000000"/>
                <w:sz w:val="24"/>
                <w:szCs w:val="24"/>
              </w:rPr>
              <w:t>扶持力度，政府工作报告多次提及加强污染防治和生态建设。二是公司从项目源头进行把控，优先选择</w:t>
            </w:r>
            <w:r>
              <w:rPr>
                <w:rFonts w:hint="eastAsia"/>
                <w:color w:val="000000"/>
                <w:sz w:val="24"/>
                <w:szCs w:val="24"/>
              </w:rPr>
              <w:t>质地好</w:t>
            </w:r>
            <w:r>
              <w:rPr>
                <w:rFonts w:hint="eastAsia"/>
                <w:color w:val="000000"/>
                <w:sz w:val="24"/>
                <w:szCs w:val="24"/>
              </w:rPr>
              <w:t>、回款有保障的</w:t>
            </w:r>
            <w:r>
              <w:rPr>
                <w:rFonts w:hint="eastAsia"/>
                <w:color w:val="000000"/>
                <w:sz w:val="24"/>
                <w:szCs w:val="24"/>
              </w:rPr>
              <w:t>优质</w:t>
            </w:r>
            <w:r>
              <w:rPr>
                <w:rFonts w:hint="eastAsia"/>
                <w:color w:val="000000"/>
                <w:sz w:val="24"/>
                <w:szCs w:val="24"/>
              </w:rPr>
              <w:t>项目，最终促使公司财务情况持续向好，业绩与财务情况形成良性互动。</w:t>
            </w:r>
          </w:p>
        </w:tc>
      </w:tr>
      <w:tr w:rsidR="00227395" w14:paraId="34DDE070" w14:textId="77777777">
        <w:trPr>
          <w:trHeight w:val="1684"/>
        </w:trPr>
        <w:tc>
          <w:tcPr>
            <w:tcW w:w="1773" w:type="dxa"/>
            <w:vAlign w:val="center"/>
          </w:tcPr>
          <w:p w14:paraId="482D0685" w14:textId="77777777" w:rsidR="00227395" w:rsidRDefault="00817CF3">
            <w:pPr>
              <w:rPr>
                <w:color w:val="000000"/>
                <w:sz w:val="24"/>
                <w:szCs w:val="24"/>
              </w:rPr>
            </w:pPr>
            <w:r>
              <w:rPr>
                <w:color w:val="000000"/>
                <w:sz w:val="24"/>
                <w:szCs w:val="24"/>
              </w:rPr>
              <w:lastRenderedPageBreak/>
              <w:t>附件清单（如有）</w:t>
            </w:r>
          </w:p>
        </w:tc>
        <w:tc>
          <w:tcPr>
            <w:tcW w:w="8909" w:type="dxa"/>
            <w:vAlign w:val="center"/>
          </w:tcPr>
          <w:p w14:paraId="025FEB98" w14:textId="77777777" w:rsidR="00227395" w:rsidRDefault="00227395">
            <w:pPr>
              <w:spacing w:line="480" w:lineRule="atLeast"/>
              <w:rPr>
                <w:color w:val="000000"/>
                <w:sz w:val="24"/>
                <w:szCs w:val="24"/>
              </w:rPr>
            </w:pPr>
          </w:p>
        </w:tc>
      </w:tr>
    </w:tbl>
    <w:p w14:paraId="3EF807B3" w14:textId="77777777" w:rsidR="00227395" w:rsidRDefault="00227395">
      <w:pPr>
        <w:rPr>
          <w:sz w:val="24"/>
          <w:szCs w:val="24"/>
        </w:rPr>
      </w:pPr>
    </w:p>
    <w:sectPr w:rsidR="00227395">
      <w:pgSz w:w="11906" w:h="16838"/>
      <w:pgMar w:top="720" w:right="720" w:bottom="720" w:left="72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bordersDoNotSurroundHeader/>
  <w:bordersDoNotSurroundFooter/>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D9"/>
    <w:rsid w:val="0001051E"/>
    <w:rsid w:val="00012DEE"/>
    <w:rsid w:val="0001457E"/>
    <w:rsid w:val="00025081"/>
    <w:rsid w:val="000261EA"/>
    <w:rsid w:val="00034FFA"/>
    <w:rsid w:val="00042993"/>
    <w:rsid w:val="00050503"/>
    <w:rsid w:val="0005522C"/>
    <w:rsid w:val="00060228"/>
    <w:rsid w:val="00064339"/>
    <w:rsid w:val="000664D4"/>
    <w:rsid w:val="000A653A"/>
    <w:rsid w:val="000C4171"/>
    <w:rsid w:val="000E2D21"/>
    <w:rsid w:val="001030C8"/>
    <w:rsid w:val="0010345F"/>
    <w:rsid w:val="00123C78"/>
    <w:rsid w:val="00130F6F"/>
    <w:rsid w:val="00145422"/>
    <w:rsid w:val="00157400"/>
    <w:rsid w:val="00174E3B"/>
    <w:rsid w:val="0019095D"/>
    <w:rsid w:val="00191DE2"/>
    <w:rsid w:val="001A38A7"/>
    <w:rsid w:val="001A552A"/>
    <w:rsid w:val="001A6186"/>
    <w:rsid w:val="001B05A1"/>
    <w:rsid w:val="001D11E4"/>
    <w:rsid w:val="001E1F7E"/>
    <w:rsid w:val="001F1EDD"/>
    <w:rsid w:val="001F7FAF"/>
    <w:rsid w:val="0020107E"/>
    <w:rsid w:val="00227395"/>
    <w:rsid w:val="00241785"/>
    <w:rsid w:val="00244D03"/>
    <w:rsid w:val="002500FF"/>
    <w:rsid w:val="00265B4C"/>
    <w:rsid w:val="0026678B"/>
    <w:rsid w:val="00270BE9"/>
    <w:rsid w:val="0027752B"/>
    <w:rsid w:val="002973AB"/>
    <w:rsid w:val="002B5665"/>
    <w:rsid w:val="002B5726"/>
    <w:rsid w:val="002E486A"/>
    <w:rsid w:val="002F0A17"/>
    <w:rsid w:val="002F40EF"/>
    <w:rsid w:val="00304CB4"/>
    <w:rsid w:val="0031356A"/>
    <w:rsid w:val="00314D9C"/>
    <w:rsid w:val="00323B43"/>
    <w:rsid w:val="00343108"/>
    <w:rsid w:val="003556A7"/>
    <w:rsid w:val="00366160"/>
    <w:rsid w:val="003723D9"/>
    <w:rsid w:val="00374D2F"/>
    <w:rsid w:val="003B05B6"/>
    <w:rsid w:val="003C5EBF"/>
    <w:rsid w:val="003D2463"/>
    <w:rsid w:val="003D37D8"/>
    <w:rsid w:val="003D69DF"/>
    <w:rsid w:val="003E4931"/>
    <w:rsid w:val="003E6BD1"/>
    <w:rsid w:val="00410C7F"/>
    <w:rsid w:val="0042288D"/>
    <w:rsid w:val="004358AB"/>
    <w:rsid w:val="00446CE4"/>
    <w:rsid w:val="00465717"/>
    <w:rsid w:val="00477873"/>
    <w:rsid w:val="0048152C"/>
    <w:rsid w:val="004A69D3"/>
    <w:rsid w:val="004B2332"/>
    <w:rsid w:val="004C5AA2"/>
    <w:rsid w:val="004F28B1"/>
    <w:rsid w:val="00502FA0"/>
    <w:rsid w:val="00540042"/>
    <w:rsid w:val="0054209B"/>
    <w:rsid w:val="005451E8"/>
    <w:rsid w:val="00554D87"/>
    <w:rsid w:val="005564C7"/>
    <w:rsid w:val="00580779"/>
    <w:rsid w:val="005A5AA2"/>
    <w:rsid w:val="005A65AF"/>
    <w:rsid w:val="005E4D70"/>
    <w:rsid w:val="005F1A8E"/>
    <w:rsid w:val="005F4107"/>
    <w:rsid w:val="005F59AB"/>
    <w:rsid w:val="005F7BB5"/>
    <w:rsid w:val="00615A9D"/>
    <w:rsid w:val="00622631"/>
    <w:rsid w:val="00630D2E"/>
    <w:rsid w:val="006320EA"/>
    <w:rsid w:val="00670800"/>
    <w:rsid w:val="00671996"/>
    <w:rsid w:val="00673233"/>
    <w:rsid w:val="006932E0"/>
    <w:rsid w:val="006C58F2"/>
    <w:rsid w:val="006C5A56"/>
    <w:rsid w:val="006E0A68"/>
    <w:rsid w:val="006E6F49"/>
    <w:rsid w:val="006F133F"/>
    <w:rsid w:val="00736D7C"/>
    <w:rsid w:val="00737D31"/>
    <w:rsid w:val="0074277F"/>
    <w:rsid w:val="00742E0D"/>
    <w:rsid w:val="00774B78"/>
    <w:rsid w:val="00775019"/>
    <w:rsid w:val="0079554D"/>
    <w:rsid w:val="00797A86"/>
    <w:rsid w:val="007C3408"/>
    <w:rsid w:val="007C4073"/>
    <w:rsid w:val="007D1ECA"/>
    <w:rsid w:val="007D39F2"/>
    <w:rsid w:val="007E0FFF"/>
    <w:rsid w:val="00814870"/>
    <w:rsid w:val="00817CF3"/>
    <w:rsid w:val="00820985"/>
    <w:rsid w:val="00820BF7"/>
    <w:rsid w:val="008314FA"/>
    <w:rsid w:val="008538C3"/>
    <w:rsid w:val="00854434"/>
    <w:rsid w:val="0085731C"/>
    <w:rsid w:val="0086313F"/>
    <w:rsid w:val="008631CB"/>
    <w:rsid w:val="00872892"/>
    <w:rsid w:val="00872C52"/>
    <w:rsid w:val="00885AA1"/>
    <w:rsid w:val="00890B58"/>
    <w:rsid w:val="00892234"/>
    <w:rsid w:val="00892B4A"/>
    <w:rsid w:val="00896652"/>
    <w:rsid w:val="00896FF2"/>
    <w:rsid w:val="008B7726"/>
    <w:rsid w:val="008D1FD8"/>
    <w:rsid w:val="008D6D4D"/>
    <w:rsid w:val="008F00F8"/>
    <w:rsid w:val="008F7CFD"/>
    <w:rsid w:val="00904CF9"/>
    <w:rsid w:val="00912728"/>
    <w:rsid w:val="00915A8C"/>
    <w:rsid w:val="0092202F"/>
    <w:rsid w:val="00942BE9"/>
    <w:rsid w:val="00945908"/>
    <w:rsid w:val="00985058"/>
    <w:rsid w:val="00986662"/>
    <w:rsid w:val="00994193"/>
    <w:rsid w:val="009A24F1"/>
    <w:rsid w:val="009A2813"/>
    <w:rsid w:val="009B1684"/>
    <w:rsid w:val="009B5DC6"/>
    <w:rsid w:val="009B6C1A"/>
    <w:rsid w:val="009C2851"/>
    <w:rsid w:val="009C308B"/>
    <w:rsid w:val="009C496D"/>
    <w:rsid w:val="009D10E6"/>
    <w:rsid w:val="009D5E4B"/>
    <w:rsid w:val="009E3AEC"/>
    <w:rsid w:val="009F4687"/>
    <w:rsid w:val="00A00077"/>
    <w:rsid w:val="00A0015B"/>
    <w:rsid w:val="00A00B80"/>
    <w:rsid w:val="00A13ED2"/>
    <w:rsid w:val="00A31764"/>
    <w:rsid w:val="00A46BD9"/>
    <w:rsid w:val="00A5187C"/>
    <w:rsid w:val="00A975E1"/>
    <w:rsid w:val="00AB5690"/>
    <w:rsid w:val="00AB746F"/>
    <w:rsid w:val="00AC1627"/>
    <w:rsid w:val="00AC19CE"/>
    <w:rsid w:val="00AC525A"/>
    <w:rsid w:val="00AC7859"/>
    <w:rsid w:val="00AD7C5F"/>
    <w:rsid w:val="00AE7E79"/>
    <w:rsid w:val="00B02BD9"/>
    <w:rsid w:val="00B045CF"/>
    <w:rsid w:val="00B209AF"/>
    <w:rsid w:val="00B20BB1"/>
    <w:rsid w:val="00B34A33"/>
    <w:rsid w:val="00B37F0B"/>
    <w:rsid w:val="00B41DCB"/>
    <w:rsid w:val="00B4554B"/>
    <w:rsid w:val="00B514B7"/>
    <w:rsid w:val="00B5425E"/>
    <w:rsid w:val="00B55778"/>
    <w:rsid w:val="00B76F69"/>
    <w:rsid w:val="00B81ADC"/>
    <w:rsid w:val="00B84AF3"/>
    <w:rsid w:val="00BA2F57"/>
    <w:rsid w:val="00BA3B2C"/>
    <w:rsid w:val="00BB1A72"/>
    <w:rsid w:val="00BB3A28"/>
    <w:rsid w:val="00BC131B"/>
    <w:rsid w:val="00BC31D3"/>
    <w:rsid w:val="00BC6A80"/>
    <w:rsid w:val="00BC7AF4"/>
    <w:rsid w:val="00BD1641"/>
    <w:rsid w:val="00BE28F5"/>
    <w:rsid w:val="00C00B13"/>
    <w:rsid w:val="00C120DD"/>
    <w:rsid w:val="00C12B0E"/>
    <w:rsid w:val="00C1794E"/>
    <w:rsid w:val="00C313FC"/>
    <w:rsid w:val="00C4635E"/>
    <w:rsid w:val="00C626EE"/>
    <w:rsid w:val="00C73E2E"/>
    <w:rsid w:val="00CB5FD1"/>
    <w:rsid w:val="00CB68A7"/>
    <w:rsid w:val="00CD24C6"/>
    <w:rsid w:val="00CD2E71"/>
    <w:rsid w:val="00CD7F86"/>
    <w:rsid w:val="00CE7A9E"/>
    <w:rsid w:val="00CF088D"/>
    <w:rsid w:val="00CF1C41"/>
    <w:rsid w:val="00D07CD3"/>
    <w:rsid w:val="00D16B36"/>
    <w:rsid w:val="00D178E5"/>
    <w:rsid w:val="00D36ABC"/>
    <w:rsid w:val="00D37349"/>
    <w:rsid w:val="00D37F63"/>
    <w:rsid w:val="00D431D5"/>
    <w:rsid w:val="00D45460"/>
    <w:rsid w:val="00D572C2"/>
    <w:rsid w:val="00D7003A"/>
    <w:rsid w:val="00D7586E"/>
    <w:rsid w:val="00D806A8"/>
    <w:rsid w:val="00D91046"/>
    <w:rsid w:val="00DA0CA9"/>
    <w:rsid w:val="00DA3FF1"/>
    <w:rsid w:val="00DA4F18"/>
    <w:rsid w:val="00DC4110"/>
    <w:rsid w:val="00DC7F32"/>
    <w:rsid w:val="00DE2639"/>
    <w:rsid w:val="00DF10CE"/>
    <w:rsid w:val="00DF507D"/>
    <w:rsid w:val="00DF6E9A"/>
    <w:rsid w:val="00E17D71"/>
    <w:rsid w:val="00E25090"/>
    <w:rsid w:val="00E42339"/>
    <w:rsid w:val="00E43B1F"/>
    <w:rsid w:val="00E45D5A"/>
    <w:rsid w:val="00E560BC"/>
    <w:rsid w:val="00E65D5E"/>
    <w:rsid w:val="00E70FA9"/>
    <w:rsid w:val="00E86DAE"/>
    <w:rsid w:val="00E93A62"/>
    <w:rsid w:val="00E94060"/>
    <w:rsid w:val="00EA2A72"/>
    <w:rsid w:val="00EA57D2"/>
    <w:rsid w:val="00EA6D00"/>
    <w:rsid w:val="00EB34DD"/>
    <w:rsid w:val="00EB695A"/>
    <w:rsid w:val="00EC068B"/>
    <w:rsid w:val="00ED7898"/>
    <w:rsid w:val="00EE7AE0"/>
    <w:rsid w:val="00EF2A8B"/>
    <w:rsid w:val="00EF367E"/>
    <w:rsid w:val="00F100A5"/>
    <w:rsid w:val="00F10551"/>
    <w:rsid w:val="00F21DBE"/>
    <w:rsid w:val="00F2303C"/>
    <w:rsid w:val="00F30F12"/>
    <w:rsid w:val="00F4732A"/>
    <w:rsid w:val="00F5504E"/>
    <w:rsid w:val="00F6752C"/>
    <w:rsid w:val="00F8768F"/>
    <w:rsid w:val="00FA038A"/>
    <w:rsid w:val="00FA770B"/>
    <w:rsid w:val="00FB30C1"/>
    <w:rsid w:val="00FD2314"/>
    <w:rsid w:val="00FD4D40"/>
    <w:rsid w:val="00FD768A"/>
    <w:rsid w:val="00FE3FFB"/>
    <w:rsid w:val="00FE5E9E"/>
    <w:rsid w:val="2BA81C41"/>
    <w:rsid w:val="34965979"/>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236A0"/>
  <w15:docId w15:val="{84F600B0-45F0-441F-8C63-959F477C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pacing w:after="120"/>
      <w:ind w:leftChars="200" w:left="200"/>
    </w:pPr>
    <w:rPr>
      <w:rFonts w:ascii="Calibri" w:eastAsia="微软雅黑" w:hAnsi="Calibri"/>
    </w:rPr>
  </w:style>
  <w:style w:type="paragraph" w:styleId="a5">
    <w:name w:val="footer"/>
    <w:basedOn w:val="a"/>
    <w:link w:val="a6"/>
    <w:uiPriority w:val="99"/>
    <w:semiHidden/>
    <w:qFormat/>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7">
    <w:name w:val="header"/>
    <w:basedOn w:val="a"/>
    <w:link w:val="a8"/>
    <w:uiPriority w:val="99"/>
    <w:semiHidden/>
    <w:qFormat/>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a8">
    <w:name w:val="页眉 字符"/>
    <w:link w:val="a7"/>
    <w:uiPriority w:val="99"/>
    <w:semiHidden/>
    <w:qFormat/>
    <w:locked/>
    <w:rPr>
      <w:rFonts w:ascii="Tahoma" w:hAnsi="Tahoma" w:cs="Tahoma"/>
      <w:sz w:val="18"/>
      <w:szCs w:val="18"/>
    </w:rPr>
  </w:style>
  <w:style w:type="character" w:customStyle="1" w:styleId="a6">
    <w:name w:val="页脚 字符"/>
    <w:link w:val="a5"/>
    <w:uiPriority w:val="99"/>
    <w:semiHidden/>
    <w:qFormat/>
    <w:locked/>
    <w:rPr>
      <w:rFonts w:ascii="Tahoma" w:hAnsi="Tahoma" w:cs="Tahoma"/>
      <w:sz w:val="18"/>
      <w:szCs w:val="18"/>
    </w:rPr>
  </w:style>
  <w:style w:type="character" w:customStyle="1" w:styleId="a4">
    <w:name w:val="正文文本缩进 字符"/>
    <w:link w:val="a3"/>
    <w:uiPriority w:val="99"/>
    <w:semiHidden/>
    <w:qFormat/>
    <w:locked/>
    <w:rPr>
      <w:kern w:val="2"/>
      <w:sz w:val="21"/>
      <w:szCs w:val="21"/>
    </w:rPr>
  </w:style>
  <w:style w:type="character" w:customStyle="1" w:styleId="BodyTextIndentChar1">
    <w:name w:val="Body Text Indent Char1"/>
    <w:uiPriority w:val="99"/>
    <w:semiHidden/>
    <w:qFormat/>
    <w:rPr>
      <w:rFonts w:ascii="Times New Roman" w:eastAsia="宋体" w:hAnsi="Times New Roman" w:cs="Times New Roman"/>
      <w:sz w:val="21"/>
      <w:szCs w:val="21"/>
    </w:rPr>
  </w:style>
  <w:style w:type="character" w:customStyle="1" w:styleId="Char1">
    <w:name w:val="正文文本缩进 Char1"/>
    <w:uiPriority w:val="99"/>
    <w:semiHidden/>
    <w:qFormat/>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pPr>
      <w:widowControl/>
      <w:spacing w:after="160" w:line="240" w:lineRule="exact"/>
    </w:pPr>
    <w:rPr>
      <w:rFonts w:ascii="Verdana" w:eastAsia="微软雅黑" w:hAnsi="Verdana" w:cs="Verdana"/>
      <w:kern w:val="0"/>
      <w:sz w:val="22"/>
      <w:szCs w:val="22"/>
      <w:lang w:eastAsia="en-US"/>
    </w:rPr>
  </w:style>
  <w:style w:type="paragraph" w:customStyle="1" w:styleId="1">
    <w:name w:val="修订1"/>
    <w:hidden/>
    <w:uiPriority w:val="99"/>
    <w:semiHidden/>
    <w:rPr>
      <w:rFonts w:ascii="Times New Roman" w:eastAsia="宋体"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柏 菁</cp:lastModifiedBy>
  <cp:revision>6</cp:revision>
  <dcterms:created xsi:type="dcterms:W3CDTF">2021-11-22T02:27:00Z</dcterms:created>
  <dcterms:modified xsi:type="dcterms:W3CDTF">2021-11-22T06:21:00Z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E9A46988F646437588F7772E1E35309F</vt:lpwstr>
  </property>
</Properties>
</file>