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FF206" w14:textId="620871D4" w:rsidR="009A49E3" w:rsidRDefault="0093415C" w:rsidP="0093415C">
      <w:pPr>
        <w:snapToGrid w:val="0"/>
        <w:jc w:val="center"/>
        <w:rPr>
          <w:rStyle w:val="NormalCharacter"/>
          <w:rFonts w:ascii="微软雅黑" w:eastAsia="微软雅黑" w:hAnsi="微软雅黑"/>
          <w:b/>
          <w:sz w:val="28"/>
          <w:szCs w:val="28"/>
        </w:rPr>
      </w:pPr>
      <w:r>
        <w:rPr>
          <w:rStyle w:val="NormalCharacter"/>
          <w:rFonts w:ascii="宋体" w:hAnsi="宋体"/>
          <w:color w:val="000000"/>
          <w:sz w:val="24"/>
        </w:rPr>
        <w:t>证券代码：600379</w:t>
      </w:r>
      <w:r>
        <w:rPr>
          <w:rStyle w:val="NormalCharacter"/>
          <w:rFonts w:ascii="宋体" w:hAnsi="宋体"/>
          <w:color w:val="000000"/>
          <w:sz w:val="24"/>
        </w:rPr>
        <w:tab/>
      </w:r>
      <w:r>
        <w:rPr>
          <w:rStyle w:val="NormalCharacter"/>
          <w:rFonts w:ascii="宋体" w:hAnsi="宋体"/>
          <w:color w:val="000000"/>
          <w:sz w:val="24"/>
        </w:rPr>
        <w:tab/>
        <w:t xml:space="preserve">                                证券简称：宝光股份</w:t>
      </w:r>
    </w:p>
    <w:p w14:paraId="6D849410" w14:textId="77777777" w:rsidR="009A49E3" w:rsidRDefault="009A49E3">
      <w:pPr>
        <w:snapToGrid w:val="0"/>
        <w:jc w:val="center"/>
        <w:rPr>
          <w:rStyle w:val="NormalCharacter"/>
          <w:rFonts w:ascii="微软雅黑" w:eastAsia="微软雅黑" w:hAnsi="微软雅黑"/>
          <w:b/>
          <w:sz w:val="28"/>
          <w:szCs w:val="28"/>
        </w:rPr>
      </w:pPr>
    </w:p>
    <w:p w14:paraId="12311962" w14:textId="77777777" w:rsidR="009A49E3" w:rsidRPr="00B4174A" w:rsidRDefault="009D7ACA" w:rsidP="00B4174A">
      <w:pPr>
        <w:adjustRightInd w:val="0"/>
        <w:snapToGrid w:val="0"/>
        <w:jc w:val="center"/>
        <w:rPr>
          <w:rStyle w:val="NormalCharacter"/>
          <w:rFonts w:ascii="宋体" w:hAnsi="宋体"/>
          <w:b/>
          <w:sz w:val="36"/>
          <w:szCs w:val="36"/>
        </w:rPr>
      </w:pPr>
      <w:r w:rsidRPr="00B4174A">
        <w:rPr>
          <w:rStyle w:val="NormalCharacter"/>
          <w:rFonts w:ascii="宋体" w:hAnsi="宋体"/>
          <w:b/>
          <w:sz w:val="36"/>
          <w:szCs w:val="36"/>
        </w:rPr>
        <w:t>陕西宝光真空电器股份有限公司</w:t>
      </w:r>
    </w:p>
    <w:p w14:paraId="00A789EA" w14:textId="77777777" w:rsidR="009A49E3" w:rsidRPr="00B4174A" w:rsidRDefault="009D7ACA" w:rsidP="00B4174A">
      <w:pPr>
        <w:adjustRightInd w:val="0"/>
        <w:snapToGrid w:val="0"/>
        <w:spacing w:line="360" w:lineRule="auto"/>
        <w:jc w:val="center"/>
        <w:rPr>
          <w:rStyle w:val="NormalCharacter"/>
          <w:rFonts w:ascii="宋体" w:hAnsi="宋体"/>
          <w:b/>
          <w:sz w:val="36"/>
          <w:szCs w:val="36"/>
        </w:rPr>
      </w:pPr>
      <w:r w:rsidRPr="00B4174A">
        <w:rPr>
          <w:rStyle w:val="NormalCharacter"/>
          <w:rFonts w:ascii="宋体" w:hAnsi="宋体"/>
          <w:b/>
          <w:sz w:val="36"/>
          <w:szCs w:val="36"/>
        </w:rPr>
        <w:t>机构</w:t>
      </w:r>
      <w:r w:rsidR="0093415C" w:rsidRPr="00B4174A">
        <w:rPr>
          <w:rStyle w:val="NormalCharacter"/>
          <w:rFonts w:ascii="宋体" w:hAnsi="宋体"/>
          <w:b/>
          <w:sz w:val="36"/>
          <w:szCs w:val="36"/>
        </w:rPr>
        <w:t>投资者</w:t>
      </w:r>
      <w:r w:rsidRPr="00B4174A">
        <w:rPr>
          <w:rStyle w:val="NormalCharacter"/>
          <w:rFonts w:ascii="宋体" w:hAnsi="宋体"/>
          <w:b/>
          <w:sz w:val="36"/>
          <w:szCs w:val="36"/>
        </w:rPr>
        <w:t>调研</w:t>
      </w:r>
      <w:r w:rsidR="0093415C" w:rsidRPr="00B4174A">
        <w:rPr>
          <w:rStyle w:val="NormalCharacter"/>
          <w:rFonts w:ascii="宋体" w:hAnsi="宋体"/>
          <w:b/>
          <w:sz w:val="36"/>
          <w:szCs w:val="36"/>
        </w:rPr>
        <w:t>交流会议</w:t>
      </w:r>
      <w:r w:rsidRPr="00B4174A">
        <w:rPr>
          <w:rStyle w:val="NormalCharacter"/>
          <w:rFonts w:ascii="宋体" w:hAnsi="宋体"/>
          <w:b/>
          <w:sz w:val="36"/>
          <w:szCs w:val="36"/>
        </w:rPr>
        <w:t>纪要</w:t>
      </w:r>
    </w:p>
    <w:tbl>
      <w:tblPr>
        <w:tblW w:w="9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188"/>
        <w:gridCol w:w="1815"/>
        <w:gridCol w:w="1269"/>
        <w:gridCol w:w="2470"/>
        <w:gridCol w:w="1276"/>
        <w:gridCol w:w="1520"/>
      </w:tblGrid>
      <w:tr w:rsidR="009A49E3" w14:paraId="795E5FE3" w14:textId="77777777">
        <w:trPr>
          <w:trHeight w:val="1293"/>
          <w:jc w:val="center"/>
        </w:trPr>
        <w:tc>
          <w:tcPr>
            <w:tcW w:w="1188" w:type="dxa"/>
            <w:tcBorders>
              <w:top w:val="single" w:sz="4" w:space="0" w:color="000000"/>
              <w:left w:val="single" w:sz="4" w:space="0" w:color="000000"/>
              <w:bottom w:val="single" w:sz="4" w:space="0" w:color="000000"/>
              <w:right w:val="single" w:sz="4" w:space="0" w:color="000000"/>
            </w:tcBorders>
            <w:vAlign w:val="center"/>
          </w:tcPr>
          <w:p w14:paraId="36628A29" w14:textId="77777777" w:rsidR="009A49E3" w:rsidRDefault="009D7ACA" w:rsidP="00B4174A">
            <w:pPr>
              <w:adjustRightInd w:val="0"/>
              <w:snapToGrid w:val="0"/>
              <w:jc w:val="center"/>
              <w:rPr>
                <w:rStyle w:val="NormalCharacter"/>
                <w:rFonts w:ascii="宋体" w:hAnsi="宋体"/>
                <w:b/>
                <w:bCs/>
                <w:sz w:val="24"/>
              </w:rPr>
            </w:pPr>
            <w:r>
              <w:rPr>
                <w:rStyle w:val="NormalCharacter"/>
                <w:rFonts w:ascii="宋体" w:hAnsi="宋体"/>
                <w:b/>
                <w:bCs/>
                <w:sz w:val="24"/>
              </w:rPr>
              <w:t>时  间</w:t>
            </w:r>
          </w:p>
        </w:tc>
        <w:tc>
          <w:tcPr>
            <w:tcW w:w="1815" w:type="dxa"/>
            <w:tcBorders>
              <w:top w:val="single" w:sz="4" w:space="0" w:color="000000"/>
              <w:left w:val="single" w:sz="4" w:space="0" w:color="000000"/>
              <w:bottom w:val="single" w:sz="4" w:space="0" w:color="000000"/>
              <w:right w:val="single" w:sz="4" w:space="0" w:color="000000"/>
            </w:tcBorders>
            <w:vAlign w:val="center"/>
          </w:tcPr>
          <w:p w14:paraId="7D5B0A8D" w14:textId="77777777" w:rsidR="009A49E3" w:rsidRDefault="009D7ACA" w:rsidP="00B4174A">
            <w:pPr>
              <w:adjustRightInd w:val="0"/>
              <w:snapToGrid w:val="0"/>
              <w:jc w:val="center"/>
              <w:rPr>
                <w:rStyle w:val="NormalCharacter"/>
                <w:rFonts w:ascii="宋体" w:hAnsi="宋体"/>
                <w:b/>
                <w:bCs/>
                <w:color w:val="1F497D"/>
                <w:sz w:val="24"/>
              </w:rPr>
            </w:pPr>
            <w:r>
              <w:rPr>
                <w:rStyle w:val="NormalCharacter"/>
                <w:rFonts w:ascii="宋体" w:hAnsi="宋体"/>
                <w:b/>
                <w:bCs/>
                <w:color w:val="1F497D"/>
                <w:sz w:val="24"/>
              </w:rPr>
              <w:t>2021/</w:t>
            </w:r>
            <w:r w:rsidR="0087791F">
              <w:rPr>
                <w:rStyle w:val="NormalCharacter"/>
                <w:rFonts w:ascii="宋体" w:hAnsi="宋体"/>
                <w:b/>
                <w:bCs/>
                <w:color w:val="1F497D"/>
                <w:sz w:val="24"/>
              </w:rPr>
              <w:t>11</w:t>
            </w:r>
            <w:r>
              <w:rPr>
                <w:rStyle w:val="NormalCharacter"/>
                <w:rFonts w:ascii="宋体" w:hAnsi="宋体"/>
                <w:b/>
                <w:bCs/>
                <w:color w:val="1F497D"/>
                <w:sz w:val="24"/>
              </w:rPr>
              <w:t>/</w:t>
            </w:r>
            <w:r w:rsidR="0087791F">
              <w:rPr>
                <w:rStyle w:val="NormalCharacter"/>
                <w:rFonts w:ascii="宋体" w:hAnsi="宋体"/>
                <w:b/>
                <w:bCs/>
                <w:color w:val="1F497D"/>
                <w:sz w:val="24"/>
              </w:rPr>
              <w:t>30</w:t>
            </w:r>
          </w:p>
          <w:p w14:paraId="28B0CFB7" w14:textId="77777777" w:rsidR="009A49E3" w:rsidRDefault="0087791F" w:rsidP="00B4174A">
            <w:pPr>
              <w:adjustRightInd w:val="0"/>
              <w:snapToGrid w:val="0"/>
              <w:jc w:val="center"/>
              <w:rPr>
                <w:rStyle w:val="NormalCharacter"/>
                <w:rFonts w:ascii="宋体" w:hAnsi="宋体"/>
                <w:b/>
                <w:bCs/>
                <w:color w:val="1F497D"/>
                <w:sz w:val="24"/>
              </w:rPr>
            </w:pPr>
            <w:r>
              <w:rPr>
                <w:rStyle w:val="NormalCharacter"/>
                <w:rFonts w:ascii="宋体" w:hAnsi="宋体"/>
                <w:b/>
                <w:bCs/>
                <w:color w:val="1F497D"/>
                <w:sz w:val="24"/>
              </w:rPr>
              <w:t>14</w:t>
            </w:r>
            <w:r w:rsidR="009D7ACA">
              <w:rPr>
                <w:rStyle w:val="NormalCharacter"/>
                <w:rFonts w:ascii="宋体" w:hAnsi="宋体"/>
                <w:b/>
                <w:bCs/>
                <w:color w:val="1F497D"/>
                <w:sz w:val="24"/>
              </w:rPr>
              <w:t>:</w:t>
            </w:r>
            <w:r>
              <w:rPr>
                <w:rStyle w:val="NormalCharacter"/>
                <w:rFonts w:ascii="宋体" w:hAnsi="宋体"/>
                <w:b/>
                <w:bCs/>
                <w:color w:val="1F497D"/>
                <w:sz w:val="24"/>
              </w:rPr>
              <w:t>0</w:t>
            </w:r>
            <w:r w:rsidR="009D7ACA">
              <w:rPr>
                <w:rStyle w:val="NormalCharacter"/>
                <w:rFonts w:ascii="宋体" w:hAnsi="宋体"/>
                <w:b/>
                <w:bCs/>
                <w:color w:val="1F497D"/>
                <w:sz w:val="24"/>
              </w:rPr>
              <w:t>0-1</w:t>
            </w:r>
            <w:r>
              <w:rPr>
                <w:rStyle w:val="NormalCharacter"/>
                <w:rFonts w:ascii="宋体" w:hAnsi="宋体"/>
                <w:b/>
                <w:bCs/>
                <w:color w:val="1F497D"/>
                <w:sz w:val="24"/>
              </w:rPr>
              <w:t>6</w:t>
            </w:r>
            <w:r w:rsidR="009D7ACA">
              <w:rPr>
                <w:rStyle w:val="NormalCharacter"/>
                <w:rFonts w:ascii="宋体" w:hAnsi="宋体"/>
                <w:b/>
                <w:bCs/>
                <w:color w:val="1F497D"/>
                <w:sz w:val="24"/>
              </w:rPr>
              <w:t>:30</w:t>
            </w:r>
          </w:p>
        </w:tc>
        <w:tc>
          <w:tcPr>
            <w:tcW w:w="1269" w:type="dxa"/>
            <w:tcBorders>
              <w:top w:val="single" w:sz="4" w:space="0" w:color="000000"/>
              <w:left w:val="single" w:sz="4" w:space="0" w:color="000000"/>
              <w:bottom w:val="single" w:sz="4" w:space="0" w:color="000000"/>
              <w:right w:val="single" w:sz="4" w:space="0" w:color="000000"/>
            </w:tcBorders>
            <w:vAlign w:val="center"/>
          </w:tcPr>
          <w:p w14:paraId="221D6923" w14:textId="77777777" w:rsidR="009A49E3" w:rsidRPr="00045DE4" w:rsidRDefault="009D7ACA" w:rsidP="00B4174A">
            <w:pPr>
              <w:adjustRightInd w:val="0"/>
              <w:snapToGrid w:val="0"/>
              <w:jc w:val="center"/>
              <w:rPr>
                <w:rStyle w:val="NormalCharacter"/>
                <w:rFonts w:ascii="宋体" w:hAnsi="宋体"/>
                <w:b/>
                <w:bCs/>
                <w:sz w:val="24"/>
              </w:rPr>
            </w:pPr>
            <w:r w:rsidRPr="00045DE4">
              <w:rPr>
                <w:rStyle w:val="NormalCharacter"/>
                <w:rFonts w:ascii="宋体" w:hAnsi="宋体"/>
                <w:b/>
                <w:bCs/>
                <w:sz w:val="24"/>
              </w:rPr>
              <w:t>接待人员</w:t>
            </w:r>
          </w:p>
        </w:tc>
        <w:tc>
          <w:tcPr>
            <w:tcW w:w="2470" w:type="dxa"/>
            <w:tcBorders>
              <w:top w:val="single" w:sz="4" w:space="0" w:color="000000"/>
              <w:left w:val="single" w:sz="4" w:space="0" w:color="000000"/>
              <w:bottom w:val="single" w:sz="4" w:space="0" w:color="000000"/>
              <w:right w:val="single" w:sz="4" w:space="0" w:color="000000"/>
            </w:tcBorders>
            <w:vAlign w:val="center"/>
          </w:tcPr>
          <w:p w14:paraId="5D572C65" w14:textId="77777777" w:rsidR="009A49E3" w:rsidRPr="00045DE4" w:rsidRDefault="000F7F84" w:rsidP="00B4174A">
            <w:pPr>
              <w:adjustRightInd w:val="0"/>
              <w:snapToGrid w:val="0"/>
              <w:jc w:val="left"/>
              <w:rPr>
                <w:rStyle w:val="NormalCharacter"/>
                <w:rFonts w:ascii="宋体" w:hAnsi="宋体"/>
                <w:b/>
                <w:bCs/>
                <w:color w:val="1F497D"/>
                <w:sz w:val="24"/>
              </w:rPr>
            </w:pPr>
            <w:r w:rsidRPr="00045DE4">
              <w:rPr>
                <w:rStyle w:val="NormalCharacter"/>
                <w:rFonts w:ascii="宋体" w:hAnsi="宋体"/>
                <w:b/>
                <w:bCs/>
                <w:color w:val="1F497D"/>
                <w:sz w:val="24"/>
              </w:rPr>
              <w:t>副总经理尹哲</w:t>
            </w:r>
          </w:p>
          <w:p w14:paraId="744EFFDF" w14:textId="77777777" w:rsidR="009A49E3" w:rsidRPr="00045DE4" w:rsidRDefault="000F7F84" w:rsidP="00B4174A">
            <w:pPr>
              <w:adjustRightInd w:val="0"/>
              <w:snapToGrid w:val="0"/>
              <w:jc w:val="left"/>
              <w:rPr>
                <w:rStyle w:val="NormalCharacter"/>
                <w:rFonts w:ascii="宋体" w:hAnsi="宋体"/>
                <w:b/>
                <w:bCs/>
                <w:color w:val="1F497D"/>
                <w:sz w:val="24"/>
              </w:rPr>
            </w:pPr>
            <w:r w:rsidRPr="00045DE4">
              <w:rPr>
                <w:rStyle w:val="NormalCharacter"/>
                <w:rFonts w:ascii="宋体" w:hAnsi="宋体"/>
                <w:b/>
                <w:bCs/>
                <w:color w:val="1F497D"/>
                <w:sz w:val="24"/>
              </w:rPr>
              <w:t>董事会秘书原瑞涛</w:t>
            </w:r>
          </w:p>
          <w:p w14:paraId="15BAFE68" w14:textId="4DE94945" w:rsidR="009A49E3" w:rsidRPr="00045DE4" w:rsidRDefault="00091F49" w:rsidP="00B4174A">
            <w:pPr>
              <w:adjustRightInd w:val="0"/>
              <w:snapToGrid w:val="0"/>
              <w:jc w:val="left"/>
              <w:rPr>
                <w:rStyle w:val="NormalCharacter"/>
                <w:rFonts w:ascii="宋体" w:hAnsi="宋体"/>
                <w:b/>
                <w:bCs/>
                <w:color w:val="1F497D"/>
                <w:sz w:val="24"/>
              </w:rPr>
            </w:pPr>
            <w:r w:rsidRPr="00045DE4">
              <w:rPr>
                <w:rStyle w:val="NormalCharacter"/>
                <w:rFonts w:ascii="宋体" w:hAnsi="宋体" w:hint="eastAsia"/>
                <w:b/>
                <w:bCs/>
                <w:color w:val="1F497D"/>
                <w:sz w:val="24"/>
              </w:rPr>
              <w:t>子公司</w:t>
            </w:r>
            <w:r w:rsidR="0087791F" w:rsidRPr="00045DE4">
              <w:rPr>
                <w:rStyle w:val="NormalCharacter"/>
                <w:rFonts w:ascii="宋体" w:hAnsi="宋体"/>
                <w:b/>
                <w:bCs/>
                <w:color w:val="1F497D"/>
                <w:sz w:val="24"/>
              </w:rPr>
              <w:t>宝光智中总经理邢建国</w:t>
            </w:r>
          </w:p>
        </w:tc>
        <w:tc>
          <w:tcPr>
            <w:tcW w:w="1276" w:type="dxa"/>
            <w:tcBorders>
              <w:top w:val="single" w:sz="4" w:space="0" w:color="000000"/>
              <w:left w:val="single" w:sz="4" w:space="0" w:color="000000"/>
              <w:bottom w:val="single" w:sz="4" w:space="0" w:color="000000"/>
              <w:right w:val="single" w:sz="4" w:space="0" w:color="000000"/>
            </w:tcBorders>
            <w:vAlign w:val="center"/>
          </w:tcPr>
          <w:p w14:paraId="41BEA0F1" w14:textId="77777777" w:rsidR="009A49E3" w:rsidRDefault="00794EA1" w:rsidP="00B4174A">
            <w:pPr>
              <w:adjustRightInd w:val="0"/>
              <w:snapToGrid w:val="0"/>
              <w:jc w:val="center"/>
              <w:rPr>
                <w:rStyle w:val="NormalCharacter"/>
                <w:rFonts w:ascii="宋体" w:hAnsi="宋体"/>
                <w:b/>
                <w:bCs/>
                <w:sz w:val="24"/>
              </w:rPr>
            </w:pPr>
            <w:r w:rsidRPr="00794EA1">
              <w:rPr>
                <w:rStyle w:val="NormalCharacter"/>
                <w:rFonts w:ascii="宋体" w:hAnsi="宋体"/>
                <w:b/>
                <w:bCs/>
                <w:sz w:val="24"/>
              </w:rPr>
              <w:t>活动类别</w:t>
            </w:r>
          </w:p>
        </w:tc>
        <w:tc>
          <w:tcPr>
            <w:tcW w:w="1520" w:type="dxa"/>
            <w:tcBorders>
              <w:top w:val="single" w:sz="4" w:space="0" w:color="000000"/>
              <w:left w:val="single" w:sz="4" w:space="0" w:color="000000"/>
              <w:bottom w:val="single" w:sz="4" w:space="0" w:color="000000"/>
              <w:right w:val="single" w:sz="4" w:space="0" w:color="000000"/>
            </w:tcBorders>
            <w:vAlign w:val="center"/>
          </w:tcPr>
          <w:p w14:paraId="49310A21" w14:textId="77777777" w:rsidR="009A49E3" w:rsidRDefault="00794EA1" w:rsidP="00B4174A">
            <w:pPr>
              <w:adjustRightInd w:val="0"/>
              <w:snapToGrid w:val="0"/>
              <w:jc w:val="center"/>
              <w:rPr>
                <w:rStyle w:val="NormalCharacter"/>
                <w:rFonts w:ascii="宋体" w:hAnsi="宋体"/>
                <w:b/>
                <w:bCs/>
                <w:color w:val="1F497D"/>
                <w:sz w:val="24"/>
              </w:rPr>
            </w:pPr>
            <w:r w:rsidRPr="00B166C2">
              <w:rPr>
                <w:rStyle w:val="NormalCharacter"/>
                <w:rFonts w:ascii="宋体" w:hAnsi="宋体"/>
                <w:b/>
                <w:bCs/>
                <w:color w:val="1F497D"/>
                <w:sz w:val="24"/>
              </w:rPr>
              <w:t>现场接待</w:t>
            </w:r>
          </w:p>
        </w:tc>
      </w:tr>
      <w:tr w:rsidR="009A49E3" w14:paraId="472FF82D" w14:textId="77777777">
        <w:trPr>
          <w:trHeight w:val="1203"/>
          <w:jc w:val="center"/>
        </w:trPr>
        <w:tc>
          <w:tcPr>
            <w:tcW w:w="1188" w:type="dxa"/>
            <w:tcBorders>
              <w:top w:val="single" w:sz="4" w:space="0" w:color="000000"/>
              <w:left w:val="single" w:sz="4" w:space="0" w:color="000000"/>
              <w:bottom w:val="single" w:sz="4" w:space="0" w:color="000000"/>
              <w:right w:val="single" w:sz="4" w:space="0" w:color="000000"/>
            </w:tcBorders>
            <w:vAlign w:val="center"/>
          </w:tcPr>
          <w:p w14:paraId="349187BE" w14:textId="77777777" w:rsidR="009A49E3" w:rsidRDefault="009D7ACA" w:rsidP="00935969">
            <w:pPr>
              <w:adjustRightInd w:val="0"/>
              <w:snapToGrid w:val="0"/>
              <w:jc w:val="center"/>
              <w:rPr>
                <w:rStyle w:val="NormalCharacter"/>
                <w:rFonts w:ascii="宋体" w:hAnsi="宋体"/>
                <w:b/>
                <w:bCs/>
                <w:sz w:val="24"/>
              </w:rPr>
            </w:pPr>
            <w:r>
              <w:rPr>
                <w:rStyle w:val="NormalCharacter"/>
                <w:rFonts w:ascii="宋体" w:hAnsi="宋体"/>
                <w:b/>
                <w:bCs/>
                <w:sz w:val="24"/>
              </w:rPr>
              <w:t>来访人员</w:t>
            </w:r>
          </w:p>
        </w:tc>
        <w:tc>
          <w:tcPr>
            <w:tcW w:w="1815" w:type="dxa"/>
            <w:tcBorders>
              <w:top w:val="single" w:sz="4" w:space="0" w:color="000000"/>
              <w:left w:val="single" w:sz="4" w:space="0" w:color="000000"/>
              <w:bottom w:val="single" w:sz="4" w:space="0" w:color="000000"/>
              <w:right w:val="single" w:sz="4" w:space="0" w:color="000000"/>
            </w:tcBorders>
            <w:vAlign w:val="center"/>
          </w:tcPr>
          <w:p w14:paraId="4E115CAA" w14:textId="77777777" w:rsidR="009A49E3" w:rsidRDefault="0087791F" w:rsidP="00935969">
            <w:pPr>
              <w:adjustRightInd w:val="0"/>
              <w:snapToGrid w:val="0"/>
              <w:jc w:val="left"/>
              <w:rPr>
                <w:rStyle w:val="NormalCharacter"/>
                <w:rFonts w:ascii="宋体" w:hAnsi="宋体"/>
                <w:b/>
                <w:bCs/>
                <w:color w:val="1F497D"/>
                <w:sz w:val="24"/>
              </w:rPr>
            </w:pPr>
            <w:r>
              <w:rPr>
                <w:rStyle w:val="NormalCharacter"/>
                <w:rFonts w:ascii="宋体" w:hAnsi="宋体"/>
                <w:b/>
                <w:bCs/>
                <w:color w:val="1F497D"/>
                <w:sz w:val="24"/>
              </w:rPr>
              <w:t>陈子坤</w:t>
            </w:r>
            <w:r w:rsidR="009D7ACA">
              <w:rPr>
                <w:rStyle w:val="NormalCharacter"/>
                <w:rFonts w:ascii="宋体" w:hAnsi="宋体"/>
                <w:b/>
                <w:bCs/>
                <w:color w:val="1F497D"/>
                <w:sz w:val="24"/>
              </w:rPr>
              <w:t>、</w:t>
            </w:r>
            <w:r>
              <w:rPr>
                <w:rStyle w:val="NormalCharacter"/>
                <w:rFonts w:ascii="宋体" w:hAnsi="宋体"/>
                <w:b/>
                <w:bCs/>
                <w:color w:val="1F497D"/>
                <w:sz w:val="24"/>
              </w:rPr>
              <w:t>李蒙、任婧、周卓玮、夏云龙、吴云峰</w:t>
            </w:r>
            <w:r w:rsidR="00A624DF">
              <w:rPr>
                <w:rStyle w:val="NormalCharacter"/>
                <w:rFonts w:ascii="宋体" w:hAnsi="宋体"/>
                <w:b/>
                <w:bCs/>
                <w:color w:val="1F497D"/>
                <w:sz w:val="24"/>
              </w:rPr>
              <w:t>、童立</w:t>
            </w:r>
            <w:bookmarkStart w:id="0" w:name="_GoBack"/>
            <w:bookmarkEnd w:id="0"/>
          </w:p>
        </w:tc>
        <w:tc>
          <w:tcPr>
            <w:tcW w:w="1269" w:type="dxa"/>
            <w:tcBorders>
              <w:top w:val="single" w:sz="4" w:space="0" w:color="000000"/>
              <w:left w:val="single" w:sz="4" w:space="0" w:color="000000"/>
              <w:bottom w:val="single" w:sz="4" w:space="0" w:color="000000"/>
              <w:right w:val="single" w:sz="4" w:space="0" w:color="000000"/>
            </w:tcBorders>
            <w:vAlign w:val="center"/>
          </w:tcPr>
          <w:p w14:paraId="0B1CBB08" w14:textId="77777777" w:rsidR="009A49E3" w:rsidRDefault="009D7ACA" w:rsidP="00B4174A">
            <w:pPr>
              <w:adjustRightInd w:val="0"/>
              <w:snapToGrid w:val="0"/>
              <w:jc w:val="center"/>
              <w:rPr>
                <w:rStyle w:val="NormalCharacter"/>
                <w:rFonts w:ascii="宋体" w:hAnsi="宋体"/>
                <w:b/>
                <w:bCs/>
                <w:sz w:val="24"/>
              </w:rPr>
            </w:pPr>
            <w:r>
              <w:rPr>
                <w:rStyle w:val="NormalCharacter"/>
                <w:rFonts w:ascii="宋体" w:hAnsi="宋体"/>
                <w:b/>
                <w:bCs/>
                <w:sz w:val="24"/>
              </w:rPr>
              <w:t>机构名称</w:t>
            </w:r>
          </w:p>
        </w:tc>
        <w:tc>
          <w:tcPr>
            <w:tcW w:w="2470" w:type="dxa"/>
            <w:tcBorders>
              <w:top w:val="single" w:sz="4" w:space="0" w:color="000000"/>
              <w:left w:val="single" w:sz="4" w:space="0" w:color="000000"/>
              <w:bottom w:val="single" w:sz="4" w:space="0" w:color="000000"/>
              <w:right w:val="single" w:sz="4" w:space="0" w:color="000000"/>
            </w:tcBorders>
            <w:vAlign w:val="center"/>
          </w:tcPr>
          <w:p w14:paraId="683FCA24" w14:textId="77777777" w:rsidR="009A49E3" w:rsidRDefault="0087791F" w:rsidP="00B4174A">
            <w:pPr>
              <w:adjustRightInd w:val="0"/>
              <w:snapToGrid w:val="0"/>
              <w:jc w:val="left"/>
              <w:rPr>
                <w:rStyle w:val="NormalCharacter"/>
                <w:rFonts w:ascii="宋体" w:hAnsi="宋体"/>
                <w:b/>
                <w:bCs/>
                <w:color w:val="1F497D"/>
                <w:sz w:val="24"/>
              </w:rPr>
            </w:pPr>
            <w:r>
              <w:rPr>
                <w:rStyle w:val="NormalCharacter"/>
                <w:rFonts w:ascii="宋体" w:hAnsi="宋体"/>
                <w:b/>
                <w:bCs/>
                <w:color w:val="1F497D"/>
                <w:sz w:val="24"/>
              </w:rPr>
              <w:t>广发</w:t>
            </w:r>
            <w:r w:rsidR="009D7ACA">
              <w:rPr>
                <w:rStyle w:val="NormalCharacter"/>
                <w:rFonts w:ascii="宋体" w:hAnsi="宋体"/>
                <w:b/>
                <w:bCs/>
                <w:color w:val="1F497D"/>
                <w:sz w:val="24"/>
              </w:rPr>
              <w:t>证券</w:t>
            </w:r>
            <w:r>
              <w:rPr>
                <w:rStyle w:val="NormalCharacter"/>
                <w:rFonts w:ascii="宋体" w:hAnsi="宋体"/>
                <w:b/>
                <w:bCs/>
                <w:color w:val="1F497D"/>
                <w:sz w:val="24"/>
              </w:rPr>
              <w:t>、南方</w:t>
            </w:r>
            <w:r w:rsidR="009D7ACA">
              <w:rPr>
                <w:rStyle w:val="NormalCharacter"/>
                <w:rFonts w:ascii="宋体" w:hAnsi="宋体"/>
                <w:b/>
                <w:bCs/>
                <w:color w:val="1F497D"/>
                <w:sz w:val="24"/>
              </w:rPr>
              <w:t>基金</w:t>
            </w:r>
            <w:r>
              <w:rPr>
                <w:rStyle w:val="NormalCharacter"/>
                <w:rFonts w:ascii="宋体" w:hAnsi="宋体"/>
                <w:b/>
                <w:bCs/>
                <w:color w:val="1F497D"/>
                <w:sz w:val="24"/>
              </w:rPr>
              <w:t>、合众资产、</w:t>
            </w:r>
            <w:r w:rsidR="00A624DF">
              <w:rPr>
                <w:rStyle w:val="NormalCharacter"/>
                <w:rFonts w:ascii="宋体" w:hAnsi="宋体"/>
                <w:b/>
                <w:bCs/>
                <w:color w:val="1F497D"/>
                <w:sz w:val="24"/>
              </w:rPr>
              <w:t>华夏基金、</w:t>
            </w:r>
            <w:r>
              <w:rPr>
                <w:rStyle w:val="NormalCharacter"/>
                <w:rFonts w:ascii="宋体" w:hAnsi="宋体"/>
                <w:b/>
                <w:bCs/>
                <w:color w:val="1F497D"/>
                <w:sz w:val="24"/>
              </w:rPr>
              <w:t>华商基金</w:t>
            </w:r>
            <w:r w:rsidR="00A624DF">
              <w:rPr>
                <w:rStyle w:val="NormalCharacter"/>
                <w:rFonts w:ascii="宋体" w:hAnsi="宋体"/>
                <w:b/>
                <w:bCs/>
                <w:color w:val="1F497D"/>
                <w:sz w:val="24"/>
              </w:rPr>
              <w:t>、富润德利资产</w:t>
            </w:r>
          </w:p>
        </w:tc>
        <w:tc>
          <w:tcPr>
            <w:tcW w:w="1276" w:type="dxa"/>
            <w:tcBorders>
              <w:top w:val="single" w:sz="4" w:space="0" w:color="000000"/>
              <w:left w:val="single" w:sz="4" w:space="0" w:color="000000"/>
              <w:bottom w:val="single" w:sz="4" w:space="0" w:color="000000"/>
              <w:right w:val="single" w:sz="4" w:space="0" w:color="000000"/>
            </w:tcBorders>
            <w:vAlign w:val="center"/>
          </w:tcPr>
          <w:p w14:paraId="723AB5AB" w14:textId="77777777" w:rsidR="009A49E3" w:rsidRDefault="009D7ACA" w:rsidP="00B4174A">
            <w:pPr>
              <w:adjustRightInd w:val="0"/>
              <w:snapToGrid w:val="0"/>
              <w:jc w:val="center"/>
              <w:rPr>
                <w:rStyle w:val="NormalCharacter"/>
                <w:rFonts w:ascii="宋体" w:hAnsi="宋体"/>
                <w:b/>
                <w:bCs/>
                <w:sz w:val="24"/>
              </w:rPr>
            </w:pPr>
            <w:r>
              <w:rPr>
                <w:rStyle w:val="NormalCharacter"/>
                <w:rFonts w:ascii="宋体" w:hAnsi="宋体"/>
                <w:b/>
                <w:bCs/>
                <w:sz w:val="24"/>
              </w:rPr>
              <w:t>记录人</w:t>
            </w:r>
          </w:p>
        </w:tc>
        <w:tc>
          <w:tcPr>
            <w:tcW w:w="1520" w:type="dxa"/>
            <w:tcBorders>
              <w:top w:val="single" w:sz="4" w:space="0" w:color="000000"/>
              <w:left w:val="single" w:sz="4" w:space="0" w:color="000000"/>
              <w:bottom w:val="single" w:sz="4" w:space="0" w:color="000000"/>
              <w:right w:val="single" w:sz="4" w:space="0" w:color="000000"/>
            </w:tcBorders>
            <w:vAlign w:val="center"/>
          </w:tcPr>
          <w:p w14:paraId="51586538" w14:textId="77777777" w:rsidR="009A49E3" w:rsidRDefault="009D7ACA" w:rsidP="00B4174A">
            <w:pPr>
              <w:adjustRightInd w:val="0"/>
              <w:snapToGrid w:val="0"/>
              <w:jc w:val="center"/>
              <w:rPr>
                <w:rStyle w:val="NormalCharacter"/>
                <w:rFonts w:ascii="宋体" w:hAnsi="宋体"/>
                <w:b/>
                <w:bCs/>
                <w:color w:val="1F497D"/>
                <w:sz w:val="24"/>
              </w:rPr>
            </w:pPr>
            <w:r>
              <w:rPr>
                <w:rStyle w:val="NormalCharacter"/>
                <w:rFonts w:ascii="宋体" w:hAnsi="宋体"/>
                <w:b/>
                <w:bCs/>
                <w:color w:val="1F497D"/>
                <w:sz w:val="24"/>
              </w:rPr>
              <w:t>原瑞涛</w:t>
            </w:r>
          </w:p>
        </w:tc>
      </w:tr>
      <w:tr w:rsidR="009A49E3" w14:paraId="6BE31142" w14:textId="77777777">
        <w:trPr>
          <w:jc w:val="center"/>
        </w:trPr>
        <w:tc>
          <w:tcPr>
            <w:tcW w:w="9538" w:type="dxa"/>
            <w:gridSpan w:val="6"/>
            <w:tcBorders>
              <w:top w:val="single" w:sz="4" w:space="0" w:color="000000"/>
              <w:left w:val="single" w:sz="4" w:space="0" w:color="000000"/>
              <w:bottom w:val="single" w:sz="4" w:space="0" w:color="000000"/>
              <w:right w:val="single" w:sz="4" w:space="0" w:color="000000"/>
            </w:tcBorders>
          </w:tcPr>
          <w:p w14:paraId="1650A03B" w14:textId="77777777" w:rsidR="009A49E3" w:rsidRPr="002D3587" w:rsidRDefault="0093415C" w:rsidP="002D3587">
            <w:pPr>
              <w:adjustRightInd w:val="0"/>
              <w:snapToGrid w:val="0"/>
              <w:spacing w:line="360" w:lineRule="auto"/>
              <w:ind w:firstLineChars="50" w:firstLine="141"/>
              <w:rPr>
                <w:rStyle w:val="NormalCharacter"/>
                <w:rFonts w:ascii="宋体" w:hAnsi="宋体"/>
                <w:b/>
                <w:bCs/>
                <w:sz w:val="28"/>
                <w:szCs w:val="28"/>
              </w:rPr>
            </w:pPr>
            <w:r w:rsidRPr="002D3587">
              <w:rPr>
                <w:rStyle w:val="NormalCharacter"/>
                <w:rFonts w:ascii="宋体" w:hAnsi="宋体"/>
                <w:b/>
                <w:bCs/>
                <w:sz w:val="28"/>
                <w:szCs w:val="28"/>
              </w:rPr>
              <w:t>机构投资者关注的</w:t>
            </w:r>
            <w:r w:rsidR="000F7F84" w:rsidRPr="002D3587">
              <w:rPr>
                <w:rStyle w:val="NormalCharacter"/>
                <w:rFonts w:ascii="宋体" w:hAnsi="宋体"/>
                <w:b/>
                <w:bCs/>
                <w:sz w:val="28"/>
                <w:szCs w:val="28"/>
              </w:rPr>
              <w:t>主要问题与</w:t>
            </w:r>
            <w:r w:rsidRPr="002D3587">
              <w:rPr>
                <w:rStyle w:val="NormalCharacter"/>
                <w:rFonts w:ascii="宋体" w:hAnsi="宋体"/>
                <w:b/>
                <w:bCs/>
                <w:sz w:val="28"/>
                <w:szCs w:val="28"/>
              </w:rPr>
              <w:t>回复</w:t>
            </w:r>
            <w:r w:rsidR="000F7F84" w:rsidRPr="002D3587">
              <w:rPr>
                <w:rStyle w:val="NormalCharacter"/>
                <w:rFonts w:ascii="宋体" w:hAnsi="宋体"/>
                <w:b/>
                <w:bCs/>
                <w:sz w:val="28"/>
                <w:szCs w:val="28"/>
              </w:rPr>
              <w:t>：</w:t>
            </w:r>
          </w:p>
          <w:p w14:paraId="2E1FAEA8" w14:textId="6FA4DD99" w:rsidR="009A49E3" w:rsidRPr="00B027F6" w:rsidRDefault="00091F49" w:rsidP="00717330">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1</w:t>
            </w:r>
            <w:r w:rsidRPr="00B027F6">
              <w:rPr>
                <w:rStyle w:val="NormalCharacter"/>
                <w:rFonts w:ascii="等线" w:hAnsi="等线" w:hint="eastAsia"/>
                <w:b/>
                <w:sz w:val="24"/>
              </w:rPr>
              <w:t>、</w:t>
            </w:r>
            <w:r w:rsidR="007F411E" w:rsidRPr="00B027F6">
              <w:rPr>
                <w:rStyle w:val="NormalCharacter"/>
                <w:rFonts w:ascii="等线" w:hAnsi="等线"/>
                <w:b/>
                <w:sz w:val="24"/>
              </w:rPr>
              <w:t>真空灭弧室的核心原材料有哪些？</w:t>
            </w:r>
            <w:r w:rsidR="00174F47" w:rsidRPr="00B027F6">
              <w:rPr>
                <w:rStyle w:val="NormalCharacter"/>
                <w:rFonts w:ascii="等线" w:hAnsi="等线" w:hint="eastAsia"/>
                <w:b/>
                <w:sz w:val="24"/>
              </w:rPr>
              <w:t>原材料价格上涨对公司影响如何</w:t>
            </w:r>
            <w:r w:rsidR="007F411E" w:rsidRPr="00B027F6">
              <w:rPr>
                <w:rStyle w:val="NormalCharacter"/>
                <w:rFonts w:ascii="等线" w:hAnsi="等线"/>
                <w:b/>
                <w:sz w:val="24"/>
              </w:rPr>
              <w:t>？</w:t>
            </w:r>
          </w:p>
          <w:p w14:paraId="107C37DA" w14:textId="669B4EE5" w:rsidR="009A49E3" w:rsidRPr="00106E36" w:rsidRDefault="007F411E" w:rsidP="00717330">
            <w:pPr>
              <w:adjustRightInd w:val="0"/>
              <w:snapToGrid w:val="0"/>
              <w:spacing w:line="360" w:lineRule="auto"/>
              <w:ind w:leftChars="29" w:left="61" w:rightChars="51" w:right="107" w:firstLineChars="150" w:firstLine="360"/>
              <w:rPr>
                <w:rStyle w:val="NormalCharacter"/>
              </w:rPr>
            </w:pPr>
            <w:r w:rsidRPr="00106E36">
              <w:rPr>
                <w:rStyle w:val="NormalCharacter"/>
                <w:rFonts w:ascii="等线" w:hAnsi="等线"/>
                <w:sz w:val="24"/>
                <w:u w:val="single" w:color="000000"/>
              </w:rPr>
              <w:t>回复：公司真空灭弧室产品的核心原材料为铜银等大宗商品，今年以来大宗商品价格大幅上涨对公司传统业务的产品毛利率有较大的负面影响，但今年整体上灭弧室业务产销两旺，内部精益管理成效显著，从而有效对冲了成本上升的影响。</w:t>
            </w:r>
          </w:p>
          <w:p w14:paraId="0877715A"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2</w:t>
            </w:r>
            <w:r w:rsidRPr="00B027F6">
              <w:rPr>
                <w:rStyle w:val="NormalCharacter"/>
                <w:rFonts w:ascii="等线" w:hAnsi="等线"/>
                <w:b/>
                <w:sz w:val="24"/>
              </w:rPr>
              <w:t>、新能源电站配多少储能合适？</w:t>
            </w:r>
          </w:p>
          <w:p w14:paraId="69444449"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106E36">
              <w:rPr>
                <w:rStyle w:val="NormalCharacter"/>
                <w:rFonts w:ascii="等线" w:hAnsi="等线"/>
                <w:sz w:val="24"/>
                <w:u w:val="single" w:color="000000"/>
              </w:rPr>
              <w:t>回复：按新能源装机容量比例配置储能的一刀切做法有待商榷。从目前政策来看，部分省份提出按新能源发电项目的装机容量比例配置储能，配置比例在</w:t>
            </w:r>
            <w:r w:rsidRPr="00106E36">
              <w:rPr>
                <w:rStyle w:val="NormalCharacter"/>
                <w:rFonts w:ascii="等线" w:hAnsi="等线"/>
                <w:sz w:val="24"/>
                <w:u w:val="single" w:color="000000"/>
              </w:rPr>
              <w:t>5%~20%</w:t>
            </w:r>
            <w:r w:rsidRPr="00106E36">
              <w:rPr>
                <w:rStyle w:val="NormalCharacter"/>
                <w:rFonts w:ascii="等线" w:hAnsi="等线"/>
                <w:sz w:val="24"/>
                <w:u w:val="single" w:color="000000"/>
              </w:rPr>
              <w:t>之间。由于各地新能源发展规模、电网结构，调峰资源缺口程度有所不同，在新能源场站无差异化地配置储能有可能降低设备利用效率，增加项目总体成本，需要根据新能源场站配置储能的区域特征和功能定位来合理测算并配置，并非越大越好。</w:t>
            </w:r>
          </w:p>
          <w:p w14:paraId="7AFCA65E"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3</w:t>
            </w:r>
            <w:r w:rsidRPr="00B027F6">
              <w:rPr>
                <w:rStyle w:val="NormalCharacter"/>
                <w:rFonts w:ascii="等线" w:hAnsi="等线"/>
                <w:b/>
                <w:sz w:val="24"/>
              </w:rPr>
              <w:t>、公司</w:t>
            </w:r>
            <w:r w:rsidRPr="00B027F6">
              <w:rPr>
                <w:rStyle w:val="NormalCharacter"/>
                <w:rFonts w:ascii="等线" w:hAnsi="等线"/>
                <w:b/>
                <w:sz w:val="24"/>
              </w:rPr>
              <w:t>EMS</w:t>
            </w:r>
            <w:r w:rsidRPr="00B027F6">
              <w:rPr>
                <w:rStyle w:val="NormalCharacter"/>
                <w:rFonts w:ascii="等线" w:hAnsi="等线"/>
                <w:b/>
                <w:sz w:val="24"/>
              </w:rPr>
              <w:t>的核心优势在哪里？可以给电力系统提供哪些价值服务？</w:t>
            </w:r>
          </w:p>
          <w:p w14:paraId="49875C09"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106E36">
              <w:rPr>
                <w:rStyle w:val="NormalCharacter"/>
                <w:rFonts w:ascii="等线" w:hAnsi="等线"/>
                <w:sz w:val="24"/>
                <w:u w:val="single" w:color="000000"/>
              </w:rPr>
              <w:t>回复：我们的</w:t>
            </w:r>
            <w:r w:rsidRPr="00106E36">
              <w:rPr>
                <w:rStyle w:val="NormalCharacter"/>
                <w:rFonts w:ascii="等线" w:hAnsi="等线"/>
                <w:sz w:val="24"/>
                <w:u w:val="single" w:color="000000"/>
              </w:rPr>
              <w:t>EMS</w:t>
            </w:r>
            <w:r w:rsidRPr="00106E36">
              <w:rPr>
                <w:rStyle w:val="NormalCharacter"/>
                <w:rFonts w:ascii="等线" w:hAnsi="等线"/>
                <w:sz w:val="24"/>
                <w:u w:val="single" w:color="000000"/>
              </w:rPr>
              <w:t>具有两个特点：一是从电网角度出发自上而下的设计思路，所以功能比较全面，符合电网调度需求；二是严格遵循电力系统的设计思维和标准，安全性、容错性高。针对电力系统运行特点，宝光智中对于储能不同的应用场景开发出了不同控制策略，能够提升储能的使用效率及设备寿命，快速响应和协调控制储能。</w:t>
            </w:r>
          </w:p>
          <w:p w14:paraId="68E290B8" w14:textId="22D62986"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106E36">
              <w:rPr>
                <w:rStyle w:val="NormalCharacter"/>
                <w:rFonts w:ascii="等线" w:hAnsi="等线"/>
                <w:sz w:val="24"/>
                <w:u w:val="single" w:color="000000"/>
              </w:rPr>
              <w:t>通过储能及其控制系统公司可以为电力系统提供调频、调峰、有功无功调整、阻尼控制、发电计划曲线跟踪等，为新能源发电比例不断攀升的新型电网稳定运行提供有效的支撑。</w:t>
            </w:r>
          </w:p>
          <w:p w14:paraId="56D6DFAC"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4</w:t>
            </w:r>
            <w:r w:rsidRPr="00B027F6">
              <w:rPr>
                <w:rStyle w:val="NormalCharacter"/>
                <w:rFonts w:ascii="等线" w:hAnsi="等线"/>
                <w:b/>
                <w:sz w:val="24"/>
              </w:rPr>
              <w:t>、火电厂联合调频储能的配比是多少？</w:t>
            </w:r>
          </w:p>
          <w:p w14:paraId="0C4FBADB" w14:textId="77777777" w:rsidR="009A49E3" w:rsidRPr="00616A90"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106E36">
              <w:rPr>
                <w:rStyle w:val="NormalCharacter"/>
                <w:rFonts w:ascii="等线" w:hAnsi="等线"/>
                <w:sz w:val="24"/>
                <w:u w:val="single" w:color="000000"/>
              </w:rPr>
              <w:lastRenderedPageBreak/>
              <w:t>回复：按照公司目前实际工程项目经验，储能最大功率按照火电机组发电功率的</w:t>
            </w:r>
            <w:r w:rsidRPr="00106E36">
              <w:rPr>
                <w:rStyle w:val="NormalCharacter"/>
                <w:rFonts w:ascii="等线" w:hAnsi="等线"/>
                <w:sz w:val="24"/>
                <w:u w:val="single" w:color="000000"/>
              </w:rPr>
              <w:t>3%</w:t>
            </w:r>
            <w:r w:rsidRPr="00106E36">
              <w:rPr>
                <w:rStyle w:val="NormalCharacter"/>
                <w:rFonts w:ascii="等线" w:hAnsi="等线"/>
                <w:sz w:val="24"/>
                <w:u w:val="single" w:color="000000"/>
              </w:rPr>
              <w:t>进行配置，采用放电倍率为</w:t>
            </w:r>
            <w:r w:rsidRPr="00106E36">
              <w:rPr>
                <w:rStyle w:val="NormalCharacter"/>
                <w:rFonts w:ascii="等线" w:hAnsi="等线"/>
                <w:sz w:val="24"/>
                <w:u w:val="single" w:color="000000"/>
              </w:rPr>
              <w:t>2C</w:t>
            </w:r>
            <w:r w:rsidRPr="00106E36">
              <w:rPr>
                <w:rStyle w:val="NormalCharacter"/>
                <w:rFonts w:ascii="等线" w:hAnsi="等线"/>
                <w:sz w:val="24"/>
                <w:u w:val="single" w:color="000000"/>
              </w:rPr>
              <w:t>的功率型电芯，电池容量是功率的一半。例如</w:t>
            </w:r>
            <w:r w:rsidRPr="00106E36">
              <w:rPr>
                <w:rStyle w:val="NormalCharacter"/>
                <w:rFonts w:ascii="等线" w:hAnsi="等线"/>
                <w:sz w:val="24"/>
                <w:u w:val="single" w:color="000000"/>
              </w:rPr>
              <w:t>1000MW</w:t>
            </w:r>
            <w:r w:rsidRPr="00106E36">
              <w:rPr>
                <w:rStyle w:val="NormalCharacter"/>
                <w:rFonts w:ascii="等线" w:hAnsi="等线"/>
                <w:sz w:val="24"/>
                <w:u w:val="single" w:color="000000"/>
              </w:rPr>
              <w:t>的火电机组，配置</w:t>
            </w:r>
            <w:r w:rsidRPr="00106E36">
              <w:rPr>
                <w:rStyle w:val="NormalCharacter"/>
                <w:rFonts w:ascii="等线" w:hAnsi="等线"/>
                <w:sz w:val="24"/>
                <w:u w:val="single" w:color="000000"/>
              </w:rPr>
              <w:t>30MW/15MWh</w:t>
            </w:r>
            <w:r w:rsidRPr="00106E36">
              <w:rPr>
                <w:rStyle w:val="NormalCharacter"/>
                <w:rFonts w:ascii="等线" w:hAnsi="等线"/>
                <w:sz w:val="24"/>
                <w:u w:val="single" w:color="000000"/>
              </w:rPr>
              <w:t>的储能容量。</w:t>
            </w:r>
          </w:p>
          <w:p w14:paraId="69C01037"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5</w:t>
            </w:r>
            <w:r w:rsidRPr="00B027F6">
              <w:rPr>
                <w:rStyle w:val="NormalCharacter"/>
                <w:rFonts w:ascii="等线" w:hAnsi="等线"/>
                <w:b/>
                <w:sz w:val="24"/>
              </w:rPr>
              <w:t>、目前火电储能调频的收益来源和业务模式是什么，重点发展哪种业务模式？</w:t>
            </w:r>
          </w:p>
          <w:p w14:paraId="083AF1B7"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回复：目前火电储能调频的业务模式主要分为自投自建、承接储能项目</w:t>
            </w:r>
            <w:r w:rsidRPr="007F411E">
              <w:rPr>
                <w:rStyle w:val="NormalCharacter"/>
                <w:rFonts w:ascii="等线" w:hAnsi="等线"/>
                <w:sz w:val="24"/>
                <w:u w:val="single" w:color="000000"/>
              </w:rPr>
              <w:t>EPC</w:t>
            </w:r>
            <w:r w:rsidRPr="007F411E">
              <w:rPr>
                <w:rStyle w:val="NormalCharacter"/>
                <w:rFonts w:ascii="等线" w:hAnsi="等线"/>
                <w:sz w:val="24"/>
                <w:u w:val="single" w:color="000000"/>
              </w:rPr>
              <w:t>建设和提供储能</w:t>
            </w:r>
            <w:r w:rsidRPr="007F411E">
              <w:rPr>
                <w:rStyle w:val="NormalCharacter"/>
                <w:rFonts w:ascii="等线" w:hAnsi="等线"/>
                <w:sz w:val="24"/>
                <w:u w:val="single" w:color="000000"/>
              </w:rPr>
              <w:t>EMS</w:t>
            </w:r>
            <w:r w:rsidRPr="007F411E">
              <w:rPr>
                <w:rStyle w:val="NormalCharacter"/>
                <w:rFonts w:ascii="等线" w:hAnsi="等线"/>
                <w:sz w:val="24"/>
                <w:u w:val="single" w:color="000000"/>
              </w:rPr>
              <w:t>系统及项目管理服务这三种。自投资建类项目主要收益为参与电网辅助服务取得与电厂方分成后的收益；</w:t>
            </w:r>
            <w:r w:rsidRPr="007F411E">
              <w:rPr>
                <w:rStyle w:val="NormalCharacter"/>
                <w:rFonts w:ascii="等线" w:hAnsi="等线"/>
                <w:sz w:val="24"/>
                <w:u w:val="single" w:color="000000"/>
              </w:rPr>
              <w:t>EPC</w:t>
            </w:r>
            <w:r w:rsidRPr="007F411E">
              <w:rPr>
                <w:rStyle w:val="NormalCharacter"/>
                <w:rFonts w:ascii="等线" w:hAnsi="等线"/>
                <w:sz w:val="24"/>
                <w:u w:val="single" w:color="000000"/>
              </w:rPr>
              <w:t>类和单独销售</w:t>
            </w:r>
            <w:r w:rsidRPr="007F411E">
              <w:rPr>
                <w:rStyle w:val="NormalCharacter"/>
                <w:rFonts w:ascii="等线" w:hAnsi="等线"/>
                <w:sz w:val="24"/>
                <w:u w:val="single" w:color="000000"/>
              </w:rPr>
              <w:t>EMS</w:t>
            </w:r>
            <w:r w:rsidRPr="007F411E">
              <w:rPr>
                <w:rStyle w:val="NormalCharacter"/>
                <w:rFonts w:ascii="等线" w:hAnsi="等线"/>
                <w:sz w:val="24"/>
                <w:u w:val="single" w:color="000000"/>
              </w:rPr>
              <w:t>软件则是销售利润。重点发展火电调频自投资建类项目，</w:t>
            </w:r>
            <w:r w:rsidRPr="007F411E">
              <w:rPr>
                <w:rStyle w:val="NormalCharacter"/>
                <w:rFonts w:ascii="等线" w:hAnsi="等线"/>
                <w:sz w:val="24"/>
                <w:u w:val="single" w:color="000000"/>
              </w:rPr>
              <w:t>EPC</w:t>
            </w:r>
            <w:r w:rsidRPr="007F411E">
              <w:rPr>
                <w:rStyle w:val="NormalCharacter"/>
                <w:rFonts w:ascii="等线" w:hAnsi="等线"/>
                <w:sz w:val="24"/>
                <w:u w:val="single" w:color="000000"/>
              </w:rPr>
              <w:t>建设和</w:t>
            </w:r>
            <w:r w:rsidRPr="007F411E">
              <w:rPr>
                <w:rStyle w:val="NormalCharacter"/>
                <w:rFonts w:ascii="等线" w:hAnsi="等线"/>
                <w:sz w:val="24"/>
                <w:u w:val="single" w:color="000000"/>
              </w:rPr>
              <w:t>EMS</w:t>
            </w:r>
            <w:r w:rsidRPr="007F411E">
              <w:rPr>
                <w:rStyle w:val="NormalCharacter"/>
                <w:rFonts w:ascii="等线" w:hAnsi="等线"/>
                <w:sz w:val="24"/>
                <w:u w:val="single" w:color="000000"/>
              </w:rPr>
              <w:t>软件销售也会进行兼顾。</w:t>
            </w:r>
          </w:p>
          <w:p w14:paraId="5857A3E4"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6</w:t>
            </w:r>
            <w:r w:rsidRPr="00B027F6">
              <w:rPr>
                <w:rStyle w:val="NormalCharacter"/>
                <w:rFonts w:ascii="等线" w:hAnsi="等线"/>
                <w:b/>
                <w:sz w:val="24"/>
              </w:rPr>
              <w:t>、新能源储能行业还存在什么需要改善的地方？</w:t>
            </w:r>
          </w:p>
          <w:p w14:paraId="21DF2D78" w14:textId="32E75E8E"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由于各地新能源发展规模、电网结构，调峰资源缺口程度有所不同，在新能源场站无差异化地配置储能有可能降低设备利用效率，增加项目总体成本。现在急需做好相关模型和仿真测试来解决合理配置比例的科学依据。另外，调峰、调频、调压、阻尼振荡等多品种辅助服务市场的交易模式和规范还有待建立与完善。</w:t>
            </w:r>
          </w:p>
          <w:p w14:paraId="09E01BDB"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7</w:t>
            </w:r>
            <w:r w:rsidRPr="00B027F6">
              <w:rPr>
                <w:rStyle w:val="NormalCharacter"/>
                <w:rFonts w:ascii="等线" w:hAnsi="等线"/>
                <w:b/>
                <w:sz w:val="24"/>
              </w:rPr>
              <w:t>、公司储能系统除了软件系统外，重要的硬件有哪些？公司能否自制？</w:t>
            </w:r>
          </w:p>
          <w:p w14:paraId="75994A11"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回复：公司还进行了储能协调控制器的研发，控制器的硬件参数按照电力系统二次保护装置的硬件标准开发，设计研发由公司自研，委托生产厂家进行代工生产。</w:t>
            </w:r>
          </w:p>
          <w:p w14:paraId="14BB6025"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公司电池管理系统（</w:t>
            </w:r>
            <w:r w:rsidRPr="007F411E">
              <w:rPr>
                <w:rStyle w:val="NormalCharacter"/>
                <w:rFonts w:ascii="等线" w:hAnsi="等线"/>
                <w:sz w:val="24"/>
                <w:u w:val="single" w:color="000000"/>
              </w:rPr>
              <w:t>BMS</w:t>
            </w:r>
            <w:r w:rsidRPr="007F411E">
              <w:rPr>
                <w:rStyle w:val="NormalCharacter"/>
                <w:rFonts w:ascii="等线" w:hAnsi="等线"/>
                <w:sz w:val="24"/>
                <w:u w:val="single" w:color="000000"/>
              </w:rPr>
              <w:t>）也通过了以</w:t>
            </w:r>
            <w:r w:rsidRPr="007F411E">
              <w:rPr>
                <w:rStyle w:val="NormalCharacter"/>
                <w:rFonts w:ascii="等线" w:hAnsi="等线"/>
                <w:sz w:val="24"/>
                <w:u w:val="single" w:color="000000"/>
              </w:rPr>
              <w:t xml:space="preserve">GB/T 34131-2017 </w:t>
            </w:r>
            <w:r w:rsidRPr="007F411E">
              <w:rPr>
                <w:rStyle w:val="NormalCharacter"/>
                <w:rFonts w:ascii="等线" w:hAnsi="等线"/>
                <w:sz w:val="24"/>
                <w:u w:val="single" w:color="000000"/>
              </w:rPr>
              <w:t>《电化学储能电站用锂离子电池管理系统技术规范》标准的第三方测试。</w:t>
            </w:r>
            <w:r w:rsidRPr="007F411E">
              <w:rPr>
                <w:rStyle w:val="NormalCharacter"/>
                <w:rFonts w:ascii="等线" w:hAnsi="等线"/>
                <w:sz w:val="24"/>
                <w:u w:val="single" w:color="000000"/>
              </w:rPr>
              <w:t>BMS</w:t>
            </w:r>
            <w:r w:rsidRPr="007F411E">
              <w:rPr>
                <w:rStyle w:val="NormalCharacter"/>
                <w:rFonts w:ascii="等线" w:hAnsi="等线"/>
                <w:sz w:val="24"/>
                <w:u w:val="single" w:color="000000"/>
              </w:rPr>
              <w:t>的硬件部分也是委托生产厂进行代工生产。</w:t>
            </w:r>
          </w:p>
          <w:p w14:paraId="7364298E"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8</w:t>
            </w:r>
            <w:r w:rsidRPr="00B027F6">
              <w:rPr>
                <w:rStyle w:val="NormalCharacter"/>
                <w:rFonts w:ascii="等线" w:hAnsi="等线"/>
                <w:b/>
                <w:sz w:val="24"/>
              </w:rPr>
              <w:t>、公司核心软件控制系统是否可复制？技术壁垒多高？</w:t>
            </w:r>
          </w:p>
          <w:p w14:paraId="649B1CAD"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公司核心软件控制系统复制难度较高，这需要深入理解电力系统，既要对电力系统整个电网架构、电网关键的技术指标进行深入研究，又要对整个储能系统的设备架构、设备间的功能参数进行不断的研究和试验，需要相当多的时间和工程实际经验沉淀方能转化为可应用于实际工程的软件产品。</w:t>
            </w:r>
          </w:p>
          <w:p w14:paraId="2DA80EDC"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9</w:t>
            </w:r>
            <w:r w:rsidRPr="00B027F6">
              <w:rPr>
                <w:rStyle w:val="NormalCharacter"/>
                <w:rFonts w:ascii="等线" w:hAnsi="等线"/>
                <w:b/>
                <w:sz w:val="24"/>
              </w:rPr>
              <w:t>、电池安全保护终端产品通用性如何？应用领域有哪些？</w:t>
            </w:r>
          </w:p>
          <w:p w14:paraId="234EEAFC"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回复：电池安全保护终端适合于不同锂电池系统安全保护需要，将电池簇中的电池组进行分断隔离，在各类型电化学储能应用中均可以应用。</w:t>
            </w:r>
          </w:p>
          <w:p w14:paraId="25998FF4"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10</w:t>
            </w:r>
            <w:r w:rsidRPr="00B027F6">
              <w:rPr>
                <w:rStyle w:val="NormalCharacter"/>
                <w:rFonts w:ascii="等线" w:hAnsi="等线"/>
                <w:b/>
                <w:sz w:val="24"/>
              </w:rPr>
              <w:t>、抽水蓄能是否参与调频？</w:t>
            </w:r>
          </w:p>
          <w:p w14:paraId="0F344548"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回复：目前抽水蓄能主要是参与电网调峰，并且抽水蓄能主要由电网公司参与建设，</w:t>
            </w:r>
            <w:r w:rsidRPr="007F411E">
              <w:rPr>
                <w:rStyle w:val="NormalCharacter"/>
                <w:rFonts w:ascii="等线" w:hAnsi="等线"/>
                <w:sz w:val="24"/>
                <w:u w:val="single" w:color="000000"/>
              </w:rPr>
              <w:lastRenderedPageBreak/>
              <w:t>现阶段不参与电网辅助服务市场，承担更多的是保障服务。</w:t>
            </w:r>
          </w:p>
          <w:p w14:paraId="63529320"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11</w:t>
            </w:r>
            <w:r w:rsidRPr="00B027F6">
              <w:rPr>
                <w:rStyle w:val="NormalCharacter"/>
                <w:rFonts w:ascii="等线" w:hAnsi="等线"/>
                <w:b/>
                <w:sz w:val="24"/>
              </w:rPr>
              <w:t>、火电辅助调频和独立储能调频相比有什么优势？</w:t>
            </w:r>
          </w:p>
          <w:p w14:paraId="71E326C3" w14:textId="77777777" w:rsidR="009A49E3" w:rsidRPr="00B027F6"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color="000000"/>
              </w:rPr>
            </w:pPr>
            <w:r w:rsidRPr="007F411E">
              <w:rPr>
                <w:rStyle w:val="NormalCharacter"/>
                <w:rFonts w:ascii="等线" w:hAnsi="等线"/>
                <w:sz w:val="24"/>
                <w:u w:val="single" w:color="000000"/>
              </w:rPr>
              <w:t>回复：独立储能电站涉及的土地、并网线路、变压器容量等，需要多部门进行项目审批，项目前置审批时间长。火电辅助调频利用火电厂空余变压器容量，现有的并网线路和电厂空地进行建设，项目前置审批简单，建设成本也相对较低。同时在电网调度侧，火电辅助调频中储能外挂在火电机组上，不需要在调度侧进行修改调整，直接对机组下发调度指令；火电辅助调频，机组直接对储能进行充电，充电电源稳定。独立储能在电网调度侧需要增加独立调度的编号，同时还需要一个稳定充电的电源点。</w:t>
            </w:r>
          </w:p>
          <w:p w14:paraId="3252F583" w14:textId="77777777" w:rsidR="009A49E3" w:rsidRPr="00B027F6" w:rsidRDefault="007F411E" w:rsidP="00B027F6">
            <w:pPr>
              <w:adjustRightInd w:val="0"/>
              <w:snapToGrid w:val="0"/>
              <w:spacing w:line="360" w:lineRule="auto"/>
              <w:ind w:right="420" w:firstLineChars="150" w:firstLine="361"/>
              <w:jc w:val="left"/>
              <w:rPr>
                <w:rStyle w:val="NormalCharacter"/>
                <w:rFonts w:ascii="等线" w:hAnsi="等线"/>
                <w:b/>
                <w:sz w:val="24"/>
              </w:rPr>
            </w:pPr>
            <w:r w:rsidRPr="00B027F6">
              <w:rPr>
                <w:rStyle w:val="NormalCharacter"/>
                <w:rFonts w:ascii="等线" w:hAnsi="等线"/>
                <w:b/>
                <w:sz w:val="24"/>
              </w:rPr>
              <w:t>12</w:t>
            </w:r>
            <w:r w:rsidRPr="00B027F6">
              <w:rPr>
                <w:rStyle w:val="NormalCharacter"/>
                <w:rFonts w:ascii="等线" w:hAnsi="等线"/>
                <w:b/>
                <w:sz w:val="24"/>
              </w:rPr>
              <w:t>、中国电气装备集团成立之后，公司的业务会不会跟许继、平高产生同业竞争？</w:t>
            </w:r>
          </w:p>
          <w:p w14:paraId="511348F7" w14:textId="4A97B6C9" w:rsidR="009A49E3" w:rsidRPr="00616A90" w:rsidRDefault="007F411E" w:rsidP="00B027F6">
            <w:pPr>
              <w:adjustRightInd w:val="0"/>
              <w:snapToGrid w:val="0"/>
              <w:spacing w:line="360" w:lineRule="auto"/>
              <w:ind w:leftChars="29" w:left="61" w:rightChars="51" w:right="107" w:firstLineChars="150" w:firstLine="360"/>
              <w:rPr>
                <w:rStyle w:val="NormalCharacter"/>
                <w:rFonts w:ascii="等线" w:hAnsi="等线"/>
                <w:sz w:val="24"/>
                <w:u w:val="single"/>
              </w:rPr>
            </w:pPr>
            <w:r w:rsidRPr="007F411E">
              <w:rPr>
                <w:rStyle w:val="NormalCharacter"/>
                <w:rFonts w:ascii="等线" w:hAnsi="等线"/>
                <w:sz w:val="24"/>
                <w:u w:val="single" w:color="000000"/>
              </w:rPr>
              <w:t>回复：电气装备集团重组完成后，公司灭弧室业务以及储能业务的部分领域可能与许继、平高产生同业竞争，目前尚未收到关于上级单位关于相关业务调整的方案或意见，公司将持续积极推动各个业务板块的正常发展和业务开展。</w:t>
            </w:r>
          </w:p>
        </w:tc>
      </w:tr>
    </w:tbl>
    <w:p w14:paraId="0119EF8A" w14:textId="77777777" w:rsidR="009A49E3" w:rsidRDefault="009A49E3">
      <w:pPr>
        <w:rPr>
          <w:rStyle w:val="NormalCharacter"/>
        </w:rPr>
      </w:pPr>
    </w:p>
    <w:sectPr w:rsidR="009A49E3">
      <w:headerReference w:type="default" r:id="rId6"/>
      <w:footerReference w:type="default" r:id="rId7"/>
      <w:pgSz w:w="11906" w:h="16838"/>
      <w:pgMar w:top="1304" w:right="1474" w:bottom="1191" w:left="1588" w:header="340"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D308" w14:textId="77777777" w:rsidR="00E32135" w:rsidRDefault="00E32135">
      <w:r>
        <w:separator/>
      </w:r>
    </w:p>
  </w:endnote>
  <w:endnote w:type="continuationSeparator" w:id="0">
    <w:p w14:paraId="7D00CD10" w14:textId="77777777" w:rsidR="00E32135" w:rsidRDefault="00E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739583"/>
      <w:docPartObj>
        <w:docPartGallery w:val="Page Numbers (Bottom of Page)"/>
        <w:docPartUnique/>
      </w:docPartObj>
    </w:sdtPr>
    <w:sdtEndPr/>
    <w:sdtContent>
      <w:sdt>
        <w:sdtPr>
          <w:id w:val="1728636285"/>
          <w:docPartObj>
            <w:docPartGallery w:val="Page Numbers (Top of Page)"/>
            <w:docPartUnique/>
          </w:docPartObj>
        </w:sdtPr>
        <w:sdtEndPr/>
        <w:sdtContent>
          <w:p w14:paraId="39BF02B4" w14:textId="67832A1C" w:rsidR="009A49E3" w:rsidRDefault="004C3B72" w:rsidP="004C3B72">
            <w:pPr>
              <w:pStyle w:val="a3"/>
              <w:jc w:val="center"/>
              <w:rPr>
                <w:rStyle w:val="NormalCharacter"/>
              </w:rPr>
            </w:pPr>
            <w:r>
              <w:rPr>
                <w:lang w:val="zh-CN"/>
              </w:rPr>
              <w:t xml:space="preserve"> </w:t>
            </w:r>
            <w:r>
              <w:rPr>
                <w:b/>
                <w:bCs/>
                <w:sz w:val="24"/>
                <w:szCs w:val="24"/>
              </w:rPr>
              <w:fldChar w:fldCharType="begin"/>
            </w:r>
            <w:r>
              <w:rPr>
                <w:b/>
                <w:bCs/>
              </w:rPr>
              <w:instrText>PAGE</w:instrText>
            </w:r>
            <w:r>
              <w:rPr>
                <w:b/>
                <w:bCs/>
                <w:sz w:val="24"/>
                <w:szCs w:val="24"/>
              </w:rPr>
              <w:fldChar w:fldCharType="separate"/>
            </w:r>
            <w:r w:rsidR="0093596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596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FF916" w14:textId="77777777" w:rsidR="00E32135" w:rsidRDefault="00E32135">
      <w:r>
        <w:separator/>
      </w:r>
    </w:p>
  </w:footnote>
  <w:footnote w:type="continuationSeparator" w:id="0">
    <w:p w14:paraId="2252A7C1" w14:textId="77777777" w:rsidR="00E32135" w:rsidRDefault="00E32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09E7" w14:textId="77777777" w:rsidR="009A49E3" w:rsidRDefault="009A49E3">
    <w:pPr>
      <w:tabs>
        <w:tab w:val="left" w:pos="5400"/>
      </w:tabs>
      <w:spacing w:before="240" w:after="240"/>
      <w:jc w:val="distribute"/>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A49E3"/>
    <w:rsid w:val="00045DE4"/>
    <w:rsid w:val="0006085F"/>
    <w:rsid w:val="00062820"/>
    <w:rsid w:val="00091F49"/>
    <w:rsid w:val="000A7A0F"/>
    <w:rsid w:val="000F7F84"/>
    <w:rsid w:val="00106E36"/>
    <w:rsid w:val="00115306"/>
    <w:rsid w:val="00174F47"/>
    <w:rsid w:val="002D3587"/>
    <w:rsid w:val="00464216"/>
    <w:rsid w:val="0046603D"/>
    <w:rsid w:val="004C3B72"/>
    <w:rsid w:val="005320E0"/>
    <w:rsid w:val="00616A90"/>
    <w:rsid w:val="00717330"/>
    <w:rsid w:val="00794EA1"/>
    <w:rsid w:val="007F411E"/>
    <w:rsid w:val="0087791F"/>
    <w:rsid w:val="00882C32"/>
    <w:rsid w:val="0093415C"/>
    <w:rsid w:val="00935969"/>
    <w:rsid w:val="009A49E3"/>
    <w:rsid w:val="009D7ACA"/>
    <w:rsid w:val="00A624DF"/>
    <w:rsid w:val="00B027F6"/>
    <w:rsid w:val="00B166C2"/>
    <w:rsid w:val="00B4174A"/>
    <w:rsid w:val="00C76915"/>
    <w:rsid w:val="00CC047A"/>
    <w:rsid w:val="00E32135"/>
    <w:rsid w:val="00E7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9E2E9"/>
  <w15:docId w15:val="{E2FB647E-0A39-446E-8506-BB844DDF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Acetate">
    <w:name w:val="Acetate"/>
    <w:basedOn w:val="a"/>
    <w:link w:val="UserStyle0"/>
    <w:rPr>
      <w:sz w:val="18"/>
      <w:szCs w:val="18"/>
    </w:rPr>
  </w:style>
  <w:style w:type="character" w:customStyle="1" w:styleId="UserStyle0">
    <w:name w:val="UserStyle_0"/>
    <w:link w:val="Acetate"/>
    <w:rPr>
      <w:kern w:val="2"/>
      <w:sz w:val="18"/>
      <w:szCs w:val="18"/>
    </w:rPr>
  </w:style>
  <w:style w:type="paragraph" w:styleId="a3">
    <w:name w:val="footer"/>
    <w:basedOn w:val="a"/>
    <w:link w:val="a4"/>
    <w:uiPriority w:val="99"/>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pPr>
      <w:pBdr>
        <w:bottom w:val="single" w:sz="6" w:space="1" w:color="000000"/>
      </w:pBdr>
      <w:tabs>
        <w:tab w:val="center" w:pos="4153"/>
        <w:tab w:val="right" w:pos="8306"/>
      </w:tabs>
      <w:snapToGrid w:val="0"/>
      <w:jc w:val="center"/>
    </w:pPr>
    <w:rPr>
      <w:sz w:val="18"/>
      <w:szCs w:val="18"/>
    </w:rPr>
  </w:style>
  <w:style w:type="paragraph" w:customStyle="1" w:styleId="FootnoteText">
    <w:name w:val="FootnoteText"/>
    <w:basedOn w:val="a"/>
    <w:semiHidden/>
    <w:pPr>
      <w:snapToGrid w:val="0"/>
      <w:jc w:val="left"/>
    </w:pPr>
    <w:rPr>
      <w:sz w:val="18"/>
      <w:szCs w:val="18"/>
    </w:rPr>
  </w:style>
  <w:style w:type="character" w:customStyle="1" w:styleId="FootnoteReference">
    <w:name w:val="FootnoteReference"/>
    <w:semiHidden/>
    <w:rPr>
      <w:vertAlign w:val="superscript"/>
    </w:rPr>
  </w:style>
  <w:style w:type="paragraph" w:customStyle="1" w:styleId="179">
    <w:name w:val="179"/>
    <w:basedOn w:val="a"/>
    <w:pPr>
      <w:ind w:firstLineChars="200" w:firstLine="420"/>
    </w:pPr>
    <w:rPr>
      <w:rFonts w:ascii="Calibri" w:hAnsi="Calibri"/>
      <w:szCs w:val="22"/>
    </w:rPr>
  </w:style>
  <w:style w:type="character" w:customStyle="1" w:styleId="UserStyle2">
    <w:name w:val="UserStyle_2"/>
  </w:style>
  <w:style w:type="paragraph" w:styleId="a6">
    <w:name w:val="Balloon Text"/>
    <w:basedOn w:val="a"/>
    <w:link w:val="a7"/>
    <w:uiPriority w:val="99"/>
    <w:semiHidden/>
    <w:unhideWhenUsed/>
    <w:rsid w:val="00091F49"/>
    <w:rPr>
      <w:sz w:val="18"/>
      <w:szCs w:val="18"/>
    </w:rPr>
  </w:style>
  <w:style w:type="character" w:customStyle="1" w:styleId="a7">
    <w:name w:val="批注框文本 字符"/>
    <w:basedOn w:val="a0"/>
    <w:link w:val="a6"/>
    <w:uiPriority w:val="99"/>
    <w:semiHidden/>
    <w:rsid w:val="00091F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16</cp:revision>
  <dcterms:created xsi:type="dcterms:W3CDTF">2021-12-01T02:34:00Z</dcterms:created>
  <dcterms:modified xsi:type="dcterms:W3CDTF">2021-12-01T08:19:00Z</dcterms:modified>
</cp:coreProperties>
</file>