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sz w:val="24"/>
          <w:szCs w:val="24"/>
        </w:rPr>
      </w:pPr>
      <w:r>
        <w:rPr>
          <w:rFonts w:hint="eastAsia" w:ascii="宋体" w:hAnsi="宋体"/>
          <w:sz w:val="24"/>
          <w:szCs w:val="24"/>
        </w:rPr>
        <w:t>证券代码：601515                                    证券简称：东风股份</w:t>
      </w:r>
    </w:p>
    <w:p>
      <w:pPr>
        <w:spacing w:line="360" w:lineRule="auto"/>
        <w:rPr>
          <w:rFonts w:ascii="宋体" w:hAnsi="宋体"/>
          <w:sz w:val="24"/>
          <w:szCs w:val="24"/>
        </w:rPr>
      </w:pPr>
      <w:r>
        <w:rPr>
          <w:rFonts w:hint="eastAsia" w:ascii="宋体" w:hAnsi="宋体"/>
          <w:sz w:val="24"/>
          <w:szCs w:val="24"/>
        </w:rPr>
        <w:t>债券代码：113030                                    债券简称：东风转债</w:t>
      </w:r>
    </w:p>
    <w:p>
      <w:pPr>
        <w:spacing w:line="360" w:lineRule="auto"/>
        <w:rPr>
          <w:rFonts w:ascii="宋体" w:hAnsi="宋体"/>
          <w:color w:val="585858"/>
          <w:sz w:val="24"/>
          <w:szCs w:val="24"/>
        </w:rPr>
      </w:pPr>
    </w:p>
    <w:p>
      <w:pPr>
        <w:spacing w:line="360" w:lineRule="auto"/>
        <w:jc w:val="center"/>
        <w:rPr>
          <w:rFonts w:ascii="黑体" w:hAnsi="仿宋_GB2312" w:eastAsia="黑体"/>
          <w:b/>
          <w:bCs/>
          <w:color w:val="FF0000"/>
          <w:sz w:val="36"/>
          <w:szCs w:val="36"/>
        </w:rPr>
      </w:pPr>
      <w:r>
        <w:rPr>
          <w:rFonts w:hint="eastAsia" w:ascii="黑体" w:hAnsi="仿宋_GB2312" w:eastAsia="黑体"/>
          <w:b/>
          <w:bCs/>
          <w:color w:val="FF0000"/>
          <w:sz w:val="36"/>
          <w:szCs w:val="36"/>
        </w:rPr>
        <w:t>汕头东风印刷股份有限公司</w:t>
      </w:r>
    </w:p>
    <w:p>
      <w:pPr>
        <w:spacing w:line="360" w:lineRule="auto"/>
        <w:jc w:val="center"/>
        <w:rPr>
          <w:rFonts w:ascii="黑体" w:hAnsi="仿宋_GB2312" w:eastAsia="黑体"/>
          <w:b/>
          <w:bCs/>
          <w:color w:val="FF0000"/>
          <w:sz w:val="36"/>
          <w:szCs w:val="36"/>
        </w:rPr>
      </w:pPr>
      <w:r>
        <w:rPr>
          <w:rFonts w:hint="eastAsia" w:ascii="黑体" w:hAnsi="仿宋_GB2312" w:eastAsia="黑体"/>
          <w:b/>
          <w:bCs/>
          <w:color w:val="FF0000"/>
          <w:sz w:val="36"/>
          <w:szCs w:val="36"/>
        </w:rPr>
        <w:t>投资者交流会议纪要</w:t>
      </w:r>
    </w:p>
    <w:p/>
    <w:p>
      <w:pPr>
        <w:spacing w:line="360" w:lineRule="auto"/>
        <w:rPr>
          <w:rFonts w:hint="eastAsia" w:ascii="宋体" w:hAnsi="宋体" w:cs="宋体"/>
          <w:sz w:val="24"/>
          <w:szCs w:val="24"/>
        </w:rPr>
      </w:pPr>
      <w:r>
        <w:rPr>
          <w:rFonts w:hint="eastAsia" w:ascii="宋体" w:hAnsi="宋体" w:cs="宋体"/>
          <w:b/>
          <w:bCs/>
          <w:sz w:val="24"/>
          <w:szCs w:val="24"/>
        </w:rPr>
        <w:t>时间：</w:t>
      </w:r>
      <w:r>
        <w:rPr>
          <w:rFonts w:hint="eastAsia" w:ascii="宋体" w:hAnsi="宋体" w:cs="宋体"/>
          <w:sz w:val="24"/>
          <w:szCs w:val="24"/>
        </w:rPr>
        <w:t>2021年12月7日16:00-17:00；</w:t>
      </w:r>
    </w:p>
    <w:p>
      <w:pPr>
        <w:spacing w:line="360" w:lineRule="auto"/>
        <w:rPr>
          <w:rFonts w:hint="eastAsia" w:ascii="宋体" w:hAnsi="宋体" w:cs="宋体"/>
          <w:sz w:val="24"/>
          <w:szCs w:val="24"/>
        </w:rPr>
      </w:pPr>
      <w:r>
        <w:rPr>
          <w:rFonts w:hint="eastAsia" w:ascii="宋体" w:hAnsi="宋体" w:cs="宋体"/>
          <w:sz w:val="24"/>
          <w:szCs w:val="24"/>
          <w:lang w:val="en-US" w:eastAsia="zh-CN"/>
        </w:rPr>
        <w:t xml:space="preserve">      </w:t>
      </w:r>
      <w:r>
        <w:rPr>
          <w:rFonts w:hint="eastAsia" w:ascii="宋体" w:hAnsi="宋体" w:cs="宋体"/>
          <w:sz w:val="24"/>
          <w:szCs w:val="24"/>
        </w:rPr>
        <w:t>2021年12月8日10:00-11:00；</w:t>
      </w:r>
    </w:p>
    <w:p>
      <w:pPr>
        <w:spacing w:line="360" w:lineRule="auto"/>
        <w:rPr>
          <w:rFonts w:hint="eastAsia" w:ascii="宋体" w:hAnsi="宋体" w:cs="宋体"/>
          <w:sz w:val="24"/>
          <w:szCs w:val="24"/>
        </w:rPr>
      </w:pPr>
      <w:r>
        <w:rPr>
          <w:rFonts w:hint="eastAsia" w:ascii="宋体" w:hAnsi="宋体" w:cs="宋体"/>
          <w:sz w:val="24"/>
          <w:szCs w:val="24"/>
          <w:lang w:val="en-US" w:eastAsia="zh-CN"/>
        </w:rPr>
        <w:t xml:space="preserve">      </w:t>
      </w:r>
      <w:r>
        <w:rPr>
          <w:rFonts w:hint="eastAsia" w:ascii="宋体" w:hAnsi="宋体" w:cs="宋体"/>
          <w:sz w:val="24"/>
          <w:szCs w:val="24"/>
        </w:rPr>
        <w:t>2021年12月8日1</w:t>
      </w:r>
      <w:r>
        <w:rPr>
          <w:rFonts w:hint="eastAsia" w:ascii="宋体" w:hAnsi="宋体" w:cs="宋体"/>
          <w:sz w:val="24"/>
          <w:szCs w:val="24"/>
          <w:lang w:val="en-US" w:eastAsia="zh-CN"/>
        </w:rPr>
        <w:t>4</w:t>
      </w:r>
      <w:r>
        <w:rPr>
          <w:rFonts w:hint="eastAsia" w:ascii="宋体" w:hAnsi="宋体" w:cs="宋体"/>
          <w:sz w:val="24"/>
          <w:szCs w:val="24"/>
        </w:rPr>
        <w:t>:00-1</w:t>
      </w:r>
      <w:r>
        <w:rPr>
          <w:rFonts w:hint="eastAsia" w:ascii="宋体" w:hAnsi="宋体" w:cs="宋体"/>
          <w:sz w:val="24"/>
          <w:szCs w:val="24"/>
          <w:lang w:val="en-US" w:eastAsia="zh-CN"/>
        </w:rPr>
        <w:t>5</w:t>
      </w:r>
      <w:r>
        <w:rPr>
          <w:rFonts w:hint="eastAsia" w:ascii="宋体" w:hAnsi="宋体" w:cs="宋体"/>
          <w:sz w:val="24"/>
          <w:szCs w:val="24"/>
        </w:rPr>
        <w:t>:00；</w:t>
      </w:r>
    </w:p>
    <w:p>
      <w:pPr>
        <w:spacing w:line="360" w:lineRule="auto"/>
        <w:rPr>
          <w:rFonts w:ascii="宋体" w:hAnsi="宋体" w:cs="宋体"/>
          <w:sz w:val="24"/>
          <w:szCs w:val="24"/>
        </w:rPr>
      </w:pPr>
      <w:r>
        <w:rPr>
          <w:rFonts w:hint="eastAsia" w:ascii="宋体" w:hAnsi="宋体" w:cs="宋体"/>
          <w:b/>
          <w:bCs/>
          <w:sz w:val="24"/>
          <w:szCs w:val="24"/>
        </w:rPr>
        <w:t>形式：</w:t>
      </w:r>
      <w:r>
        <w:rPr>
          <w:rFonts w:hint="eastAsia" w:ascii="宋体" w:hAnsi="宋体" w:cs="宋体"/>
          <w:sz w:val="24"/>
          <w:szCs w:val="24"/>
          <w:lang w:val="en-US" w:eastAsia="zh-CN"/>
        </w:rPr>
        <w:t>现场</w:t>
      </w:r>
      <w:r>
        <w:rPr>
          <w:rFonts w:hint="eastAsia" w:ascii="宋体" w:hAnsi="宋体" w:cs="宋体"/>
          <w:sz w:val="24"/>
          <w:szCs w:val="24"/>
        </w:rPr>
        <w:t>会议；</w:t>
      </w:r>
    </w:p>
    <w:p>
      <w:pPr>
        <w:spacing w:line="360" w:lineRule="auto"/>
        <w:rPr>
          <w:rFonts w:ascii="宋体" w:hAnsi="宋体" w:cs="宋体"/>
          <w:sz w:val="24"/>
          <w:szCs w:val="24"/>
        </w:rPr>
      </w:pPr>
      <w:r>
        <w:rPr>
          <w:rFonts w:hint="eastAsia" w:ascii="宋体" w:hAnsi="宋体" w:cs="宋体"/>
          <w:b/>
          <w:bCs/>
          <w:sz w:val="24"/>
          <w:szCs w:val="24"/>
        </w:rPr>
        <w:t>公司参与人员：</w:t>
      </w:r>
      <w:r>
        <w:rPr>
          <w:rFonts w:hint="eastAsia" w:ascii="宋体" w:hAnsi="宋体" w:cs="宋体"/>
          <w:sz w:val="24"/>
          <w:szCs w:val="24"/>
        </w:rPr>
        <w:t>汕头东风印刷股份有限公司集团副总裁、董事会秘书秋天；</w:t>
      </w:r>
    </w:p>
    <w:p>
      <w:pPr>
        <w:spacing w:line="360" w:lineRule="auto"/>
        <w:rPr>
          <w:rFonts w:ascii="宋体" w:hAnsi="宋体" w:cs="宋体"/>
          <w:sz w:val="24"/>
          <w:szCs w:val="24"/>
        </w:rPr>
      </w:pPr>
      <w:r>
        <w:rPr>
          <w:rFonts w:hint="eastAsia" w:ascii="宋体" w:hAnsi="宋体" w:cs="宋体"/>
          <w:sz w:val="24"/>
          <w:szCs w:val="24"/>
        </w:rPr>
        <w:t xml:space="preserve"> </w:t>
      </w:r>
      <w:r>
        <w:rPr>
          <w:rFonts w:ascii="宋体" w:hAnsi="宋体" w:cs="宋体"/>
          <w:sz w:val="24"/>
          <w:szCs w:val="24"/>
        </w:rPr>
        <w:t xml:space="preserve">             </w:t>
      </w:r>
      <w:r>
        <w:rPr>
          <w:rFonts w:hint="eastAsia" w:ascii="宋体" w:hAnsi="宋体" w:cs="宋体"/>
          <w:sz w:val="24"/>
          <w:szCs w:val="24"/>
        </w:rPr>
        <w:t>汕头东风印刷股份有限公司证券事务代表黄隆宇；</w:t>
      </w:r>
    </w:p>
    <w:p>
      <w:pPr>
        <w:spacing w:line="360" w:lineRule="auto"/>
        <w:rPr>
          <w:rFonts w:hint="default" w:ascii="宋体" w:hAnsi="宋体" w:eastAsia="宋体" w:cs="宋体"/>
          <w:b/>
          <w:bCs/>
          <w:sz w:val="24"/>
          <w:szCs w:val="24"/>
          <w:lang w:val="en-US" w:eastAsia="zh-CN"/>
        </w:rPr>
      </w:pPr>
      <w:r>
        <w:rPr>
          <w:rFonts w:hint="eastAsia" w:ascii="宋体" w:hAnsi="宋体" w:cs="宋体"/>
          <w:b/>
          <w:bCs/>
          <w:sz w:val="24"/>
          <w:szCs w:val="24"/>
        </w:rPr>
        <w:t>投资者参与机构：</w:t>
      </w:r>
      <w:bookmarkStart w:id="0" w:name="OLE_LINK2"/>
      <w:bookmarkStart w:id="1" w:name="OLE_LINK1"/>
      <w:r>
        <w:rPr>
          <w:rFonts w:hint="eastAsia" w:ascii="宋体" w:hAnsi="宋体" w:cs="宋体"/>
          <w:b w:val="0"/>
          <w:bCs w:val="0"/>
          <w:sz w:val="24"/>
          <w:szCs w:val="24"/>
          <w:lang w:val="en-US" w:eastAsia="zh-CN"/>
        </w:rPr>
        <w:t>天风证券蒋梦晗；</w:t>
      </w:r>
    </w:p>
    <w:p>
      <w:pPr>
        <w:spacing w:line="360" w:lineRule="auto"/>
        <w:ind w:firstLine="1920" w:firstLineChars="800"/>
        <w:rPr>
          <w:rFonts w:hint="eastAsia" w:ascii="宋体" w:hAnsi="宋体" w:cs="宋体"/>
          <w:bCs/>
          <w:sz w:val="24"/>
          <w:szCs w:val="24"/>
        </w:rPr>
      </w:pPr>
      <w:r>
        <w:rPr>
          <w:rFonts w:hint="eastAsia" w:ascii="宋体" w:hAnsi="宋体" w:cs="宋体"/>
          <w:bCs/>
          <w:sz w:val="24"/>
          <w:szCs w:val="24"/>
        </w:rPr>
        <w:t>摩根士丹利华鑫徐达；</w:t>
      </w:r>
    </w:p>
    <w:bookmarkEnd w:id="0"/>
    <w:bookmarkEnd w:id="1"/>
    <w:p>
      <w:pPr>
        <w:spacing w:line="360" w:lineRule="auto"/>
        <w:ind w:firstLine="1920" w:firstLineChars="800"/>
        <w:rPr>
          <w:rFonts w:hint="eastAsia" w:ascii="宋体" w:hAnsi="宋体" w:cs="宋体"/>
          <w:bCs/>
          <w:sz w:val="24"/>
          <w:szCs w:val="24"/>
        </w:rPr>
      </w:pPr>
      <w:r>
        <w:rPr>
          <w:rFonts w:hint="eastAsia" w:ascii="宋体" w:hAnsi="宋体" w:cs="宋体"/>
          <w:bCs/>
          <w:sz w:val="24"/>
          <w:szCs w:val="24"/>
        </w:rPr>
        <w:t>中天国富证券（深圳）张紫凤；</w:t>
      </w:r>
    </w:p>
    <w:p>
      <w:pPr>
        <w:spacing w:line="360" w:lineRule="auto"/>
        <w:ind w:firstLine="1920" w:firstLineChars="800"/>
        <w:rPr>
          <w:rFonts w:hint="eastAsia" w:ascii="宋体" w:hAnsi="宋体" w:cs="宋体"/>
          <w:bCs/>
          <w:sz w:val="24"/>
          <w:szCs w:val="24"/>
        </w:rPr>
      </w:pPr>
      <w:r>
        <w:rPr>
          <w:rFonts w:hint="eastAsia" w:ascii="宋体" w:hAnsi="宋体" w:cs="宋体"/>
          <w:bCs/>
          <w:sz w:val="24"/>
          <w:szCs w:val="24"/>
        </w:rPr>
        <w:t>汇蠡（有限合伙）花颖喆；</w:t>
      </w:r>
    </w:p>
    <w:p>
      <w:pPr>
        <w:spacing w:line="360" w:lineRule="auto"/>
        <w:ind w:firstLine="1920" w:firstLineChars="800"/>
        <w:rPr>
          <w:rFonts w:hint="eastAsia" w:ascii="宋体" w:hAnsi="宋体" w:cs="宋体"/>
          <w:bCs/>
          <w:sz w:val="24"/>
          <w:szCs w:val="24"/>
        </w:rPr>
      </w:pPr>
      <w:r>
        <w:rPr>
          <w:rFonts w:hint="eastAsia" w:ascii="宋体" w:hAnsi="宋体" w:cs="宋体"/>
          <w:bCs/>
          <w:sz w:val="24"/>
          <w:szCs w:val="24"/>
        </w:rPr>
        <w:t>广发证券刘夕黎；</w:t>
      </w:r>
    </w:p>
    <w:p>
      <w:pPr>
        <w:spacing w:line="360" w:lineRule="auto"/>
        <w:ind w:firstLine="1920" w:firstLineChars="800"/>
        <w:rPr>
          <w:rFonts w:hint="eastAsia" w:ascii="宋体" w:hAnsi="宋体" w:cs="宋体"/>
          <w:bCs/>
          <w:sz w:val="24"/>
          <w:szCs w:val="24"/>
        </w:rPr>
      </w:pPr>
      <w:r>
        <w:rPr>
          <w:rFonts w:hint="eastAsia" w:ascii="宋体" w:hAnsi="宋体" w:cs="宋体"/>
          <w:bCs/>
          <w:sz w:val="24"/>
          <w:szCs w:val="24"/>
        </w:rPr>
        <w:t>上海逐流合伙企业黄帅；</w:t>
      </w:r>
    </w:p>
    <w:p>
      <w:pPr>
        <w:spacing w:line="360" w:lineRule="auto"/>
        <w:ind w:firstLine="1920" w:firstLineChars="800"/>
        <w:rPr>
          <w:rFonts w:hint="eastAsia" w:ascii="宋体" w:hAnsi="宋体" w:cs="宋体"/>
          <w:bCs/>
          <w:sz w:val="24"/>
          <w:szCs w:val="24"/>
        </w:rPr>
      </w:pPr>
      <w:r>
        <w:rPr>
          <w:rFonts w:hint="eastAsia" w:ascii="宋体" w:hAnsi="宋体" w:cs="宋体"/>
          <w:bCs/>
          <w:sz w:val="24"/>
          <w:szCs w:val="24"/>
        </w:rPr>
        <w:t>英大许聪悦；</w:t>
      </w:r>
    </w:p>
    <w:p>
      <w:pPr>
        <w:spacing w:line="360" w:lineRule="auto"/>
        <w:ind w:firstLine="1920" w:firstLineChars="800"/>
        <w:rPr>
          <w:rFonts w:hint="eastAsia" w:ascii="宋体" w:hAnsi="宋体" w:cs="宋体"/>
          <w:bCs/>
          <w:sz w:val="24"/>
          <w:szCs w:val="24"/>
        </w:rPr>
      </w:pPr>
      <w:r>
        <w:rPr>
          <w:rFonts w:hint="eastAsia" w:ascii="宋体" w:hAnsi="宋体" w:cs="宋体"/>
          <w:bCs/>
          <w:sz w:val="24"/>
          <w:szCs w:val="24"/>
        </w:rPr>
        <w:t>上海聚鸣王宇俊；</w:t>
      </w:r>
    </w:p>
    <w:p>
      <w:pPr>
        <w:spacing w:line="360" w:lineRule="auto"/>
        <w:ind w:firstLine="1920" w:firstLineChars="800"/>
        <w:rPr>
          <w:rFonts w:hint="eastAsia" w:ascii="宋体" w:hAnsi="宋体" w:cs="宋体"/>
          <w:bCs/>
          <w:sz w:val="24"/>
          <w:szCs w:val="24"/>
        </w:rPr>
      </w:pPr>
      <w:r>
        <w:rPr>
          <w:rFonts w:hint="eastAsia" w:ascii="宋体" w:hAnsi="宋体" w:cs="宋体"/>
          <w:bCs/>
          <w:sz w:val="24"/>
          <w:szCs w:val="24"/>
        </w:rPr>
        <w:t>建信养老金管理刘洋；</w:t>
      </w:r>
    </w:p>
    <w:p>
      <w:pPr>
        <w:spacing w:line="360" w:lineRule="auto"/>
        <w:ind w:firstLine="1920" w:firstLineChars="800"/>
        <w:rPr>
          <w:rFonts w:hint="eastAsia" w:ascii="宋体" w:hAnsi="宋体" w:cs="宋体"/>
          <w:bCs/>
          <w:sz w:val="24"/>
          <w:szCs w:val="24"/>
        </w:rPr>
      </w:pPr>
      <w:r>
        <w:rPr>
          <w:rFonts w:hint="eastAsia" w:ascii="宋体" w:hAnsi="宋体" w:cs="宋体"/>
          <w:bCs/>
          <w:sz w:val="24"/>
          <w:szCs w:val="24"/>
        </w:rPr>
        <w:t>万联证券部陈晓彬；</w:t>
      </w:r>
    </w:p>
    <w:p>
      <w:pPr>
        <w:spacing w:line="360" w:lineRule="auto"/>
        <w:ind w:firstLine="1920" w:firstLineChars="800"/>
        <w:rPr>
          <w:rFonts w:hint="eastAsia" w:ascii="宋体" w:hAnsi="宋体" w:cs="宋体"/>
          <w:bCs/>
          <w:sz w:val="24"/>
          <w:szCs w:val="24"/>
        </w:rPr>
      </w:pPr>
      <w:r>
        <w:rPr>
          <w:rFonts w:hint="eastAsia" w:ascii="宋体" w:hAnsi="宋体" w:cs="宋体"/>
          <w:bCs/>
          <w:sz w:val="24"/>
          <w:szCs w:val="24"/>
        </w:rPr>
        <w:t>博时李泽南；</w:t>
      </w:r>
    </w:p>
    <w:p>
      <w:pPr>
        <w:spacing w:line="360" w:lineRule="auto"/>
        <w:ind w:firstLine="1920" w:firstLineChars="800"/>
        <w:rPr>
          <w:rFonts w:hint="eastAsia" w:ascii="宋体" w:hAnsi="宋体" w:cs="宋体"/>
          <w:bCs/>
          <w:sz w:val="24"/>
          <w:szCs w:val="24"/>
        </w:rPr>
      </w:pPr>
      <w:r>
        <w:rPr>
          <w:rFonts w:hint="eastAsia" w:ascii="宋体" w:hAnsi="宋体" w:cs="宋体"/>
          <w:bCs/>
          <w:sz w:val="24"/>
          <w:szCs w:val="24"/>
        </w:rPr>
        <w:t>中欧陈欣宜；</w:t>
      </w:r>
    </w:p>
    <w:p>
      <w:pPr>
        <w:spacing w:line="360" w:lineRule="auto"/>
        <w:ind w:firstLine="1920" w:firstLineChars="800"/>
        <w:rPr>
          <w:rFonts w:ascii="宋体" w:hAnsi="宋体" w:cs="宋体"/>
          <w:bCs/>
          <w:sz w:val="24"/>
          <w:szCs w:val="24"/>
        </w:rPr>
      </w:pPr>
      <w:r>
        <w:rPr>
          <w:rFonts w:hint="eastAsia" w:ascii="宋体" w:hAnsi="宋体" w:cs="宋体"/>
          <w:bCs/>
          <w:sz w:val="24"/>
          <w:szCs w:val="24"/>
        </w:rPr>
        <w:t>宝盈江正清；</w:t>
      </w:r>
    </w:p>
    <w:p>
      <w:pPr>
        <w:spacing w:line="360" w:lineRule="auto"/>
        <w:rPr>
          <w:rFonts w:ascii="宋体" w:hAnsi="宋体" w:cs="宋体"/>
          <w:bCs/>
          <w:sz w:val="24"/>
          <w:szCs w:val="24"/>
        </w:rPr>
      </w:pPr>
      <w:r>
        <w:rPr>
          <w:rFonts w:hint="eastAsia" w:ascii="宋体" w:hAnsi="宋体" w:cs="宋体"/>
          <w:sz w:val="24"/>
          <w:szCs w:val="24"/>
          <w:lang w:val="en-US" w:eastAsia="zh-CN"/>
        </w:rPr>
        <w:t xml:space="preserve">                </w:t>
      </w:r>
      <w:r>
        <w:rPr>
          <w:rFonts w:hint="eastAsia" w:ascii="宋体" w:hAnsi="宋体" w:cs="宋体"/>
          <w:bCs/>
          <w:sz w:val="24"/>
          <w:szCs w:val="24"/>
        </w:rPr>
        <w:t>万方资产田文俊；</w:t>
      </w:r>
    </w:p>
    <w:p>
      <w:pPr>
        <w:spacing w:line="360" w:lineRule="auto"/>
        <w:ind w:firstLine="1920" w:firstLineChars="800"/>
        <w:rPr>
          <w:rFonts w:ascii="宋体" w:hAnsi="宋体" w:cs="宋体"/>
          <w:bCs/>
          <w:sz w:val="24"/>
          <w:szCs w:val="24"/>
        </w:rPr>
      </w:pPr>
      <w:r>
        <w:rPr>
          <w:rFonts w:hint="eastAsia" w:ascii="宋体" w:hAnsi="宋体" w:cs="宋体"/>
          <w:bCs/>
          <w:sz w:val="24"/>
          <w:szCs w:val="24"/>
        </w:rPr>
        <w:t>明亚基金王占海；</w:t>
      </w:r>
    </w:p>
    <w:p>
      <w:pPr>
        <w:spacing w:line="360" w:lineRule="auto"/>
        <w:ind w:firstLine="1920" w:firstLineChars="800"/>
        <w:rPr>
          <w:rFonts w:ascii="宋体" w:hAnsi="宋体" w:cs="宋体"/>
          <w:bCs/>
          <w:sz w:val="24"/>
          <w:szCs w:val="24"/>
        </w:rPr>
      </w:pPr>
      <w:r>
        <w:rPr>
          <w:rFonts w:hint="eastAsia" w:ascii="宋体" w:hAnsi="宋体" w:cs="宋体"/>
          <w:bCs/>
          <w:sz w:val="24"/>
          <w:szCs w:val="24"/>
        </w:rPr>
        <w:t>广发证券曹倩雯；</w:t>
      </w:r>
    </w:p>
    <w:p>
      <w:pPr>
        <w:spacing w:line="360" w:lineRule="auto"/>
        <w:ind w:firstLine="1920" w:firstLineChars="800"/>
        <w:rPr>
          <w:rFonts w:hint="default" w:ascii="宋体" w:hAnsi="宋体" w:eastAsia="宋体" w:cs="宋体"/>
          <w:bCs/>
          <w:sz w:val="24"/>
          <w:szCs w:val="24"/>
          <w:lang w:val="en-US" w:eastAsia="zh-CN"/>
        </w:rPr>
      </w:pPr>
      <w:r>
        <w:rPr>
          <w:rFonts w:hint="eastAsia" w:ascii="宋体" w:hAnsi="宋体" w:cs="宋体"/>
          <w:bCs/>
          <w:sz w:val="24"/>
          <w:szCs w:val="24"/>
        </w:rPr>
        <w:t>德邦证券李珏晗；</w:t>
      </w:r>
    </w:p>
    <w:p>
      <w:pPr>
        <w:spacing w:line="360" w:lineRule="auto"/>
        <w:ind w:firstLine="0" w:firstLineChars="0"/>
        <w:rPr>
          <w:rFonts w:hint="default" w:ascii="宋体" w:hAnsi="宋体" w:eastAsia="宋体" w:cs="宋体"/>
          <w:sz w:val="24"/>
          <w:szCs w:val="24"/>
          <w:lang w:val="en-US" w:eastAsia="zh-CN"/>
        </w:rPr>
      </w:pPr>
      <w:r>
        <w:rPr>
          <w:rFonts w:hint="eastAsia" w:ascii="宋体" w:hAnsi="宋体" w:cs="宋体"/>
          <w:bCs/>
          <w:sz w:val="24"/>
          <w:szCs w:val="24"/>
          <w:lang w:val="en-US" w:eastAsia="zh-CN"/>
        </w:rPr>
        <w:t xml:space="preserve">                </w:t>
      </w:r>
      <w:r>
        <w:rPr>
          <w:rFonts w:hint="eastAsia" w:ascii="宋体" w:hAnsi="宋体" w:cs="宋体"/>
          <w:bCs/>
          <w:sz w:val="24"/>
          <w:szCs w:val="24"/>
        </w:rPr>
        <w:t>招商轻工毕先磊</w:t>
      </w:r>
      <w:r>
        <w:rPr>
          <w:rFonts w:hint="eastAsia" w:ascii="宋体" w:hAnsi="宋体" w:cs="宋体"/>
          <w:bCs/>
          <w:sz w:val="24"/>
          <w:szCs w:val="24"/>
          <w:lang w:eastAsia="zh-CN"/>
        </w:rPr>
        <w:t>、</w:t>
      </w:r>
      <w:r>
        <w:rPr>
          <w:rFonts w:hint="eastAsia" w:ascii="宋体" w:hAnsi="宋体" w:cs="宋体"/>
          <w:bCs/>
          <w:sz w:val="24"/>
          <w:szCs w:val="24"/>
          <w:lang w:val="en-US" w:eastAsia="zh-CN"/>
        </w:rPr>
        <w:t>王鹏；</w:t>
      </w:r>
    </w:p>
    <w:p>
      <w:pPr>
        <w:spacing w:line="360" w:lineRule="auto"/>
        <w:ind w:firstLine="0"/>
        <w:rPr>
          <w:rFonts w:hint="eastAsia" w:ascii="宋体" w:hAnsi="宋体" w:cs="宋体"/>
          <w:sz w:val="24"/>
          <w:szCs w:val="24"/>
        </w:rPr>
      </w:pPr>
    </w:p>
    <w:p>
      <w:pPr>
        <w:spacing w:line="360" w:lineRule="auto"/>
        <w:ind w:firstLine="480"/>
        <w:rPr>
          <w:rFonts w:ascii="宋体" w:hAnsi="宋体" w:cs="宋体"/>
          <w:sz w:val="24"/>
          <w:szCs w:val="24"/>
        </w:rPr>
      </w:pPr>
      <w:r>
        <w:rPr>
          <w:rFonts w:hint="eastAsia" w:ascii="宋体" w:hAnsi="宋体" w:cs="宋体"/>
          <w:sz w:val="24"/>
          <w:szCs w:val="24"/>
        </w:rPr>
        <w:t>本次投资者交流会中，投资者重点关注的问题及公司的回复要点如下：</w:t>
      </w:r>
    </w:p>
    <w:p>
      <w:pPr>
        <w:spacing w:line="360" w:lineRule="auto"/>
        <w:ind w:firstLine="480"/>
        <w:rPr>
          <w:rFonts w:ascii="宋体" w:hAnsi="宋体" w:cs="宋体"/>
          <w:sz w:val="24"/>
          <w:szCs w:val="24"/>
        </w:rPr>
      </w:pPr>
      <w:r>
        <w:rPr>
          <w:rFonts w:hint="eastAsia" w:ascii="宋体" w:hAnsi="宋体" w:cs="宋体"/>
          <w:b/>
          <w:bCs/>
          <w:sz w:val="24"/>
          <w:szCs w:val="24"/>
        </w:rPr>
        <w:t>问题1：国家近期出台的电子烟新政策对公司新型烟草业务的影响；</w:t>
      </w:r>
    </w:p>
    <w:p>
      <w:pPr>
        <w:spacing w:line="360" w:lineRule="auto"/>
        <w:ind w:firstLine="480"/>
        <w:rPr>
          <w:rFonts w:hint="eastAsia" w:ascii="宋体" w:hAnsi="宋体" w:cs="宋体"/>
          <w:sz w:val="24"/>
          <w:szCs w:val="24"/>
        </w:rPr>
      </w:pPr>
      <w:r>
        <w:rPr>
          <w:rFonts w:hint="eastAsia" w:ascii="宋体" w:hAnsi="宋体" w:cs="宋体"/>
          <w:sz w:val="24"/>
          <w:szCs w:val="24"/>
        </w:rPr>
        <w:t>在新型烟草业务方面，公司持续关注国家监管政策并已在前期做好战略布局。此前公司已投资设立了上海绿馨电子科技有限公司作为在新型烟草领域的投资平台，重点布局</w:t>
      </w:r>
      <w:r>
        <w:rPr>
          <w:rFonts w:hint="eastAsia" w:ascii="宋体" w:hAnsi="宋体" w:cs="宋体"/>
          <w:sz w:val="24"/>
          <w:szCs w:val="24"/>
          <w:lang w:val="en-US" w:eastAsia="zh-CN"/>
        </w:rPr>
        <w:t>了云南喜科、</w:t>
      </w:r>
      <w:r>
        <w:rPr>
          <w:rFonts w:hint="eastAsia" w:ascii="宋体" w:hAnsi="宋体" w:eastAsia="宋体" w:cs="宋体"/>
          <w:i w:val="0"/>
          <w:iCs w:val="0"/>
          <w:caps w:val="0"/>
          <w:color w:val="auto"/>
          <w:spacing w:val="0"/>
          <w:sz w:val="24"/>
          <w:szCs w:val="24"/>
          <w:shd w:val="clear" w:fill="auto"/>
        </w:rPr>
        <w:t>美众联</w:t>
      </w:r>
      <w:r>
        <w:rPr>
          <w:rFonts w:hint="eastAsia" w:ascii="宋体" w:hAnsi="宋体" w:eastAsia="宋体" w:cs="宋体"/>
          <w:i w:val="0"/>
          <w:iCs w:val="0"/>
          <w:caps w:val="0"/>
          <w:color w:val="auto"/>
          <w:spacing w:val="0"/>
          <w:sz w:val="24"/>
          <w:szCs w:val="24"/>
          <w:shd w:val="clear" w:fill="auto"/>
          <w:lang w:eastAsia="zh-CN"/>
        </w:rPr>
        <w:t>、</w:t>
      </w:r>
      <w:r>
        <w:rPr>
          <w:rFonts w:hint="eastAsia" w:ascii="宋体" w:hAnsi="宋体" w:eastAsia="宋体" w:cs="宋体"/>
          <w:i w:val="0"/>
          <w:iCs w:val="0"/>
          <w:caps w:val="0"/>
          <w:color w:val="auto"/>
          <w:spacing w:val="0"/>
          <w:sz w:val="24"/>
          <w:szCs w:val="24"/>
          <w:shd w:val="clear" w:fill="auto"/>
        </w:rPr>
        <w:t>佳品健怡</w:t>
      </w:r>
      <w:r>
        <w:rPr>
          <w:rFonts w:hint="eastAsia" w:ascii="宋体" w:hAnsi="宋体" w:eastAsia="宋体" w:cs="宋体"/>
          <w:i w:val="0"/>
          <w:iCs w:val="0"/>
          <w:caps w:val="0"/>
          <w:color w:val="auto"/>
          <w:spacing w:val="0"/>
          <w:sz w:val="24"/>
          <w:szCs w:val="24"/>
          <w:shd w:val="clear" w:fill="auto"/>
          <w:lang w:val="en-US" w:eastAsia="zh-CN"/>
        </w:rPr>
        <w:t>等</w:t>
      </w:r>
      <w:r>
        <w:rPr>
          <w:rFonts w:hint="eastAsia" w:ascii="宋体" w:hAnsi="宋体" w:cs="宋体"/>
          <w:sz w:val="24"/>
          <w:szCs w:val="24"/>
        </w:rPr>
        <w:t>。同时，公司也成立了新型烟草事业部，不断研发、布局含HNB在内的新型烟草</w:t>
      </w:r>
      <w:r>
        <w:rPr>
          <w:rFonts w:hint="eastAsia" w:ascii="宋体" w:hAnsi="宋体" w:cs="宋体"/>
          <w:sz w:val="24"/>
          <w:szCs w:val="24"/>
          <w:lang w:eastAsia="zh-CN"/>
        </w:rPr>
        <w:t>，</w:t>
      </w:r>
      <w:r>
        <w:rPr>
          <w:rFonts w:hint="eastAsia" w:ascii="宋体" w:hAnsi="宋体" w:eastAsia="宋体" w:cs="宋体"/>
          <w:i w:val="0"/>
          <w:iCs w:val="0"/>
          <w:caps w:val="0"/>
          <w:color w:val="auto"/>
          <w:spacing w:val="0"/>
          <w:sz w:val="24"/>
          <w:szCs w:val="24"/>
          <w:shd w:val="clear" w:fill="auto"/>
        </w:rPr>
        <w:t>从</w:t>
      </w:r>
      <w:r>
        <w:rPr>
          <w:rFonts w:hint="eastAsia" w:ascii="宋体" w:hAnsi="宋体" w:cs="宋体"/>
          <w:i w:val="0"/>
          <w:iCs w:val="0"/>
          <w:caps w:val="0"/>
          <w:spacing w:val="0"/>
          <w:sz w:val="24"/>
          <w:szCs w:val="24"/>
          <w:shd w:val="clear"/>
          <w:lang w:val="en-US" w:eastAsia="zh-CN"/>
        </w:rPr>
        <w:t>基材、调香</w:t>
      </w:r>
      <w:r>
        <w:rPr>
          <w:rFonts w:hint="eastAsia" w:ascii="宋体" w:hAnsi="宋体" w:eastAsia="宋体" w:cs="宋体"/>
          <w:i w:val="0"/>
          <w:iCs w:val="0"/>
          <w:caps w:val="0"/>
          <w:color w:val="auto"/>
          <w:spacing w:val="0"/>
          <w:sz w:val="24"/>
          <w:szCs w:val="24"/>
          <w:shd w:val="clear" w:fill="auto"/>
        </w:rPr>
        <w:t>研发到生产、销售</w:t>
      </w:r>
      <w:r>
        <w:rPr>
          <w:rFonts w:hint="eastAsia" w:ascii="宋体" w:hAnsi="宋体" w:cs="宋体"/>
          <w:i w:val="0"/>
          <w:iCs w:val="0"/>
          <w:caps w:val="0"/>
          <w:spacing w:val="0"/>
          <w:sz w:val="24"/>
          <w:szCs w:val="24"/>
          <w:shd w:val="clear"/>
          <w:lang w:val="en-US" w:eastAsia="zh-CN"/>
        </w:rPr>
        <w:t>等</w:t>
      </w:r>
      <w:r>
        <w:rPr>
          <w:rFonts w:hint="eastAsia" w:ascii="宋体" w:hAnsi="宋体" w:eastAsia="宋体" w:cs="宋体"/>
          <w:i w:val="0"/>
          <w:iCs w:val="0"/>
          <w:caps w:val="0"/>
          <w:color w:val="auto"/>
          <w:spacing w:val="0"/>
          <w:sz w:val="24"/>
          <w:szCs w:val="24"/>
          <w:shd w:val="clear" w:fill="auto"/>
        </w:rPr>
        <w:t>进行全产业链布局</w:t>
      </w:r>
      <w:r>
        <w:rPr>
          <w:rFonts w:hint="eastAsia" w:ascii="宋体" w:hAnsi="宋体" w:cs="宋体"/>
          <w:sz w:val="24"/>
          <w:szCs w:val="24"/>
        </w:rPr>
        <w:t>。</w:t>
      </w:r>
      <w:r>
        <w:rPr>
          <w:rFonts w:hint="eastAsia" w:ascii="宋体" w:hAnsi="宋体" w:cs="宋体"/>
          <w:sz w:val="24"/>
          <w:szCs w:val="24"/>
          <w:lang w:val="en-US" w:eastAsia="zh-CN"/>
        </w:rPr>
        <w:t>最近</w:t>
      </w:r>
      <w:r>
        <w:rPr>
          <w:rFonts w:hint="eastAsia" w:ascii="宋体" w:hAnsi="宋体" w:cs="宋体"/>
          <w:sz w:val="24"/>
          <w:szCs w:val="24"/>
        </w:rPr>
        <w:t>，为进一步完善产业布局，公司已投资新型烟草雾化品牌“Soyee小叶”（深圳市智叶生物科技有限公司），Soyee小叶主营产品包含加热不燃烧式本草电子烟和雾化式电子烟，自研电子烟</w:t>
      </w:r>
      <w:r>
        <w:rPr>
          <w:rFonts w:hint="eastAsia" w:ascii="宋体" w:hAnsi="宋体" w:cs="宋体"/>
          <w:sz w:val="24"/>
          <w:szCs w:val="24"/>
          <w:lang w:val="en-US" w:eastAsia="zh-CN"/>
        </w:rPr>
        <w:t>PLA（即聚乳酸，是以玉米、木薯等植物淀粉为原材料制成，具有生物降解性的绿色环保高分子材料，被广泛应用于生物制药领域，是当前最新锐的电子雾化烟安全过滤材料）</w:t>
      </w:r>
      <w:r>
        <w:rPr>
          <w:rFonts w:hint="eastAsia" w:ascii="宋体" w:hAnsi="宋体" w:cs="宋体"/>
          <w:sz w:val="24"/>
          <w:szCs w:val="24"/>
        </w:rPr>
        <w:t>过滤嘴是Soyee核心技术之一。</w:t>
      </w:r>
    </w:p>
    <w:p>
      <w:pPr>
        <w:spacing w:line="360" w:lineRule="auto"/>
        <w:jc w:val="center"/>
        <w:rPr>
          <w:rFonts w:hint="default" w:ascii="宋体" w:hAnsi="宋体" w:cs="宋体"/>
          <w:sz w:val="24"/>
          <w:szCs w:val="24"/>
          <w:lang w:val="en-US" w:eastAsia="zh-CN"/>
        </w:rPr>
      </w:pPr>
      <w:r>
        <w:rPr>
          <w:rFonts w:hint="default" w:ascii="宋体" w:hAnsi="宋体" w:cs="宋体"/>
          <w:sz w:val="24"/>
          <w:szCs w:val="24"/>
          <w:lang w:val="en-US" w:eastAsia="zh-CN"/>
        </w:rPr>
        <w:drawing>
          <wp:inline distT="0" distB="0" distL="114300" distR="114300">
            <wp:extent cx="5196205" cy="1697355"/>
            <wp:effectExtent l="0" t="0" r="4445" b="7620"/>
            <wp:docPr id="1" name="图片 1" descr="a17ed88e653e85bc16a06cd17da9c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17ed88e653e85bc16a06cd17da9c03"/>
                    <pic:cNvPicPr>
                      <a:picLocks noChangeAspect="1"/>
                    </pic:cNvPicPr>
                  </pic:nvPicPr>
                  <pic:blipFill>
                    <a:blip r:embed="rId5"/>
                    <a:stretch>
                      <a:fillRect/>
                    </a:stretch>
                  </pic:blipFill>
                  <pic:spPr>
                    <a:xfrm>
                      <a:off x="0" y="0"/>
                      <a:ext cx="5196205" cy="1697355"/>
                    </a:xfrm>
                    <a:prstGeom prst="rect">
                      <a:avLst/>
                    </a:prstGeom>
                  </pic:spPr>
                </pic:pic>
              </a:graphicData>
            </a:graphic>
          </wp:inline>
        </w:drawing>
      </w:r>
    </w:p>
    <w:p>
      <w:pPr>
        <w:spacing w:line="360" w:lineRule="auto"/>
        <w:ind w:firstLine="480"/>
        <w:rPr>
          <w:rFonts w:ascii="宋体" w:hAnsi="宋体" w:cs="宋体"/>
          <w:sz w:val="24"/>
          <w:szCs w:val="24"/>
        </w:rPr>
      </w:pPr>
      <w:r>
        <w:rPr>
          <w:rFonts w:hint="eastAsia" w:ascii="宋体" w:hAnsi="宋体" w:cs="宋体"/>
          <w:sz w:val="24"/>
          <w:szCs w:val="24"/>
        </w:rPr>
        <w:t>公司</w:t>
      </w:r>
      <w:r>
        <w:rPr>
          <w:rFonts w:hint="eastAsia" w:ascii="宋体" w:hAnsi="宋体" w:cs="宋体"/>
          <w:sz w:val="24"/>
          <w:szCs w:val="24"/>
          <w:lang w:val="en-US" w:eastAsia="zh-CN"/>
        </w:rPr>
        <w:t>布局涵盖滤嘴、</w:t>
      </w:r>
      <w:r>
        <w:rPr>
          <w:rFonts w:hint="eastAsia" w:ascii="宋体" w:hAnsi="宋体" w:cs="宋体"/>
          <w:sz w:val="24"/>
          <w:szCs w:val="24"/>
        </w:rPr>
        <w:t>HNB</w:t>
      </w:r>
      <w:r>
        <w:rPr>
          <w:rFonts w:hint="eastAsia" w:ascii="宋体" w:hAnsi="宋体" w:cs="宋体"/>
          <w:sz w:val="24"/>
          <w:szCs w:val="24"/>
          <w:lang w:eastAsia="zh-CN"/>
        </w:rPr>
        <w:t>、</w:t>
      </w:r>
      <w:r>
        <w:rPr>
          <w:rFonts w:hint="eastAsia" w:ascii="宋体" w:hAnsi="宋体" w:cs="宋体"/>
          <w:sz w:val="24"/>
          <w:szCs w:val="24"/>
          <w:lang w:val="en-US" w:eastAsia="zh-CN"/>
        </w:rPr>
        <w:t>雾化的</w:t>
      </w:r>
      <w:r>
        <w:rPr>
          <w:rFonts w:hint="eastAsia" w:ascii="宋体" w:hAnsi="宋体" w:cs="宋体"/>
          <w:sz w:val="24"/>
          <w:szCs w:val="24"/>
        </w:rPr>
        <w:t>研发</w:t>
      </w:r>
      <w:r>
        <w:rPr>
          <w:rFonts w:hint="eastAsia" w:ascii="宋体" w:hAnsi="宋体" w:cs="宋体"/>
          <w:sz w:val="24"/>
          <w:szCs w:val="24"/>
          <w:lang w:eastAsia="zh-CN"/>
        </w:rPr>
        <w:t>、</w:t>
      </w:r>
      <w:r>
        <w:rPr>
          <w:rFonts w:hint="eastAsia" w:ascii="宋体" w:hAnsi="宋体" w:cs="宋体"/>
          <w:sz w:val="24"/>
          <w:szCs w:val="24"/>
        </w:rPr>
        <w:t>生产、销售进行全产业链布局。随着国家监管政策逐步落地，会持续关注并探索进一步优化在电子烟相关业务板块的发展。</w:t>
      </w:r>
    </w:p>
    <w:p>
      <w:pPr>
        <w:spacing w:line="360" w:lineRule="auto"/>
        <w:ind w:firstLine="480"/>
        <w:rPr>
          <w:rFonts w:ascii="宋体" w:hAnsi="宋体" w:cs="宋体"/>
          <w:sz w:val="24"/>
          <w:szCs w:val="24"/>
        </w:rPr>
      </w:pPr>
    </w:p>
    <w:p>
      <w:pPr>
        <w:spacing w:line="360" w:lineRule="auto"/>
        <w:ind w:firstLine="480"/>
        <w:rPr>
          <w:rFonts w:ascii="宋体" w:hAnsi="宋体" w:cs="宋体"/>
          <w:b/>
          <w:sz w:val="24"/>
          <w:szCs w:val="24"/>
        </w:rPr>
      </w:pPr>
      <w:r>
        <w:rPr>
          <w:rFonts w:hint="eastAsia" w:ascii="宋体" w:hAnsi="宋体" w:cs="宋体"/>
          <w:b/>
          <w:sz w:val="24"/>
          <w:szCs w:val="24"/>
        </w:rPr>
        <w:t>问题2：</w:t>
      </w:r>
      <w:r>
        <w:rPr>
          <w:rFonts w:hint="eastAsia" w:ascii="宋体" w:hAnsi="宋体" w:cs="宋体"/>
          <w:b/>
          <w:sz w:val="24"/>
          <w:szCs w:val="24"/>
          <w:lang w:eastAsia="zh-CN"/>
        </w:rPr>
        <w:t>请介绍</w:t>
      </w:r>
      <w:r>
        <w:rPr>
          <w:rFonts w:hint="eastAsia" w:ascii="宋体" w:hAnsi="宋体" w:cs="宋体"/>
          <w:b/>
          <w:sz w:val="24"/>
          <w:szCs w:val="24"/>
        </w:rPr>
        <w:t>公司</w:t>
      </w:r>
      <w:r>
        <w:rPr>
          <w:rFonts w:hint="eastAsia" w:ascii="宋体" w:hAnsi="宋体" w:cs="宋体"/>
          <w:b/>
          <w:sz w:val="24"/>
          <w:szCs w:val="24"/>
          <w:lang w:eastAsia="zh-CN"/>
        </w:rPr>
        <w:t>在</w:t>
      </w:r>
      <w:r>
        <w:rPr>
          <w:rFonts w:hint="eastAsia" w:ascii="宋体" w:hAnsi="宋体" w:cs="宋体"/>
          <w:b/>
          <w:sz w:val="24"/>
          <w:szCs w:val="24"/>
        </w:rPr>
        <w:t>研发</w:t>
      </w:r>
      <w:r>
        <w:rPr>
          <w:rFonts w:hint="eastAsia" w:ascii="宋体" w:hAnsi="宋体" w:cs="宋体"/>
          <w:b/>
          <w:sz w:val="24"/>
          <w:szCs w:val="24"/>
          <w:lang w:eastAsia="zh-CN"/>
        </w:rPr>
        <w:t>方面所具备的优势</w:t>
      </w:r>
      <w:r>
        <w:rPr>
          <w:rFonts w:hint="eastAsia" w:ascii="宋体" w:hAnsi="宋体" w:cs="宋体"/>
          <w:b/>
          <w:sz w:val="24"/>
          <w:szCs w:val="24"/>
        </w:rPr>
        <w:t>；</w:t>
      </w:r>
    </w:p>
    <w:p>
      <w:pPr>
        <w:spacing w:line="360" w:lineRule="auto"/>
        <w:ind w:firstLine="480"/>
        <w:rPr>
          <w:rFonts w:hint="eastAsia" w:ascii="宋体" w:hAnsi="宋体" w:cs="宋体"/>
          <w:sz w:val="24"/>
          <w:szCs w:val="24"/>
        </w:rPr>
      </w:pPr>
      <w:r>
        <w:rPr>
          <w:rFonts w:hint="eastAsia" w:ascii="宋体" w:hAnsi="宋体" w:cs="宋体"/>
          <w:sz w:val="24"/>
          <w:szCs w:val="24"/>
        </w:rPr>
        <w:t>公司高度重视产品研发与技术创新，不仅拥有经中国合格评定国家认可委员会认可的检测中心，并且在深圳投资建设了一流的产品设计开发中心，结合行业领先的生产制造设备，公司在研发与设计端同样具备较强的实力。</w:t>
      </w:r>
    </w:p>
    <w:p>
      <w:pPr>
        <w:spacing w:line="360" w:lineRule="auto"/>
        <w:ind w:firstLine="480"/>
        <w:rPr>
          <w:rFonts w:hint="eastAsia" w:ascii="宋体" w:hAnsi="宋体" w:cs="宋体"/>
          <w:sz w:val="24"/>
          <w:szCs w:val="24"/>
        </w:rPr>
      </w:pPr>
      <w:r>
        <w:rPr>
          <w:rFonts w:hint="eastAsia" w:ascii="宋体" w:hAnsi="宋体" w:cs="宋体"/>
          <w:sz w:val="24"/>
          <w:szCs w:val="24"/>
        </w:rPr>
        <w:t>公司</w:t>
      </w:r>
      <w:r>
        <w:rPr>
          <w:rFonts w:hint="eastAsia" w:ascii="宋体" w:hAnsi="宋体" w:cs="宋体"/>
          <w:sz w:val="24"/>
          <w:szCs w:val="24"/>
          <w:lang w:eastAsia="zh-CN"/>
        </w:rPr>
        <w:t>已成立</w:t>
      </w:r>
      <w:r>
        <w:rPr>
          <w:rFonts w:hint="eastAsia" w:ascii="宋体" w:hAnsi="宋体" w:cs="宋体"/>
          <w:sz w:val="24"/>
          <w:szCs w:val="24"/>
        </w:rPr>
        <w:t>集团研发中心</w:t>
      </w:r>
      <w:r>
        <w:rPr>
          <w:rFonts w:hint="eastAsia" w:ascii="宋体" w:hAnsi="宋体" w:cs="宋体"/>
          <w:sz w:val="24"/>
          <w:szCs w:val="24"/>
          <w:lang w:eastAsia="zh-CN"/>
        </w:rPr>
        <w:t>，</w:t>
      </w:r>
      <w:r>
        <w:rPr>
          <w:rFonts w:hint="eastAsia" w:ascii="宋体" w:hAnsi="宋体" w:cs="宋体"/>
          <w:sz w:val="24"/>
          <w:szCs w:val="24"/>
        </w:rPr>
        <w:t>目前集团研发中心拥有数字印刷分中心、智能制造分中心、新型材料与智能包装分中心、项目管理分中心等四个分中心，数字印刷和智能制造是目前布局的重点；公司还成立</w:t>
      </w:r>
      <w:r>
        <w:rPr>
          <w:rFonts w:hint="eastAsia" w:ascii="宋体" w:hAnsi="宋体" w:cs="宋体"/>
          <w:sz w:val="24"/>
          <w:szCs w:val="24"/>
          <w:lang w:eastAsia="zh-CN"/>
        </w:rPr>
        <w:t>了</w:t>
      </w:r>
      <w:r>
        <w:rPr>
          <w:rFonts w:hint="eastAsia" w:ascii="宋体" w:hAnsi="宋体" w:cs="宋体"/>
          <w:sz w:val="24"/>
          <w:szCs w:val="24"/>
        </w:rPr>
        <w:t>无锡创新研究院，加快在数字印刷、智能包装、新型材料与新工艺方面的发展与创新；同时，公司持续推进与北京印刷学院、北京化工大学、湖南工业大学、四川大学高分子科学与工程学院、江南大学等高等院校之间的产学研一体化合作，全力推动专项技术研究并促进科研成果转化，进一步提升公司的在智能包装、环保包装、数码印刷、防伪溯源、新材料新工艺等方面的技术储备。</w:t>
      </w:r>
    </w:p>
    <w:p>
      <w:pPr>
        <w:spacing w:line="360" w:lineRule="auto"/>
        <w:ind w:firstLine="480"/>
        <w:rPr>
          <w:rFonts w:ascii="宋体" w:hAnsi="宋体" w:cs="宋体"/>
          <w:sz w:val="24"/>
          <w:szCs w:val="24"/>
        </w:rPr>
      </w:pPr>
      <w:r>
        <w:rPr>
          <w:rFonts w:hint="eastAsia" w:ascii="宋体" w:hAnsi="宋体" w:cs="宋体"/>
          <w:sz w:val="24"/>
          <w:szCs w:val="24"/>
        </w:rPr>
        <w:t>此外，</w:t>
      </w:r>
      <w:r>
        <w:rPr>
          <w:rFonts w:hint="eastAsia" w:ascii="宋体" w:hAnsi="宋体" w:cs="宋体"/>
          <w:sz w:val="24"/>
          <w:szCs w:val="24"/>
          <w:lang w:eastAsia="zh-CN"/>
        </w:rPr>
        <w:t>“</w:t>
      </w:r>
      <w:r>
        <w:rPr>
          <w:rFonts w:hint="eastAsia" w:ascii="宋体" w:hAnsi="宋体" w:cs="宋体"/>
          <w:sz w:val="24"/>
          <w:szCs w:val="24"/>
        </w:rPr>
        <w:t>东风股份研发中心及信息化建设项目</w:t>
      </w:r>
      <w:r>
        <w:rPr>
          <w:rFonts w:hint="eastAsia" w:ascii="宋体" w:hAnsi="宋体" w:cs="宋体"/>
          <w:sz w:val="24"/>
          <w:szCs w:val="24"/>
          <w:lang w:eastAsia="zh-CN"/>
        </w:rPr>
        <w:t>”</w:t>
      </w:r>
      <w:r>
        <w:rPr>
          <w:rFonts w:hint="eastAsia" w:ascii="宋体" w:hAnsi="宋体" w:cs="宋体"/>
          <w:sz w:val="24"/>
          <w:szCs w:val="24"/>
        </w:rPr>
        <w:t>作为公司2020年度非公开发行股票的募投项目之一</w:t>
      </w:r>
      <w:r>
        <w:rPr>
          <w:rFonts w:hint="eastAsia" w:ascii="宋体" w:hAnsi="宋体" w:cs="宋体"/>
          <w:sz w:val="24"/>
          <w:szCs w:val="24"/>
          <w:lang w:eastAsia="zh-CN"/>
        </w:rPr>
        <w:t>，</w:t>
      </w:r>
      <w:r>
        <w:rPr>
          <w:rFonts w:hint="eastAsia" w:ascii="宋体" w:hAnsi="宋体" w:cs="宋体"/>
          <w:sz w:val="24"/>
          <w:szCs w:val="24"/>
        </w:rPr>
        <w:t>项目建成后聚焦数字印刷、智能制造、智能包装和高性能新材料领域的测试与研发工作，有利于提升研发能力，保持核心竞争优势，</w:t>
      </w:r>
      <w:r>
        <w:rPr>
          <w:rFonts w:hint="eastAsia" w:ascii="宋体" w:hAnsi="宋体" w:cs="宋体"/>
          <w:sz w:val="24"/>
          <w:szCs w:val="24"/>
          <w:lang w:eastAsia="zh-CN"/>
        </w:rPr>
        <w:t>优化</w:t>
      </w:r>
      <w:r>
        <w:rPr>
          <w:rFonts w:hint="eastAsia" w:ascii="宋体" w:hAnsi="宋体" w:cs="宋体"/>
          <w:sz w:val="24"/>
          <w:szCs w:val="24"/>
        </w:rPr>
        <w:t>新材料研发</w:t>
      </w:r>
      <w:r>
        <w:rPr>
          <w:rFonts w:hint="eastAsia" w:ascii="宋体" w:hAnsi="宋体" w:cs="宋体"/>
          <w:sz w:val="24"/>
          <w:szCs w:val="24"/>
          <w:lang w:eastAsia="zh-CN"/>
        </w:rPr>
        <w:t>布局</w:t>
      </w:r>
      <w:r>
        <w:rPr>
          <w:rFonts w:hint="eastAsia" w:ascii="宋体" w:hAnsi="宋体" w:cs="宋体"/>
          <w:sz w:val="24"/>
          <w:szCs w:val="24"/>
        </w:rPr>
        <w:t>，契合下游客户新产品开发趋势，提升公司对印刷包装自动化设备的研发能力，</w:t>
      </w:r>
      <w:r>
        <w:rPr>
          <w:rFonts w:hint="eastAsia" w:ascii="宋体" w:hAnsi="宋体" w:cs="宋体"/>
          <w:sz w:val="24"/>
          <w:szCs w:val="24"/>
          <w:lang w:eastAsia="zh-CN"/>
        </w:rPr>
        <w:t>进一步</w:t>
      </w:r>
      <w:r>
        <w:rPr>
          <w:rFonts w:hint="eastAsia" w:ascii="宋体" w:hAnsi="宋体" w:cs="宋体"/>
          <w:sz w:val="24"/>
          <w:szCs w:val="24"/>
        </w:rPr>
        <w:t>加强公司信息化管理体系，</w:t>
      </w:r>
      <w:r>
        <w:rPr>
          <w:rFonts w:hint="eastAsia" w:ascii="宋体" w:hAnsi="宋体" w:cs="宋体"/>
          <w:sz w:val="24"/>
          <w:szCs w:val="24"/>
          <w:lang w:eastAsia="zh-CN"/>
        </w:rPr>
        <w:t>从而</w:t>
      </w:r>
      <w:r>
        <w:rPr>
          <w:rFonts w:hint="eastAsia" w:ascii="宋体" w:hAnsi="宋体" w:cs="宋体"/>
          <w:sz w:val="24"/>
          <w:szCs w:val="24"/>
        </w:rPr>
        <w:t>提升公司生产效率和经济效益。</w:t>
      </w:r>
    </w:p>
    <w:p>
      <w:pPr>
        <w:spacing w:line="360" w:lineRule="auto"/>
        <w:ind w:firstLine="480"/>
        <w:rPr>
          <w:rFonts w:ascii="宋体" w:hAnsi="宋体" w:cs="宋体"/>
          <w:sz w:val="24"/>
          <w:szCs w:val="24"/>
        </w:rPr>
      </w:pPr>
    </w:p>
    <w:p>
      <w:pPr>
        <w:spacing w:line="360" w:lineRule="auto"/>
        <w:ind w:firstLine="480"/>
        <w:rPr>
          <w:rFonts w:ascii="宋体" w:hAnsi="宋体" w:cs="宋体"/>
          <w:b/>
          <w:sz w:val="24"/>
          <w:szCs w:val="24"/>
        </w:rPr>
      </w:pPr>
      <w:r>
        <w:rPr>
          <w:rFonts w:hint="eastAsia" w:ascii="宋体" w:hAnsi="宋体" w:cs="宋体"/>
          <w:b/>
          <w:sz w:val="24"/>
          <w:szCs w:val="24"/>
        </w:rPr>
        <w:t>问题</w:t>
      </w:r>
      <w:r>
        <w:rPr>
          <w:rFonts w:hint="eastAsia" w:ascii="宋体" w:hAnsi="宋体" w:cs="宋体"/>
          <w:b/>
          <w:sz w:val="24"/>
          <w:szCs w:val="24"/>
          <w:lang w:val="en-US" w:eastAsia="zh-CN"/>
        </w:rPr>
        <w:t>3</w:t>
      </w:r>
      <w:r>
        <w:rPr>
          <w:rFonts w:hint="eastAsia" w:ascii="宋体" w:hAnsi="宋体" w:cs="宋体"/>
          <w:b/>
          <w:sz w:val="24"/>
          <w:szCs w:val="24"/>
        </w:rPr>
        <w:t>：公司对于传统烟草市场未来发展的预期；</w:t>
      </w:r>
    </w:p>
    <w:p>
      <w:pPr>
        <w:spacing w:line="360" w:lineRule="auto"/>
        <w:ind w:firstLine="480"/>
        <w:rPr>
          <w:rFonts w:ascii="宋体" w:hAnsi="宋体" w:cs="宋体"/>
          <w:sz w:val="24"/>
        </w:rPr>
      </w:pPr>
      <w:r>
        <w:rPr>
          <w:rFonts w:hint="eastAsia" w:ascii="宋体" w:hAnsi="宋体" w:cs="宋体"/>
          <w:sz w:val="24"/>
        </w:rPr>
        <w:t>传统烟草行业</w:t>
      </w:r>
      <w:r>
        <w:rPr>
          <w:rFonts w:hint="eastAsia" w:ascii="宋体" w:hAnsi="宋体" w:cs="宋体"/>
          <w:sz w:val="24"/>
          <w:lang w:eastAsia="zh-CN"/>
        </w:rPr>
        <w:t>虽然</w:t>
      </w:r>
      <w:r>
        <w:rPr>
          <w:rFonts w:hint="eastAsia" w:ascii="宋体" w:hAnsi="宋体" w:cs="宋体"/>
          <w:sz w:val="24"/>
        </w:rPr>
        <w:t>从市场总量来说不会有大</w:t>
      </w:r>
      <w:r>
        <w:rPr>
          <w:rFonts w:hint="eastAsia" w:ascii="宋体" w:hAnsi="宋体" w:cs="宋体"/>
          <w:sz w:val="24"/>
          <w:lang w:eastAsia="zh-CN"/>
        </w:rPr>
        <w:t>幅度</w:t>
      </w:r>
      <w:r>
        <w:rPr>
          <w:rFonts w:hint="eastAsia" w:ascii="宋体" w:hAnsi="宋体" w:cs="宋体"/>
          <w:sz w:val="24"/>
        </w:rPr>
        <w:t>的增长，但</w:t>
      </w:r>
      <w:r>
        <w:rPr>
          <w:rFonts w:hint="eastAsia" w:ascii="宋体" w:hAnsi="宋体" w:cs="宋体"/>
          <w:sz w:val="24"/>
          <w:lang w:val="en-US" w:eastAsia="zh-CN"/>
        </w:rPr>
        <w:t>产品</w:t>
      </w:r>
      <w:r>
        <w:rPr>
          <w:rFonts w:hint="eastAsia" w:ascii="宋体" w:hAnsi="宋体" w:cs="宋体"/>
          <w:sz w:val="24"/>
        </w:rPr>
        <w:t>结构往中高端</w:t>
      </w:r>
      <w:r>
        <w:rPr>
          <w:rFonts w:hint="eastAsia" w:ascii="宋体" w:hAnsi="宋体" w:cs="宋体"/>
          <w:sz w:val="24"/>
          <w:lang w:eastAsia="zh-CN"/>
        </w:rPr>
        <w:t>转化是必然的趋势</w:t>
      </w:r>
      <w:r>
        <w:rPr>
          <w:rFonts w:hint="eastAsia" w:ascii="宋体" w:hAnsi="宋体" w:cs="宋体"/>
          <w:sz w:val="24"/>
        </w:rPr>
        <w:t>，</w:t>
      </w:r>
      <w:r>
        <w:rPr>
          <w:rFonts w:hint="eastAsia" w:ascii="宋体" w:hAnsi="宋体" w:cs="宋体"/>
          <w:sz w:val="24"/>
          <w:lang w:val="en-US" w:eastAsia="zh-CN"/>
        </w:rPr>
        <w:t>公司</w:t>
      </w:r>
      <w:r>
        <w:rPr>
          <w:rFonts w:hint="eastAsia" w:ascii="宋体" w:hAnsi="宋体" w:cs="宋体"/>
          <w:sz w:val="24"/>
        </w:rPr>
        <w:t>结构的调整也</w:t>
      </w:r>
      <w:r>
        <w:rPr>
          <w:rFonts w:hint="eastAsia" w:ascii="宋体" w:hAnsi="宋体" w:cs="宋体"/>
          <w:sz w:val="24"/>
          <w:lang w:val="en-US" w:eastAsia="zh-CN"/>
        </w:rPr>
        <w:t>在有</w:t>
      </w:r>
      <w:r>
        <w:rPr>
          <w:rFonts w:hint="eastAsia" w:ascii="宋体" w:hAnsi="宋体" w:cs="宋体"/>
          <w:sz w:val="24"/>
        </w:rPr>
        <w:t>步骤</w:t>
      </w:r>
      <w:r>
        <w:rPr>
          <w:rFonts w:hint="eastAsia" w:ascii="宋体" w:hAnsi="宋体" w:cs="宋体"/>
          <w:sz w:val="24"/>
          <w:lang w:eastAsia="zh-CN"/>
        </w:rPr>
        <w:t>地</w:t>
      </w:r>
      <w:r>
        <w:rPr>
          <w:rFonts w:hint="eastAsia" w:ascii="宋体" w:hAnsi="宋体" w:cs="宋体"/>
          <w:sz w:val="24"/>
          <w:lang w:val="en-US" w:eastAsia="zh-CN"/>
        </w:rPr>
        <w:t>进行</w:t>
      </w:r>
      <w:r>
        <w:rPr>
          <w:rFonts w:hint="eastAsia" w:ascii="宋体" w:hAnsi="宋体" w:cs="宋体"/>
          <w:sz w:val="24"/>
        </w:rPr>
        <w:t>，</w:t>
      </w:r>
      <w:r>
        <w:rPr>
          <w:rFonts w:hint="eastAsia" w:ascii="宋体" w:hAnsi="宋体" w:cs="宋体"/>
          <w:sz w:val="24"/>
          <w:lang w:val="en-US" w:eastAsia="zh-CN"/>
        </w:rPr>
        <w:t>正在积极设计、研发新产品，增强公司核心竞争力，保持业绩的持续增长</w:t>
      </w:r>
      <w:r>
        <w:rPr>
          <w:rFonts w:hint="eastAsia" w:ascii="宋体" w:hAnsi="宋体" w:cs="宋体"/>
          <w:sz w:val="24"/>
        </w:rPr>
        <w:t>。</w:t>
      </w:r>
    </w:p>
    <w:p>
      <w:pPr>
        <w:spacing w:line="360" w:lineRule="auto"/>
        <w:ind w:firstLine="480"/>
        <w:rPr>
          <w:rFonts w:ascii="宋体" w:hAnsi="宋体" w:cs="宋体"/>
          <w:sz w:val="24"/>
          <w:szCs w:val="24"/>
        </w:rPr>
      </w:pPr>
    </w:p>
    <w:p>
      <w:pPr>
        <w:spacing w:line="360" w:lineRule="auto"/>
        <w:ind w:firstLine="480"/>
        <w:rPr>
          <w:rFonts w:ascii="宋体" w:hAnsi="宋体" w:cs="宋体"/>
          <w:b/>
          <w:sz w:val="24"/>
          <w:szCs w:val="24"/>
        </w:rPr>
      </w:pPr>
      <w:r>
        <w:rPr>
          <w:rFonts w:hint="eastAsia" w:ascii="宋体" w:hAnsi="宋体" w:cs="宋体"/>
          <w:b/>
          <w:sz w:val="24"/>
          <w:szCs w:val="24"/>
        </w:rPr>
        <w:t>问题</w:t>
      </w:r>
      <w:r>
        <w:rPr>
          <w:rFonts w:hint="eastAsia" w:ascii="宋体" w:hAnsi="宋体" w:cs="宋体"/>
          <w:b/>
          <w:sz w:val="24"/>
          <w:szCs w:val="24"/>
          <w:lang w:val="en-US" w:eastAsia="zh-CN"/>
        </w:rPr>
        <w:t>4</w:t>
      </w:r>
      <w:r>
        <w:rPr>
          <w:rFonts w:hint="eastAsia" w:ascii="宋体" w:hAnsi="宋体" w:cs="宋体"/>
          <w:b/>
          <w:sz w:val="24"/>
          <w:szCs w:val="24"/>
        </w:rPr>
        <w:t>：公司医药包装业务</w:t>
      </w:r>
      <w:r>
        <w:rPr>
          <w:rFonts w:hint="eastAsia" w:ascii="宋体" w:hAnsi="宋体" w:cs="宋体"/>
          <w:b/>
          <w:sz w:val="24"/>
          <w:szCs w:val="24"/>
          <w:lang w:eastAsia="zh-CN"/>
        </w:rPr>
        <w:t>是否有</w:t>
      </w:r>
      <w:r>
        <w:rPr>
          <w:rFonts w:hint="eastAsia" w:ascii="宋体" w:hAnsi="宋体" w:cs="宋体"/>
          <w:b/>
          <w:sz w:val="24"/>
          <w:szCs w:val="24"/>
        </w:rPr>
        <w:t>进一步实施并购的计划；</w:t>
      </w:r>
    </w:p>
    <w:p>
      <w:pPr>
        <w:spacing w:line="360" w:lineRule="auto"/>
        <w:ind w:firstLine="480"/>
        <w:rPr>
          <w:rFonts w:hint="eastAsia" w:ascii="宋体" w:hAnsi="宋体" w:cs="宋体"/>
          <w:sz w:val="24"/>
          <w:szCs w:val="24"/>
        </w:rPr>
      </w:pPr>
      <w:r>
        <w:rPr>
          <w:rFonts w:hint="eastAsia" w:ascii="宋体" w:hAnsi="宋体" w:eastAsia="宋体" w:cs="宋体"/>
          <w:i w:val="0"/>
          <w:iCs w:val="0"/>
          <w:caps w:val="0"/>
          <w:color w:val="auto"/>
          <w:spacing w:val="0"/>
          <w:sz w:val="24"/>
          <w:szCs w:val="24"/>
          <w:shd w:val="clear" w:fill="auto"/>
        </w:rPr>
        <w:t>在药包业务方面，公司积极布局I类药包材、辅材、医疗器械行业，已并购贵州千叶、重庆首键、常州华健、福鑫华康四家I类药包材企业。各药包材子公司也正在重点发展外资药企客户，其中与阿斯利康的业务合作预计2022年一季度正式供货；与赛诺菲的业务合作已提供样品并试机通过；与拜耳的业务合作也已完成供应商前期建档等程序。根据公司2021年半年度报告数据，公司药包业务实现销售收入人民币25,923.80万元，同比增长181.41%，占公司总营业收入比重约为13.92%。未来公司也将持续发力，</w:t>
      </w:r>
      <w:r>
        <w:rPr>
          <w:rFonts w:hint="eastAsia" w:ascii="宋体" w:hAnsi="宋体" w:cs="宋体"/>
          <w:i w:val="0"/>
          <w:iCs w:val="0"/>
          <w:caps w:val="0"/>
          <w:spacing w:val="0"/>
          <w:sz w:val="24"/>
          <w:szCs w:val="24"/>
          <w:shd w:val="clear"/>
          <w:lang w:val="en-US" w:eastAsia="zh-CN"/>
        </w:rPr>
        <w:t>目前根据集团的投资规划，</w:t>
      </w:r>
      <w:r>
        <w:rPr>
          <w:rFonts w:hint="eastAsia" w:ascii="宋体" w:hAnsi="宋体" w:eastAsia="宋体" w:cs="宋体"/>
          <w:i w:val="0"/>
          <w:iCs w:val="0"/>
          <w:caps w:val="0"/>
          <w:color w:val="auto"/>
          <w:spacing w:val="0"/>
          <w:sz w:val="24"/>
          <w:szCs w:val="24"/>
          <w:shd w:val="clear" w:fill="auto"/>
        </w:rPr>
        <w:t>所有子公司均</w:t>
      </w:r>
      <w:r>
        <w:rPr>
          <w:rFonts w:hint="eastAsia" w:ascii="宋体" w:hAnsi="宋体" w:cs="宋体"/>
          <w:i w:val="0"/>
          <w:iCs w:val="0"/>
          <w:caps w:val="0"/>
          <w:spacing w:val="0"/>
          <w:sz w:val="24"/>
          <w:szCs w:val="24"/>
          <w:shd w:val="clear"/>
          <w:lang w:val="en-US" w:eastAsia="zh-CN"/>
        </w:rPr>
        <w:t>已经申请投资配额，将全面</w:t>
      </w:r>
      <w:r>
        <w:rPr>
          <w:rFonts w:hint="eastAsia" w:ascii="宋体" w:hAnsi="宋体" w:eastAsia="宋体" w:cs="宋体"/>
          <w:i w:val="0"/>
          <w:iCs w:val="0"/>
          <w:caps w:val="0"/>
          <w:color w:val="auto"/>
          <w:spacing w:val="0"/>
          <w:sz w:val="24"/>
          <w:szCs w:val="24"/>
          <w:shd w:val="clear" w:fill="auto"/>
        </w:rPr>
        <w:t>扩产扩规模拿地建厂，</w:t>
      </w:r>
      <w:r>
        <w:rPr>
          <w:rFonts w:hint="eastAsia" w:ascii="宋体" w:hAnsi="宋体" w:cs="宋体"/>
          <w:i w:val="0"/>
          <w:iCs w:val="0"/>
          <w:caps w:val="0"/>
          <w:spacing w:val="0"/>
          <w:sz w:val="24"/>
          <w:szCs w:val="24"/>
          <w:shd w:val="clear"/>
          <w:lang w:val="en-US" w:eastAsia="zh-CN"/>
        </w:rPr>
        <w:t>不断提升生成规模，优化产品结构，改善客户结构，未来将“东峰药包”打造成平台型全资子公司，</w:t>
      </w:r>
      <w:r>
        <w:rPr>
          <w:rFonts w:hint="eastAsia" w:ascii="宋体" w:hAnsi="宋体" w:eastAsia="宋体" w:cs="宋体"/>
          <w:i w:val="0"/>
          <w:iCs w:val="0"/>
          <w:caps w:val="0"/>
          <w:color w:val="auto"/>
          <w:spacing w:val="0"/>
          <w:sz w:val="24"/>
          <w:szCs w:val="24"/>
          <w:shd w:val="clear" w:fill="auto"/>
        </w:rPr>
        <w:t>把医药包装板块培育成公司支柱板块之一。</w:t>
      </w:r>
      <w:r>
        <w:rPr>
          <w:rFonts w:hint="eastAsia" w:ascii="宋体" w:hAnsi="宋体" w:cs="宋体"/>
          <w:sz w:val="24"/>
          <w:szCs w:val="24"/>
        </w:rPr>
        <w:t>公司</w:t>
      </w:r>
      <w:r>
        <w:rPr>
          <w:rFonts w:hint="eastAsia" w:ascii="宋体" w:hAnsi="宋体" w:cs="宋体"/>
          <w:sz w:val="24"/>
          <w:szCs w:val="24"/>
          <w:lang w:eastAsia="zh-CN"/>
        </w:rPr>
        <w:t>也</w:t>
      </w:r>
      <w:r>
        <w:rPr>
          <w:rFonts w:hint="eastAsia" w:ascii="宋体" w:hAnsi="宋体" w:cs="宋体"/>
          <w:sz w:val="24"/>
          <w:szCs w:val="24"/>
        </w:rPr>
        <w:t>会循序渐进，</w:t>
      </w:r>
      <w:r>
        <w:rPr>
          <w:rFonts w:hint="eastAsia" w:ascii="宋体" w:hAnsi="宋体" w:cs="宋体"/>
          <w:sz w:val="24"/>
          <w:szCs w:val="24"/>
          <w:lang w:eastAsia="zh-CN"/>
        </w:rPr>
        <w:t>结合发展情况</w:t>
      </w:r>
      <w:r>
        <w:rPr>
          <w:rFonts w:hint="eastAsia" w:ascii="宋体" w:hAnsi="宋体" w:cs="宋体"/>
          <w:sz w:val="24"/>
          <w:szCs w:val="24"/>
        </w:rPr>
        <w:t>在行业内进一步实施并购与整合。</w:t>
      </w:r>
    </w:p>
    <w:p>
      <w:pPr>
        <w:spacing w:line="360" w:lineRule="auto"/>
        <w:ind w:firstLine="480"/>
        <w:rPr>
          <w:rFonts w:hint="eastAsia" w:ascii="宋体" w:hAnsi="宋体" w:cs="宋体"/>
          <w:sz w:val="24"/>
          <w:szCs w:val="24"/>
        </w:rPr>
      </w:pPr>
    </w:p>
    <w:p>
      <w:pPr>
        <w:spacing w:line="360" w:lineRule="auto"/>
        <w:ind w:firstLine="480"/>
        <w:rPr>
          <w:rFonts w:ascii="宋体" w:hAnsi="宋体" w:cs="宋体"/>
          <w:sz w:val="24"/>
          <w:szCs w:val="24"/>
        </w:rPr>
      </w:pPr>
      <w:r>
        <w:rPr>
          <w:rFonts w:hint="eastAsia" w:ascii="宋体" w:hAnsi="宋体" w:cs="宋体"/>
          <w:b/>
          <w:bCs/>
          <w:sz w:val="24"/>
          <w:szCs w:val="24"/>
        </w:rPr>
        <w:t>问题</w:t>
      </w:r>
      <w:r>
        <w:rPr>
          <w:rFonts w:hint="eastAsia" w:ascii="宋体" w:hAnsi="宋体" w:cs="宋体"/>
          <w:b/>
          <w:bCs/>
          <w:sz w:val="24"/>
          <w:szCs w:val="24"/>
          <w:lang w:val="en-US" w:eastAsia="zh-CN"/>
        </w:rPr>
        <w:t>5</w:t>
      </w:r>
      <w:r>
        <w:rPr>
          <w:rFonts w:hint="eastAsia" w:ascii="宋体" w:hAnsi="宋体" w:cs="宋体"/>
          <w:b/>
          <w:bCs/>
          <w:sz w:val="24"/>
          <w:szCs w:val="24"/>
        </w:rPr>
        <w:t>：</w:t>
      </w:r>
      <w:r>
        <w:rPr>
          <w:rFonts w:hint="eastAsia" w:ascii="宋体" w:hAnsi="宋体" w:cs="宋体"/>
          <w:b/>
          <w:bCs/>
          <w:sz w:val="24"/>
          <w:szCs w:val="24"/>
          <w:lang w:eastAsia="zh-CN"/>
        </w:rPr>
        <w:t>下游烟草行业</w:t>
      </w:r>
      <w:r>
        <w:rPr>
          <w:rFonts w:hint="eastAsia" w:ascii="宋体" w:hAnsi="宋体" w:cs="宋体"/>
          <w:b/>
          <w:bCs/>
          <w:sz w:val="24"/>
          <w:szCs w:val="24"/>
        </w:rPr>
        <w:t>招投标政策对公司烟标业务的影响；</w:t>
      </w:r>
    </w:p>
    <w:p>
      <w:pPr>
        <w:spacing w:line="360" w:lineRule="auto"/>
        <w:ind w:firstLine="480"/>
        <w:rPr>
          <w:rFonts w:hint="eastAsia" w:ascii="宋体" w:hAnsi="宋体" w:cs="宋体"/>
          <w:sz w:val="24"/>
          <w:szCs w:val="24"/>
        </w:rPr>
      </w:pPr>
      <w:r>
        <w:rPr>
          <w:rFonts w:hint="eastAsia" w:ascii="宋体" w:hAnsi="宋体" w:cs="宋体"/>
          <w:sz w:val="24"/>
          <w:szCs w:val="24"/>
        </w:rPr>
        <w:t>随着招标政策的稳步推进，烟标印刷龙头企业基于规模和产业链的优势，内部有进一步挖掘利润的空间，能够有效应对烟标行业招投标政策的影响，在参与招投标时还是有比较大的竞争优势的。另外下游烟草行业虽然销量相对保持平稳，但通过内部结构的提升与优化，也会带动烟草产品单价的提升。</w:t>
      </w:r>
    </w:p>
    <w:p>
      <w:pPr>
        <w:spacing w:line="360" w:lineRule="auto"/>
        <w:ind w:firstLine="480"/>
        <w:rPr>
          <w:rFonts w:hint="eastAsia" w:ascii="宋体" w:hAnsi="宋体" w:cs="宋体"/>
          <w:sz w:val="24"/>
          <w:szCs w:val="24"/>
        </w:rPr>
      </w:pPr>
      <w:r>
        <w:rPr>
          <w:rFonts w:hint="eastAsia" w:ascii="宋体" w:hAnsi="宋体" w:cs="宋体"/>
          <w:sz w:val="24"/>
          <w:szCs w:val="24"/>
        </w:rPr>
        <w:t>烟标业务是公司的基石业务，公司通过集团采购优势降低物料成本，同时也将不断进行工艺技术整合改造，提高设备自动化和智能化水平以及生产运营效率，发挥产业链深度优势和经营规模优势有效地控制成本、质量和交期，确保烟标印刷业务的稳定发展。</w:t>
      </w:r>
    </w:p>
    <w:p>
      <w:pPr>
        <w:spacing w:line="360" w:lineRule="auto"/>
        <w:ind w:firstLine="480"/>
        <w:rPr>
          <w:rFonts w:hint="eastAsia" w:ascii="宋体" w:hAnsi="宋体" w:cs="宋体"/>
          <w:b/>
          <w:sz w:val="24"/>
          <w:szCs w:val="24"/>
        </w:rPr>
      </w:pPr>
    </w:p>
    <w:p>
      <w:pPr>
        <w:spacing w:line="360" w:lineRule="auto"/>
        <w:ind w:firstLine="480"/>
        <w:rPr>
          <w:rFonts w:ascii="宋体" w:hAnsi="宋体" w:cs="宋体"/>
          <w:b/>
          <w:sz w:val="24"/>
          <w:szCs w:val="24"/>
        </w:rPr>
      </w:pPr>
      <w:r>
        <w:rPr>
          <w:rFonts w:hint="eastAsia" w:ascii="宋体" w:hAnsi="宋体" w:cs="宋体"/>
          <w:b/>
          <w:sz w:val="24"/>
          <w:szCs w:val="24"/>
        </w:rPr>
        <w:t>问题</w:t>
      </w:r>
      <w:r>
        <w:rPr>
          <w:rFonts w:hint="eastAsia" w:ascii="宋体" w:hAnsi="宋体" w:cs="宋体"/>
          <w:b/>
          <w:sz w:val="24"/>
          <w:szCs w:val="24"/>
          <w:lang w:val="en-US" w:eastAsia="zh-CN"/>
        </w:rPr>
        <w:t>6</w:t>
      </w:r>
      <w:r>
        <w:rPr>
          <w:rFonts w:hint="eastAsia" w:ascii="宋体" w:hAnsi="宋体" w:cs="宋体"/>
          <w:b/>
          <w:sz w:val="24"/>
          <w:szCs w:val="24"/>
        </w:rPr>
        <w:t>：请介绍一下公司生产设备的智能化情况；</w:t>
      </w:r>
    </w:p>
    <w:p>
      <w:pPr>
        <w:spacing w:line="360" w:lineRule="auto"/>
        <w:ind w:firstLine="480"/>
        <w:rPr>
          <w:rFonts w:hint="eastAsia" w:ascii="宋体" w:hAnsi="宋体" w:cs="宋体"/>
          <w:sz w:val="24"/>
          <w:szCs w:val="24"/>
        </w:rPr>
      </w:pPr>
      <w:r>
        <w:rPr>
          <w:rFonts w:hint="eastAsia" w:ascii="宋体" w:hAnsi="宋体" w:cs="宋体"/>
          <w:sz w:val="24"/>
          <w:szCs w:val="24"/>
        </w:rPr>
        <w:t>公司的</w:t>
      </w:r>
      <w:r>
        <w:rPr>
          <w:rFonts w:hint="eastAsia" w:ascii="宋体" w:hAnsi="宋体" w:cs="宋体"/>
          <w:sz w:val="24"/>
          <w:szCs w:val="24"/>
          <w:lang w:eastAsia="zh-CN"/>
        </w:rPr>
        <w:t>主要</w:t>
      </w:r>
      <w:r>
        <w:rPr>
          <w:rFonts w:hint="eastAsia" w:ascii="宋体" w:hAnsi="宋体" w:cs="宋体"/>
          <w:sz w:val="24"/>
          <w:szCs w:val="24"/>
        </w:rPr>
        <w:t>生产设备</w:t>
      </w:r>
      <w:r>
        <w:rPr>
          <w:rFonts w:hint="eastAsia" w:ascii="宋体" w:hAnsi="宋体" w:cs="宋体"/>
          <w:sz w:val="24"/>
          <w:szCs w:val="24"/>
          <w:lang w:eastAsia="zh-CN"/>
        </w:rPr>
        <w:t>处于</w:t>
      </w:r>
      <w:r>
        <w:rPr>
          <w:rFonts w:hint="eastAsia" w:ascii="宋体" w:hAnsi="宋体" w:cs="宋体"/>
          <w:sz w:val="24"/>
          <w:szCs w:val="24"/>
        </w:rPr>
        <w:t>行业领先的</w:t>
      </w:r>
      <w:r>
        <w:rPr>
          <w:rFonts w:hint="eastAsia" w:ascii="宋体" w:hAnsi="宋体" w:cs="宋体"/>
          <w:sz w:val="24"/>
          <w:szCs w:val="24"/>
          <w:lang w:eastAsia="zh-CN"/>
        </w:rPr>
        <w:t>水平，</w:t>
      </w:r>
      <w:r>
        <w:rPr>
          <w:rFonts w:hint="eastAsia" w:ascii="宋体" w:hAnsi="宋体" w:cs="宋体"/>
          <w:sz w:val="24"/>
          <w:szCs w:val="24"/>
        </w:rPr>
        <w:t>公司高度重视产品研发与技术创新，数字印刷和智能制造是公司目前布局的重点。</w:t>
      </w:r>
    </w:p>
    <w:p>
      <w:pPr>
        <w:spacing w:line="360" w:lineRule="auto"/>
        <w:ind w:firstLine="480"/>
        <w:rPr>
          <w:rFonts w:hint="eastAsia" w:ascii="宋体" w:hAnsi="宋体" w:cs="宋体"/>
          <w:sz w:val="24"/>
          <w:szCs w:val="24"/>
        </w:rPr>
      </w:pPr>
      <w:r>
        <w:rPr>
          <w:rFonts w:hint="eastAsia" w:ascii="宋体" w:hAnsi="宋体" w:cs="宋体"/>
          <w:sz w:val="24"/>
          <w:szCs w:val="24"/>
        </w:rPr>
        <w:t>此外，“湖南福瑞高端包装印刷智能工厂技改搬迁建设项目”和“东风股份研发中心及信息化建设项目”作为公司非公开发行股票的募投项目</w:t>
      </w:r>
      <w:r>
        <w:rPr>
          <w:rFonts w:hint="eastAsia" w:ascii="宋体" w:hAnsi="宋体" w:cs="宋体"/>
          <w:sz w:val="24"/>
          <w:szCs w:val="24"/>
          <w:lang w:eastAsia="zh-CN"/>
        </w:rPr>
        <w:t>，其</w:t>
      </w:r>
      <w:r>
        <w:rPr>
          <w:rFonts w:hint="eastAsia" w:ascii="宋体" w:hAnsi="宋体" w:cs="宋体"/>
          <w:sz w:val="24"/>
          <w:szCs w:val="24"/>
        </w:rPr>
        <w:t>建成后将使公司</w:t>
      </w:r>
      <w:r>
        <w:rPr>
          <w:rFonts w:hint="eastAsia" w:ascii="宋体" w:hAnsi="宋体" w:cs="宋体"/>
          <w:sz w:val="24"/>
          <w:szCs w:val="24"/>
          <w:lang w:eastAsia="zh-CN"/>
        </w:rPr>
        <w:t>智能</w:t>
      </w:r>
      <w:r>
        <w:rPr>
          <w:rFonts w:hint="eastAsia" w:ascii="宋体" w:hAnsi="宋体" w:cs="宋体"/>
          <w:sz w:val="24"/>
          <w:szCs w:val="24"/>
        </w:rPr>
        <w:t>生产水平、产能迈上新台阶，有利于提升研发能力，保持核心竞争优势，</w:t>
      </w:r>
      <w:r>
        <w:rPr>
          <w:rFonts w:hint="eastAsia" w:ascii="宋体" w:hAnsi="宋体" w:cs="宋体"/>
          <w:sz w:val="24"/>
          <w:szCs w:val="24"/>
          <w:lang w:eastAsia="zh-CN"/>
        </w:rPr>
        <w:t>进一步优化</w:t>
      </w:r>
      <w:r>
        <w:rPr>
          <w:rFonts w:hint="eastAsia" w:ascii="宋体" w:hAnsi="宋体" w:cs="宋体"/>
          <w:sz w:val="24"/>
          <w:szCs w:val="24"/>
        </w:rPr>
        <w:t>公司对印刷包装自动化设备的研发能力，</w:t>
      </w:r>
      <w:r>
        <w:rPr>
          <w:rFonts w:hint="eastAsia" w:ascii="宋体" w:hAnsi="宋体" w:cs="宋体"/>
          <w:sz w:val="24"/>
          <w:szCs w:val="24"/>
          <w:lang w:eastAsia="zh-CN"/>
        </w:rPr>
        <w:t>同时</w:t>
      </w:r>
      <w:r>
        <w:rPr>
          <w:rFonts w:hint="eastAsia" w:ascii="宋体" w:hAnsi="宋体" w:cs="宋体"/>
          <w:sz w:val="24"/>
          <w:szCs w:val="24"/>
        </w:rPr>
        <w:t>加强公司信息化管理体系，提升公司生产效率和经济效益。</w:t>
      </w:r>
    </w:p>
    <w:p>
      <w:pPr>
        <w:spacing w:line="360" w:lineRule="auto"/>
        <w:ind w:firstLine="480"/>
        <w:rPr>
          <w:rFonts w:hint="eastAsia" w:ascii="宋体" w:hAnsi="宋体" w:cs="宋体"/>
          <w:sz w:val="24"/>
          <w:szCs w:val="24"/>
        </w:rPr>
      </w:pPr>
    </w:p>
    <w:p>
      <w:pPr>
        <w:spacing w:line="360" w:lineRule="auto"/>
        <w:ind w:firstLine="480"/>
        <w:rPr>
          <w:rFonts w:ascii="宋体" w:hAnsi="宋体" w:cs="宋体"/>
          <w:b/>
          <w:sz w:val="24"/>
          <w:szCs w:val="24"/>
        </w:rPr>
      </w:pPr>
      <w:r>
        <w:rPr>
          <w:rFonts w:hint="eastAsia" w:ascii="宋体" w:hAnsi="宋体" w:cs="宋体"/>
          <w:b/>
          <w:sz w:val="24"/>
          <w:szCs w:val="24"/>
        </w:rPr>
        <w:t>问题</w:t>
      </w:r>
      <w:r>
        <w:rPr>
          <w:rFonts w:hint="eastAsia" w:ascii="宋体" w:hAnsi="宋体" w:cs="宋体"/>
          <w:b/>
          <w:sz w:val="24"/>
          <w:szCs w:val="24"/>
          <w:lang w:val="en-US" w:eastAsia="zh-CN"/>
        </w:rPr>
        <w:t>7</w:t>
      </w:r>
      <w:r>
        <w:rPr>
          <w:rFonts w:hint="eastAsia" w:ascii="宋体" w:hAnsi="宋体" w:cs="宋体"/>
          <w:b/>
          <w:sz w:val="24"/>
          <w:szCs w:val="24"/>
        </w:rPr>
        <w:t>：公司对于膜业务未来前景的看法；</w:t>
      </w:r>
    </w:p>
    <w:p>
      <w:pPr>
        <w:spacing w:line="360" w:lineRule="auto"/>
        <w:ind w:firstLine="480"/>
        <w:rPr>
          <w:rFonts w:hint="eastAsia" w:ascii="宋体" w:hAnsi="宋体" w:cs="宋体"/>
          <w:sz w:val="24"/>
        </w:rPr>
      </w:pPr>
      <w:r>
        <w:rPr>
          <w:rFonts w:hint="eastAsia" w:ascii="宋体" w:hAnsi="宋体" w:cs="宋体"/>
          <w:sz w:val="24"/>
        </w:rPr>
        <w:t>随着我国的经济发展和产业升级，</w:t>
      </w:r>
      <w:r>
        <w:rPr>
          <w:rFonts w:hint="eastAsia" w:ascii="宋体" w:hAnsi="宋体" w:cs="宋体"/>
          <w:sz w:val="24"/>
          <w:lang w:eastAsia="zh-CN"/>
        </w:rPr>
        <w:t>具备较高技术含量的</w:t>
      </w:r>
      <w:r>
        <w:rPr>
          <w:rFonts w:hint="eastAsia" w:ascii="宋体" w:hAnsi="宋体" w:cs="宋体"/>
          <w:sz w:val="24"/>
        </w:rPr>
        <w:t>薄膜行业</w:t>
      </w:r>
      <w:r>
        <w:rPr>
          <w:rFonts w:hint="eastAsia" w:ascii="宋体" w:hAnsi="宋体" w:cs="宋体"/>
          <w:sz w:val="24"/>
          <w:lang w:eastAsia="zh-CN"/>
        </w:rPr>
        <w:t>将成为</w:t>
      </w:r>
      <w:r>
        <w:rPr>
          <w:rFonts w:hint="eastAsia" w:ascii="宋体" w:hAnsi="宋体" w:cs="宋体"/>
          <w:sz w:val="24"/>
        </w:rPr>
        <w:t>新材料产业的</w:t>
      </w:r>
      <w:r>
        <w:rPr>
          <w:rFonts w:hint="eastAsia" w:ascii="宋体" w:hAnsi="宋体" w:cs="宋体"/>
          <w:sz w:val="24"/>
          <w:lang w:eastAsia="zh-CN"/>
        </w:rPr>
        <w:t>重要</w:t>
      </w:r>
      <w:r>
        <w:rPr>
          <w:rFonts w:hint="eastAsia" w:ascii="宋体" w:hAnsi="宋体" w:cs="宋体"/>
          <w:sz w:val="24"/>
        </w:rPr>
        <w:t>一员，持续融合信息技术，并受益</w:t>
      </w:r>
      <w:r>
        <w:rPr>
          <w:rFonts w:hint="eastAsia" w:ascii="宋体" w:hAnsi="宋体" w:cs="宋体"/>
          <w:sz w:val="24"/>
          <w:lang w:eastAsia="zh-CN"/>
        </w:rPr>
        <w:t>于</w:t>
      </w:r>
      <w:r>
        <w:rPr>
          <w:rFonts w:hint="eastAsia" w:ascii="宋体" w:hAnsi="宋体" w:cs="宋体"/>
          <w:sz w:val="24"/>
        </w:rPr>
        <w:t>新能源、限塑令等国家层面</w:t>
      </w:r>
      <w:r>
        <w:rPr>
          <w:rFonts w:hint="eastAsia" w:ascii="宋体" w:hAnsi="宋体" w:cs="宋体"/>
          <w:sz w:val="24"/>
          <w:lang w:eastAsia="zh-CN"/>
        </w:rPr>
        <w:t>的</w:t>
      </w:r>
      <w:r>
        <w:rPr>
          <w:rFonts w:hint="eastAsia" w:ascii="宋体" w:hAnsi="宋体" w:cs="宋体"/>
          <w:sz w:val="24"/>
        </w:rPr>
        <w:t>政策，未来将迎来广阔的发展前景。</w:t>
      </w:r>
    </w:p>
    <w:p>
      <w:pPr>
        <w:spacing w:line="360" w:lineRule="auto"/>
        <w:ind w:firstLine="480"/>
        <w:rPr>
          <w:rFonts w:hint="eastAsia" w:ascii="宋体" w:hAnsi="宋体" w:cs="宋体"/>
          <w:sz w:val="24"/>
        </w:rPr>
      </w:pPr>
      <w:r>
        <w:rPr>
          <w:rFonts w:hint="eastAsia" w:ascii="宋体" w:hAnsi="宋体" w:cs="宋体"/>
          <w:sz w:val="24"/>
        </w:rPr>
        <w:t>在赛道选择方面，公司会结合战略转型的规划</w:t>
      </w:r>
      <w:r>
        <w:rPr>
          <w:rFonts w:hint="eastAsia" w:ascii="宋体" w:hAnsi="宋体" w:cs="宋体"/>
          <w:sz w:val="24"/>
          <w:lang w:eastAsia="zh-CN"/>
        </w:rPr>
        <w:t>，</w:t>
      </w:r>
      <w:r>
        <w:rPr>
          <w:rFonts w:hint="eastAsia" w:ascii="宋体" w:hAnsi="宋体" w:cs="宋体"/>
          <w:sz w:val="24"/>
          <w:lang w:val="en-US" w:eastAsia="zh-CN"/>
        </w:rPr>
        <w:t>未来将广东鑫瑞新材料科技有限公司打造成膜类新材料的集合公司，逐步脱离集团采购，全面面向市场研发、投资各类高毛利、高附加值、高景气赛道的膜类产品，</w:t>
      </w:r>
      <w:r>
        <w:rPr>
          <w:rFonts w:hint="eastAsia" w:ascii="宋体" w:hAnsi="宋体" w:cs="宋体"/>
          <w:sz w:val="24"/>
        </w:rPr>
        <w:t>布局高附加值的医药包材I类包装业务、</w:t>
      </w:r>
      <w:r>
        <w:rPr>
          <w:rFonts w:hint="eastAsia" w:ascii="宋体" w:hAnsi="宋体" w:cs="宋体"/>
          <w:sz w:val="24"/>
          <w:lang w:val="en-US" w:eastAsia="zh-CN"/>
        </w:rPr>
        <w:t>新能源膜品、</w:t>
      </w:r>
      <w:r>
        <w:rPr>
          <w:rFonts w:hint="eastAsia" w:ascii="宋体" w:hAnsi="宋体" w:cs="宋体"/>
          <w:sz w:val="24"/>
        </w:rPr>
        <w:t>PVA高阻隔涂布膜</w:t>
      </w:r>
      <w:r>
        <w:rPr>
          <w:rFonts w:hint="eastAsia" w:ascii="宋体" w:hAnsi="宋体" w:cs="宋体"/>
          <w:sz w:val="24"/>
          <w:lang w:eastAsia="zh-CN"/>
        </w:rPr>
        <w:t>等产品</w:t>
      </w:r>
      <w:r>
        <w:rPr>
          <w:rFonts w:hint="eastAsia" w:ascii="宋体" w:hAnsi="宋体" w:cs="宋体"/>
          <w:sz w:val="24"/>
        </w:rPr>
        <w:t>。未来，高端医药包装、高端食品包装等领域，</w:t>
      </w:r>
      <w:r>
        <w:rPr>
          <w:rFonts w:hint="eastAsia" w:ascii="宋体" w:hAnsi="宋体" w:cs="宋体"/>
          <w:sz w:val="24"/>
          <w:lang w:eastAsia="zh-CN"/>
        </w:rPr>
        <w:t>以</w:t>
      </w:r>
      <w:r>
        <w:rPr>
          <w:rFonts w:hint="eastAsia" w:ascii="宋体" w:hAnsi="宋体" w:cs="宋体"/>
          <w:sz w:val="24"/>
        </w:rPr>
        <w:t>及锂电池产品延伸出来的膜品类产业机会都是公司发力和转型的战略重点。</w:t>
      </w:r>
    </w:p>
    <w:p>
      <w:pPr>
        <w:spacing w:line="360" w:lineRule="auto"/>
        <w:ind w:firstLine="480"/>
        <w:rPr>
          <w:rFonts w:hint="default" w:ascii="宋体" w:hAnsi="宋体" w:eastAsia="宋体" w:cs="宋体"/>
          <w:sz w:val="24"/>
          <w:lang w:val="en-US" w:eastAsia="zh-CN"/>
        </w:rPr>
      </w:pPr>
      <w:r>
        <w:rPr>
          <w:rFonts w:hint="eastAsia" w:ascii="宋体" w:hAnsi="宋体" w:cs="宋体"/>
          <w:sz w:val="24"/>
          <w:lang w:val="en-US" w:eastAsia="zh-CN"/>
        </w:rPr>
        <w:t>目前，各类膜品新材料增长较快，未来也有望保持持续增长，公司也将加大该板块的投资、整合力度，全面提升该板块在公司的收入占比。</w:t>
      </w:r>
    </w:p>
    <w:p>
      <w:pPr>
        <w:spacing w:line="360" w:lineRule="auto"/>
        <w:ind w:firstLine="480"/>
        <w:rPr>
          <w:rFonts w:hint="eastAsia" w:ascii="宋体" w:hAnsi="宋体" w:cs="宋体"/>
          <w:sz w:val="24"/>
          <w:szCs w:val="24"/>
        </w:rPr>
      </w:pPr>
    </w:p>
    <w:p>
      <w:pPr>
        <w:spacing w:line="360" w:lineRule="auto"/>
        <w:ind w:firstLine="480"/>
        <w:rPr>
          <w:rFonts w:hint="eastAsia" w:ascii="宋体" w:hAnsi="宋体" w:cs="宋体"/>
          <w:b/>
          <w:sz w:val="24"/>
          <w:szCs w:val="24"/>
        </w:rPr>
      </w:pPr>
      <w:r>
        <w:rPr>
          <w:rFonts w:hint="eastAsia" w:ascii="宋体" w:hAnsi="宋体" w:cs="宋体"/>
          <w:b/>
          <w:sz w:val="24"/>
          <w:szCs w:val="24"/>
        </w:rPr>
        <w:t>问题</w:t>
      </w:r>
      <w:r>
        <w:rPr>
          <w:rFonts w:hint="eastAsia" w:ascii="宋体" w:hAnsi="宋体" w:cs="宋体"/>
          <w:b/>
          <w:sz w:val="24"/>
          <w:szCs w:val="24"/>
          <w:lang w:val="en-US" w:eastAsia="zh-CN"/>
        </w:rPr>
        <w:t>8</w:t>
      </w:r>
      <w:r>
        <w:rPr>
          <w:rFonts w:hint="eastAsia" w:ascii="宋体" w:hAnsi="宋体" w:cs="宋体"/>
          <w:b/>
          <w:sz w:val="24"/>
          <w:szCs w:val="24"/>
        </w:rPr>
        <w:t>：公司下属药包材</w:t>
      </w:r>
      <w:r>
        <w:rPr>
          <w:rFonts w:hint="eastAsia" w:ascii="宋体" w:hAnsi="宋体" w:cs="宋体"/>
          <w:b/>
          <w:sz w:val="24"/>
          <w:szCs w:val="24"/>
          <w:lang w:eastAsia="zh-CN"/>
        </w:rPr>
        <w:t>企业</w:t>
      </w:r>
      <w:r>
        <w:rPr>
          <w:rFonts w:hint="eastAsia" w:ascii="宋体" w:hAnsi="宋体" w:cs="宋体"/>
          <w:b/>
          <w:sz w:val="24"/>
          <w:szCs w:val="24"/>
        </w:rPr>
        <w:t>之间的协同效应如何；</w:t>
      </w:r>
    </w:p>
    <w:p>
      <w:pPr>
        <w:spacing w:line="360" w:lineRule="auto"/>
        <w:ind w:firstLine="480"/>
        <w:rPr>
          <w:rFonts w:hint="eastAsia" w:ascii="宋体" w:hAnsi="宋体" w:cs="宋体"/>
          <w:sz w:val="24"/>
          <w:szCs w:val="24"/>
        </w:rPr>
      </w:pPr>
      <w:r>
        <w:rPr>
          <w:rFonts w:hint="eastAsia" w:ascii="宋体" w:hAnsi="宋体" w:cs="宋体"/>
          <w:sz w:val="24"/>
          <w:szCs w:val="24"/>
        </w:rPr>
        <w:t>公司以并购方式切入I类药包材、辅材、医疗器械行业，2019年至2021年6月公司并购了贵州千叶、重庆首键、常州华健、福鑫华康四家I类药包材企业。因各个药包材公司拥有各自的产品结构和优势，各公司的客户可以互相嫁接，目前覆盖中国中药、华润三九、扬子江药业、以岭药业等重点客户，也为科兴中维</w:t>
      </w:r>
      <w:bookmarkStart w:id="2" w:name="_GoBack"/>
      <w:bookmarkEnd w:id="2"/>
      <w:r>
        <w:rPr>
          <w:rFonts w:hint="eastAsia" w:ascii="宋体" w:hAnsi="宋体" w:cs="宋体"/>
          <w:sz w:val="24"/>
          <w:szCs w:val="24"/>
        </w:rPr>
        <w:t>供应铝塑组合盖类的包材。</w:t>
      </w:r>
    </w:p>
    <w:p>
      <w:pPr>
        <w:spacing w:line="360" w:lineRule="auto"/>
        <w:ind w:firstLine="480"/>
        <w:rPr>
          <w:rFonts w:hint="eastAsia" w:ascii="宋体" w:hAnsi="宋体" w:cs="宋体"/>
          <w:sz w:val="24"/>
          <w:szCs w:val="24"/>
        </w:rPr>
      </w:pPr>
      <w:r>
        <w:rPr>
          <w:rFonts w:hint="eastAsia" w:ascii="宋体" w:hAnsi="宋体" w:cs="宋体"/>
          <w:sz w:val="24"/>
          <w:szCs w:val="24"/>
        </w:rPr>
        <w:t>公司关注并购标的的经营规范性，并购标的以原新三板企业为主，规范性程度较好，公司也进一步强化对其内部管理，加大投资、整合的力度，制定相应的支持政策，辅助以资金支持，帮助其实现更好的发展。此外，公司还通过设立上海东峰医药包装科技有限公司，统筹管理各个药包材子公司，利用资金、管理等方面的优势为子公司的发展赋能，提升其管理水平和业务规模，各个子公司之间也会对客户做资源嫁接和导入。各药包材子公司也正在重点发展外资药企客户，其中与阿斯利康的业务合作预计2022年一季度正式供货；与赛诺菲的业务合作已提供样品并试机通过；与拜耳的业务合作也已完成供应商前期建档等程序。所有药包材子公司均扩产扩规模拿地建厂，公司力</w:t>
      </w:r>
      <w:r>
        <w:rPr>
          <w:rFonts w:hint="eastAsia" w:ascii="宋体" w:hAnsi="宋体" w:cs="宋体"/>
          <w:sz w:val="24"/>
          <w:szCs w:val="24"/>
          <w:lang w:eastAsia="zh-CN"/>
        </w:rPr>
        <w:t>争</w:t>
      </w:r>
      <w:r>
        <w:rPr>
          <w:rFonts w:hint="eastAsia" w:ascii="宋体" w:hAnsi="宋体" w:cs="宋体"/>
          <w:sz w:val="24"/>
          <w:szCs w:val="24"/>
        </w:rPr>
        <w:t>把医药包装板块培育成公司支柱板块之一。</w:t>
      </w:r>
    </w:p>
    <w:sectPr>
      <w:headerReference r:id="rId3" w:type="default"/>
      <w:pgSz w:w="11906" w:h="16838"/>
      <w:pgMar w:top="1247" w:right="1701" w:bottom="1247"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w:drawing>
        <wp:inline distT="0" distB="0" distL="0" distR="0">
          <wp:extent cx="374015" cy="309245"/>
          <wp:effectExtent l="0" t="0" r="6985" b="14605"/>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74015" cy="3092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25D9"/>
    <w:rsid w:val="000C4692"/>
    <w:rsid w:val="000E522E"/>
    <w:rsid w:val="00112AB6"/>
    <w:rsid w:val="00126B56"/>
    <w:rsid w:val="00172A27"/>
    <w:rsid w:val="001A2884"/>
    <w:rsid w:val="001A4A5E"/>
    <w:rsid w:val="001A62E1"/>
    <w:rsid w:val="001C4AEA"/>
    <w:rsid w:val="001E10A5"/>
    <w:rsid w:val="001F18C3"/>
    <w:rsid w:val="00232612"/>
    <w:rsid w:val="00232774"/>
    <w:rsid w:val="00264A53"/>
    <w:rsid w:val="002A6C88"/>
    <w:rsid w:val="002B2E3E"/>
    <w:rsid w:val="002E7FD1"/>
    <w:rsid w:val="00304696"/>
    <w:rsid w:val="00310835"/>
    <w:rsid w:val="00372685"/>
    <w:rsid w:val="00376197"/>
    <w:rsid w:val="003F5C64"/>
    <w:rsid w:val="00417A39"/>
    <w:rsid w:val="00422726"/>
    <w:rsid w:val="00445CBF"/>
    <w:rsid w:val="004473B9"/>
    <w:rsid w:val="0047658F"/>
    <w:rsid w:val="004B1A4D"/>
    <w:rsid w:val="004B346A"/>
    <w:rsid w:val="004F0967"/>
    <w:rsid w:val="0050495B"/>
    <w:rsid w:val="00534E4E"/>
    <w:rsid w:val="00535D5F"/>
    <w:rsid w:val="00553AE2"/>
    <w:rsid w:val="005B7ECA"/>
    <w:rsid w:val="005D592F"/>
    <w:rsid w:val="00631884"/>
    <w:rsid w:val="006462E7"/>
    <w:rsid w:val="00656471"/>
    <w:rsid w:val="00666D09"/>
    <w:rsid w:val="006753D3"/>
    <w:rsid w:val="00685C7F"/>
    <w:rsid w:val="0070753E"/>
    <w:rsid w:val="007A0825"/>
    <w:rsid w:val="007A44AD"/>
    <w:rsid w:val="00840AA5"/>
    <w:rsid w:val="008554FD"/>
    <w:rsid w:val="00856715"/>
    <w:rsid w:val="008D0ED9"/>
    <w:rsid w:val="0097381A"/>
    <w:rsid w:val="0098410A"/>
    <w:rsid w:val="009B1F5A"/>
    <w:rsid w:val="009C09B9"/>
    <w:rsid w:val="00A123F3"/>
    <w:rsid w:val="00A16817"/>
    <w:rsid w:val="00A24686"/>
    <w:rsid w:val="00AA0E89"/>
    <w:rsid w:val="00AA4582"/>
    <w:rsid w:val="00AE5E3F"/>
    <w:rsid w:val="00AE6B3C"/>
    <w:rsid w:val="00B210A0"/>
    <w:rsid w:val="00B54C2A"/>
    <w:rsid w:val="00B873A0"/>
    <w:rsid w:val="00BB2650"/>
    <w:rsid w:val="00BC1A6F"/>
    <w:rsid w:val="00BF3263"/>
    <w:rsid w:val="00C004C4"/>
    <w:rsid w:val="00C14A62"/>
    <w:rsid w:val="00C5660E"/>
    <w:rsid w:val="00C8354C"/>
    <w:rsid w:val="00C91D9D"/>
    <w:rsid w:val="00CC22AF"/>
    <w:rsid w:val="00CF12AD"/>
    <w:rsid w:val="00D337C2"/>
    <w:rsid w:val="00DA2E03"/>
    <w:rsid w:val="00E36B7A"/>
    <w:rsid w:val="00E73A44"/>
    <w:rsid w:val="00E802B5"/>
    <w:rsid w:val="00EA7C8D"/>
    <w:rsid w:val="00EB7D05"/>
    <w:rsid w:val="00F003E3"/>
    <w:rsid w:val="00F0107D"/>
    <w:rsid w:val="00F12636"/>
    <w:rsid w:val="00F15BAE"/>
    <w:rsid w:val="00F32770"/>
    <w:rsid w:val="00F77BDE"/>
    <w:rsid w:val="00F956EC"/>
    <w:rsid w:val="00FD7879"/>
    <w:rsid w:val="013D2858"/>
    <w:rsid w:val="01724A8F"/>
    <w:rsid w:val="024D6E23"/>
    <w:rsid w:val="03106892"/>
    <w:rsid w:val="03730A5A"/>
    <w:rsid w:val="04003215"/>
    <w:rsid w:val="04133A6C"/>
    <w:rsid w:val="0427700A"/>
    <w:rsid w:val="04385AD2"/>
    <w:rsid w:val="044E346C"/>
    <w:rsid w:val="0573664B"/>
    <w:rsid w:val="05A753CA"/>
    <w:rsid w:val="0631111C"/>
    <w:rsid w:val="06793639"/>
    <w:rsid w:val="0760728C"/>
    <w:rsid w:val="08252348"/>
    <w:rsid w:val="086014DB"/>
    <w:rsid w:val="08D003E7"/>
    <w:rsid w:val="08FE4075"/>
    <w:rsid w:val="09135B3A"/>
    <w:rsid w:val="09717BAF"/>
    <w:rsid w:val="0AD574F0"/>
    <w:rsid w:val="0B17144E"/>
    <w:rsid w:val="0BD957E8"/>
    <w:rsid w:val="0C667636"/>
    <w:rsid w:val="0C7B1096"/>
    <w:rsid w:val="0D141AD1"/>
    <w:rsid w:val="0D6046E4"/>
    <w:rsid w:val="0DEB300A"/>
    <w:rsid w:val="0E49585B"/>
    <w:rsid w:val="0F3357DD"/>
    <w:rsid w:val="0F6938D1"/>
    <w:rsid w:val="10DE4C48"/>
    <w:rsid w:val="10E34D2F"/>
    <w:rsid w:val="111F14A2"/>
    <w:rsid w:val="11610C55"/>
    <w:rsid w:val="11AB484D"/>
    <w:rsid w:val="11B879CA"/>
    <w:rsid w:val="12F13777"/>
    <w:rsid w:val="133D3ACC"/>
    <w:rsid w:val="14551A36"/>
    <w:rsid w:val="14D47C1A"/>
    <w:rsid w:val="14D86233"/>
    <w:rsid w:val="15867CA0"/>
    <w:rsid w:val="15F16259"/>
    <w:rsid w:val="16521FAD"/>
    <w:rsid w:val="168A3997"/>
    <w:rsid w:val="16C23066"/>
    <w:rsid w:val="16CE7D40"/>
    <w:rsid w:val="172925E2"/>
    <w:rsid w:val="1772339F"/>
    <w:rsid w:val="18914C3F"/>
    <w:rsid w:val="189A5020"/>
    <w:rsid w:val="18DD273D"/>
    <w:rsid w:val="194B135B"/>
    <w:rsid w:val="1973121F"/>
    <w:rsid w:val="1A303483"/>
    <w:rsid w:val="1B461994"/>
    <w:rsid w:val="1B463995"/>
    <w:rsid w:val="1BA877E0"/>
    <w:rsid w:val="1BF43A0A"/>
    <w:rsid w:val="1C4373D9"/>
    <w:rsid w:val="1C896F7F"/>
    <w:rsid w:val="1C9C52F2"/>
    <w:rsid w:val="1CDD34FA"/>
    <w:rsid w:val="1D8737F7"/>
    <w:rsid w:val="1DCE3119"/>
    <w:rsid w:val="1E2D1559"/>
    <w:rsid w:val="1E425C21"/>
    <w:rsid w:val="1EA43D54"/>
    <w:rsid w:val="1EB1087B"/>
    <w:rsid w:val="1EB17192"/>
    <w:rsid w:val="1F1D0E6C"/>
    <w:rsid w:val="1F806BA9"/>
    <w:rsid w:val="1FB00A6C"/>
    <w:rsid w:val="20384594"/>
    <w:rsid w:val="2088394C"/>
    <w:rsid w:val="21A75215"/>
    <w:rsid w:val="21ED53E8"/>
    <w:rsid w:val="22442647"/>
    <w:rsid w:val="22624F25"/>
    <w:rsid w:val="22BC5250"/>
    <w:rsid w:val="24AC20E1"/>
    <w:rsid w:val="24BA2288"/>
    <w:rsid w:val="2589494A"/>
    <w:rsid w:val="25E152B2"/>
    <w:rsid w:val="264B630A"/>
    <w:rsid w:val="2732333B"/>
    <w:rsid w:val="276D0396"/>
    <w:rsid w:val="2780616E"/>
    <w:rsid w:val="289C4CA3"/>
    <w:rsid w:val="289C503B"/>
    <w:rsid w:val="28F13830"/>
    <w:rsid w:val="29B13924"/>
    <w:rsid w:val="29C06FBC"/>
    <w:rsid w:val="29DA62CC"/>
    <w:rsid w:val="29EF7F65"/>
    <w:rsid w:val="29FD740E"/>
    <w:rsid w:val="2A592E5D"/>
    <w:rsid w:val="2A8C4C03"/>
    <w:rsid w:val="2ABC42C0"/>
    <w:rsid w:val="2B0624FA"/>
    <w:rsid w:val="2B322CED"/>
    <w:rsid w:val="2B6250A9"/>
    <w:rsid w:val="2B805052"/>
    <w:rsid w:val="2C135C60"/>
    <w:rsid w:val="2C3A22AF"/>
    <w:rsid w:val="2D73076D"/>
    <w:rsid w:val="2DD22EBE"/>
    <w:rsid w:val="2E110A87"/>
    <w:rsid w:val="2E846A2B"/>
    <w:rsid w:val="2F8A0595"/>
    <w:rsid w:val="2FC21832"/>
    <w:rsid w:val="30164EB0"/>
    <w:rsid w:val="30E62429"/>
    <w:rsid w:val="31DB0B73"/>
    <w:rsid w:val="32786260"/>
    <w:rsid w:val="32E51115"/>
    <w:rsid w:val="32F261F5"/>
    <w:rsid w:val="32FC2ECF"/>
    <w:rsid w:val="334C4297"/>
    <w:rsid w:val="33686767"/>
    <w:rsid w:val="33895C42"/>
    <w:rsid w:val="33F12147"/>
    <w:rsid w:val="34546DA0"/>
    <w:rsid w:val="3473507F"/>
    <w:rsid w:val="34B92376"/>
    <w:rsid w:val="34CA4677"/>
    <w:rsid w:val="35323CFF"/>
    <w:rsid w:val="354C7066"/>
    <w:rsid w:val="35D26759"/>
    <w:rsid w:val="362A5BDC"/>
    <w:rsid w:val="362F3ED5"/>
    <w:rsid w:val="365B55EE"/>
    <w:rsid w:val="374E19F9"/>
    <w:rsid w:val="379A7729"/>
    <w:rsid w:val="38F3482A"/>
    <w:rsid w:val="391C3CA9"/>
    <w:rsid w:val="39336FDD"/>
    <w:rsid w:val="39852E6A"/>
    <w:rsid w:val="3ABE7045"/>
    <w:rsid w:val="3C455785"/>
    <w:rsid w:val="3C533AB2"/>
    <w:rsid w:val="3C883738"/>
    <w:rsid w:val="3CA211A3"/>
    <w:rsid w:val="3CE1014C"/>
    <w:rsid w:val="3CF1727B"/>
    <w:rsid w:val="3D246AF8"/>
    <w:rsid w:val="3D39671F"/>
    <w:rsid w:val="3D71621E"/>
    <w:rsid w:val="3D7528C5"/>
    <w:rsid w:val="3D7535FC"/>
    <w:rsid w:val="3DAC71CD"/>
    <w:rsid w:val="3DF4539F"/>
    <w:rsid w:val="3E5800B6"/>
    <w:rsid w:val="3F9F62C0"/>
    <w:rsid w:val="3FCB6281"/>
    <w:rsid w:val="40445414"/>
    <w:rsid w:val="40483F99"/>
    <w:rsid w:val="4065108C"/>
    <w:rsid w:val="41360CB2"/>
    <w:rsid w:val="42520745"/>
    <w:rsid w:val="427C086D"/>
    <w:rsid w:val="435B4B3C"/>
    <w:rsid w:val="439B285E"/>
    <w:rsid w:val="43B6162D"/>
    <w:rsid w:val="43C716C9"/>
    <w:rsid w:val="44330C34"/>
    <w:rsid w:val="448F6618"/>
    <w:rsid w:val="457B2EF8"/>
    <w:rsid w:val="45AE77AD"/>
    <w:rsid w:val="45B52E90"/>
    <w:rsid w:val="45D627F9"/>
    <w:rsid w:val="4601797D"/>
    <w:rsid w:val="46113492"/>
    <w:rsid w:val="47873A78"/>
    <w:rsid w:val="47FA57F7"/>
    <w:rsid w:val="48972F57"/>
    <w:rsid w:val="48A62C0C"/>
    <w:rsid w:val="4906437F"/>
    <w:rsid w:val="49124B6C"/>
    <w:rsid w:val="49583390"/>
    <w:rsid w:val="49AB11D2"/>
    <w:rsid w:val="49C62122"/>
    <w:rsid w:val="4A365EF6"/>
    <w:rsid w:val="4A8A7176"/>
    <w:rsid w:val="4B502977"/>
    <w:rsid w:val="4B6D0E20"/>
    <w:rsid w:val="4C2B503E"/>
    <w:rsid w:val="4C314F11"/>
    <w:rsid w:val="4C4E5785"/>
    <w:rsid w:val="4C543E5A"/>
    <w:rsid w:val="4C7350DA"/>
    <w:rsid w:val="4D9A7EC1"/>
    <w:rsid w:val="4E927308"/>
    <w:rsid w:val="4ED81DB9"/>
    <w:rsid w:val="4F5F5109"/>
    <w:rsid w:val="4FF534DD"/>
    <w:rsid w:val="4FF768ED"/>
    <w:rsid w:val="51B44061"/>
    <w:rsid w:val="51D81742"/>
    <w:rsid w:val="520C480A"/>
    <w:rsid w:val="5353486A"/>
    <w:rsid w:val="536A42EA"/>
    <w:rsid w:val="542F6E39"/>
    <w:rsid w:val="54B62AB5"/>
    <w:rsid w:val="55386357"/>
    <w:rsid w:val="55407D01"/>
    <w:rsid w:val="557B3D68"/>
    <w:rsid w:val="558C2B4A"/>
    <w:rsid w:val="55BB1D15"/>
    <w:rsid w:val="55EF71C7"/>
    <w:rsid w:val="56AB7390"/>
    <w:rsid w:val="57B11997"/>
    <w:rsid w:val="57F93D8E"/>
    <w:rsid w:val="582D510D"/>
    <w:rsid w:val="586C5909"/>
    <w:rsid w:val="58C33A6D"/>
    <w:rsid w:val="5A3B16A5"/>
    <w:rsid w:val="5B0D2022"/>
    <w:rsid w:val="5B0F6482"/>
    <w:rsid w:val="5B4A47DA"/>
    <w:rsid w:val="5BB52E0D"/>
    <w:rsid w:val="5C9859E6"/>
    <w:rsid w:val="5CC13A1A"/>
    <w:rsid w:val="5CED63C5"/>
    <w:rsid w:val="5D323EC8"/>
    <w:rsid w:val="5D5D2323"/>
    <w:rsid w:val="5DF41748"/>
    <w:rsid w:val="5E0E0FAC"/>
    <w:rsid w:val="5E2A0A50"/>
    <w:rsid w:val="5E8F3758"/>
    <w:rsid w:val="603668D5"/>
    <w:rsid w:val="60587EDB"/>
    <w:rsid w:val="60A12BBF"/>
    <w:rsid w:val="60CB6599"/>
    <w:rsid w:val="60CC411D"/>
    <w:rsid w:val="611C3700"/>
    <w:rsid w:val="61947ED9"/>
    <w:rsid w:val="61EB71AE"/>
    <w:rsid w:val="63B13AE0"/>
    <w:rsid w:val="64592510"/>
    <w:rsid w:val="64EF1DB6"/>
    <w:rsid w:val="64FA0422"/>
    <w:rsid w:val="65501F58"/>
    <w:rsid w:val="65AF5048"/>
    <w:rsid w:val="662E246E"/>
    <w:rsid w:val="664631EF"/>
    <w:rsid w:val="66880623"/>
    <w:rsid w:val="66D31729"/>
    <w:rsid w:val="681007C8"/>
    <w:rsid w:val="682555D7"/>
    <w:rsid w:val="68544455"/>
    <w:rsid w:val="68D01A6A"/>
    <w:rsid w:val="69C37F67"/>
    <w:rsid w:val="69E015A7"/>
    <w:rsid w:val="6A6848FC"/>
    <w:rsid w:val="6B9256D5"/>
    <w:rsid w:val="6C084648"/>
    <w:rsid w:val="6E075744"/>
    <w:rsid w:val="6E724C72"/>
    <w:rsid w:val="6E905002"/>
    <w:rsid w:val="6F6915AD"/>
    <w:rsid w:val="6FAE6C7E"/>
    <w:rsid w:val="70D32F6E"/>
    <w:rsid w:val="7126576F"/>
    <w:rsid w:val="71BE1284"/>
    <w:rsid w:val="71F4048F"/>
    <w:rsid w:val="71F64318"/>
    <w:rsid w:val="727E1E8E"/>
    <w:rsid w:val="72C640FB"/>
    <w:rsid w:val="72D805C1"/>
    <w:rsid w:val="72E4708A"/>
    <w:rsid w:val="72EB0D00"/>
    <w:rsid w:val="72F00A33"/>
    <w:rsid w:val="73C80071"/>
    <w:rsid w:val="741065A8"/>
    <w:rsid w:val="74544550"/>
    <w:rsid w:val="74954059"/>
    <w:rsid w:val="74EC6476"/>
    <w:rsid w:val="75241080"/>
    <w:rsid w:val="755E1551"/>
    <w:rsid w:val="757C53FD"/>
    <w:rsid w:val="760720A9"/>
    <w:rsid w:val="763027E4"/>
    <w:rsid w:val="763968C4"/>
    <w:rsid w:val="766231F8"/>
    <w:rsid w:val="76D778FE"/>
    <w:rsid w:val="76F25E95"/>
    <w:rsid w:val="78577E98"/>
    <w:rsid w:val="786D2678"/>
    <w:rsid w:val="78801330"/>
    <w:rsid w:val="78BB7B03"/>
    <w:rsid w:val="78DC1B34"/>
    <w:rsid w:val="793D0379"/>
    <w:rsid w:val="794D3B10"/>
    <w:rsid w:val="7AB14813"/>
    <w:rsid w:val="7B2406CF"/>
    <w:rsid w:val="7BB70346"/>
    <w:rsid w:val="7C2840E4"/>
    <w:rsid w:val="7D7862F8"/>
    <w:rsid w:val="7DF80BCF"/>
    <w:rsid w:val="7EA43719"/>
    <w:rsid w:val="7F38506B"/>
    <w:rsid w:val="7F8E205D"/>
    <w:rsid w:val="7FFB5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rPr>
      <w:rFonts w:ascii="Times New Roman" w:hAnsi="Times New Roman"/>
      <w:szCs w:val="24"/>
    </w:rPr>
  </w:style>
  <w:style w:type="paragraph" w:styleId="3">
    <w:name w:val="Body Text"/>
    <w:basedOn w:val="1"/>
    <w:qFormat/>
    <w:uiPriority w:val="0"/>
    <w:pPr>
      <w:spacing w:before="50"/>
      <w:ind w:left="120"/>
    </w:pPr>
    <w:rPr>
      <w:rFonts w:ascii="华文仿宋" w:hAnsi="华文仿宋" w:eastAsia="华文仿宋" w:cs="华文仿宋"/>
      <w:sz w:val="28"/>
      <w:szCs w:val="28"/>
    </w:rPr>
  </w:style>
  <w:style w:type="paragraph" w:styleId="4">
    <w:name w:val="Body Text Indent 2"/>
    <w:basedOn w:val="1"/>
    <w:qFormat/>
    <w:uiPriority w:val="0"/>
    <w:pPr>
      <w:spacing w:after="120" w:line="480" w:lineRule="auto"/>
      <w:ind w:left="420" w:leftChars="200"/>
    </w:pPr>
  </w:style>
  <w:style w:type="paragraph" w:styleId="5">
    <w:name w:val="Balloon Text"/>
    <w:basedOn w:val="1"/>
    <w:link w:val="12"/>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qFormat/>
    <w:uiPriority w:val="0"/>
    <w:rPr>
      <w:sz w:val="21"/>
      <w:szCs w:val="21"/>
    </w:rPr>
  </w:style>
  <w:style w:type="character" w:customStyle="1" w:styleId="12">
    <w:name w:val="批注框文本 Char"/>
    <w:basedOn w:val="10"/>
    <w:link w:val="5"/>
    <w:qFormat/>
    <w:uiPriority w:val="0"/>
    <w:rPr>
      <w:rFonts w:ascii="Calibri" w:hAnsi="Calibri" w:eastAsia="宋体" w:cs="Times New Roman"/>
      <w:kern w:val="2"/>
      <w:sz w:val="18"/>
      <w:szCs w:val="18"/>
    </w:rPr>
  </w:style>
  <w:style w:type="character" w:customStyle="1" w:styleId="13">
    <w:name w:val="页眉 Char"/>
    <w:basedOn w:val="10"/>
    <w:link w:val="7"/>
    <w:qFormat/>
    <w:uiPriority w:val="0"/>
    <w:rPr>
      <w:rFonts w:ascii="Calibri" w:hAnsi="Calibri" w:eastAsia="宋体" w:cs="Times New Roman"/>
      <w:kern w:val="2"/>
      <w:sz w:val="18"/>
      <w:szCs w:val="18"/>
    </w:rPr>
  </w:style>
  <w:style w:type="character" w:customStyle="1" w:styleId="14">
    <w:name w:val="页脚 Char"/>
    <w:basedOn w:val="10"/>
    <w:link w:val="6"/>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242</Words>
  <Characters>1381</Characters>
  <Lines>11</Lines>
  <Paragraphs>3</Paragraphs>
  <TotalTime>12</TotalTime>
  <ScaleCrop>false</ScaleCrop>
  <LinksUpToDate>false</LinksUpToDate>
  <CharactersWithSpaces>1620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2021-12-08T09:06:00Z</dcterms:created>
  <dc:creator>huangly</dc:creator>
  <cp:lastModifiedBy>huangly</cp:lastModifiedBy>
  <cp:lastPrinted>2017-12-11T07:49:00Z</cp:lastPrinted>
  <dcterms:modified xsi:type="dcterms:W3CDTF">2021-12-10T01:51:30Z</dcterms:modified>
  <dc:title>证券代码：601515         证券简称：东风股份       公告编号：临2016-001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8DE6B1CCC6464CE8BA5309BFFB28F145</vt:lpwstr>
  </property>
</Properties>
</file>