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E688" w14:textId="4CCCD8FA" w:rsidR="006C4A90" w:rsidRDefault="006C4A90" w:rsidP="006A1182">
      <w:pPr>
        <w:adjustRightInd w:val="0"/>
        <w:snapToGrid w:val="0"/>
        <w:spacing w:line="240" w:lineRule="atLeast"/>
        <w:ind w:leftChars="-103" w:left="-216"/>
        <w:jc w:val="center"/>
        <w:rPr>
          <w:rFonts w:eastAsia="楷体_GB2312"/>
          <w:bCs/>
          <w:color w:val="000000" w:themeColor="text1"/>
          <w:sz w:val="24"/>
          <w:szCs w:val="32"/>
        </w:rPr>
      </w:pPr>
      <w:r w:rsidRPr="00DA49CD">
        <w:rPr>
          <w:rFonts w:eastAsia="楷体_GB2312"/>
          <w:bCs/>
          <w:color w:val="000000" w:themeColor="text1"/>
          <w:sz w:val="24"/>
          <w:szCs w:val="32"/>
        </w:rPr>
        <w:t>股票代码：</w:t>
      </w:r>
      <w:r w:rsidRPr="00DA49CD">
        <w:rPr>
          <w:rFonts w:eastAsia="楷体_GB2312"/>
          <w:bCs/>
          <w:color w:val="000000" w:themeColor="text1"/>
          <w:sz w:val="24"/>
          <w:szCs w:val="32"/>
        </w:rPr>
        <w:t>603668</w:t>
      </w:r>
      <w:r>
        <w:rPr>
          <w:rFonts w:eastAsia="楷体_GB2312"/>
          <w:bCs/>
          <w:color w:val="000000" w:themeColor="text1"/>
          <w:sz w:val="24"/>
          <w:szCs w:val="32"/>
        </w:rPr>
        <w:t xml:space="preserve">                               </w:t>
      </w:r>
      <w:r w:rsidRPr="00DA49CD">
        <w:rPr>
          <w:rFonts w:eastAsia="楷体_GB2312"/>
          <w:bCs/>
          <w:color w:val="000000" w:themeColor="text1"/>
          <w:sz w:val="24"/>
          <w:szCs w:val="32"/>
        </w:rPr>
        <w:t>股票简称：天马科技</w:t>
      </w:r>
    </w:p>
    <w:p w14:paraId="2798A6C6" w14:textId="77777777" w:rsidR="006D6D31" w:rsidRPr="006C4A90" w:rsidRDefault="006D6D31" w:rsidP="00721CC1">
      <w:pPr>
        <w:adjustRightInd w:val="0"/>
        <w:snapToGrid w:val="0"/>
        <w:spacing w:line="240" w:lineRule="atLeast"/>
        <w:ind w:leftChars="-103" w:left="-216"/>
        <w:jc w:val="center"/>
        <w:rPr>
          <w:rFonts w:ascii="宋体" w:hAnsi="宋体"/>
          <w:b/>
          <w:sz w:val="32"/>
          <w:szCs w:val="32"/>
        </w:rPr>
      </w:pPr>
    </w:p>
    <w:p w14:paraId="2642B08E" w14:textId="77777777" w:rsidR="006D6D31" w:rsidRDefault="006D6D31" w:rsidP="00721CC1">
      <w:pPr>
        <w:adjustRightInd w:val="0"/>
        <w:snapToGrid w:val="0"/>
        <w:spacing w:line="360" w:lineRule="auto"/>
        <w:ind w:leftChars="-103" w:left="-216"/>
        <w:jc w:val="center"/>
        <w:rPr>
          <w:rFonts w:ascii="宋体" w:hAnsi="宋体"/>
          <w:b/>
          <w:sz w:val="32"/>
          <w:szCs w:val="32"/>
        </w:rPr>
      </w:pPr>
      <w:r w:rsidRPr="009A6D7E">
        <w:rPr>
          <w:rFonts w:ascii="宋体" w:hAnsi="宋体" w:hint="eastAsia"/>
          <w:b/>
          <w:sz w:val="32"/>
          <w:szCs w:val="32"/>
        </w:rPr>
        <w:t>福建天马科技集团股份有限公司</w:t>
      </w:r>
      <w:r>
        <w:rPr>
          <w:rFonts w:ascii="宋体" w:hAnsi="宋体" w:hint="eastAsia"/>
          <w:b/>
          <w:sz w:val="32"/>
          <w:szCs w:val="32"/>
        </w:rPr>
        <w:t>投资者关系活动记录表</w:t>
      </w:r>
    </w:p>
    <w:p w14:paraId="677BFB05" w14:textId="13946500" w:rsidR="006D6D31" w:rsidRPr="006D6D31" w:rsidRDefault="006D6D31" w:rsidP="006D6D31">
      <w:pPr>
        <w:adjustRightInd w:val="0"/>
        <w:snapToGrid w:val="0"/>
        <w:spacing w:line="360" w:lineRule="auto"/>
        <w:ind w:leftChars="-103" w:left="-216"/>
        <w:jc w:val="right"/>
        <w:rPr>
          <w:bCs/>
          <w:sz w:val="24"/>
        </w:rPr>
      </w:pPr>
      <w:r>
        <w:rPr>
          <w:rFonts w:ascii="宋体" w:hAnsi="宋体" w:cs="宋体"/>
          <w:b/>
          <w:sz w:val="24"/>
        </w:rPr>
        <w:t xml:space="preserve">                           </w:t>
      </w:r>
      <w:r w:rsidRPr="006D6D31">
        <w:rPr>
          <w:bCs/>
          <w:sz w:val="24"/>
        </w:rPr>
        <w:t>编号：</w:t>
      </w:r>
      <w:r w:rsidRPr="006D6D31">
        <w:rPr>
          <w:bCs/>
          <w:sz w:val="24"/>
        </w:rPr>
        <w:t>2021-006</w:t>
      </w:r>
    </w:p>
    <w:tbl>
      <w:tblPr>
        <w:tblStyle w:val="a7"/>
        <w:tblW w:w="8926" w:type="dxa"/>
        <w:jc w:val="center"/>
        <w:tblLook w:val="01E0" w:firstRow="1" w:lastRow="1" w:firstColumn="1" w:lastColumn="1" w:noHBand="0" w:noVBand="0"/>
      </w:tblPr>
      <w:tblGrid>
        <w:gridCol w:w="1271"/>
        <w:gridCol w:w="7655"/>
      </w:tblGrid>
      <w:tr w:rsidR="006C4A90" w14:paraId="70A44636" w14:textId="77777777" w:rsidTr="00E453B9">
        <w:trPr>
          <w:trHeight w:val="1020"/>
          <w:jc w:val="center"/>
        </w:trPr>
        <w:tc>
          <w:tcPr>
            <w:tcW w:w="1271" w:type="dxa"/>
            <w:vAlign w:val="center"/>
          </w:tcPr>
          <w:p w14:paraId="3ED20891" w14:textId="1C76A673" w:rsidR="006C4A90" w:rsidRPr="00935055" w:rsidRDefault="00935055" w:rsidP="00935055">
            <w:pPr>
              <w:rPr>
                <w:rFonts w:ascii="宋体" w:hAnsi="宋体"/>
                <w:bCs/>
                <w:sz w:val="24"/>
              </w:rPr>
            </w:pPr>
            <w:r w:rsidRPr="00935055">
              <w:rPr>
                <w:rFonts w:ascii="宋体" w:hAnsi="宋体" w:hint="eastAsia"/>
                <w:bCs/>
                <w:sz w:val="24"/>
              </w:rPr>
              <w:t>投资者关系活动类别</w:t>
            </w:r>
          </w:p>
        </w:tc>
        <w:tc>
          <w:tcPr>
            <w:tcW w:w="7655" w:type="dxa"/>
            <w:vAlign w:val="center"/>
          </w:tcPr>
          <w:p w14:paraId="0BF5F8E6" w14:textId="75FC0F6C" w:rsidR="00B9070C" w:rsidRPr="00B9070C" w:rsidRDefault="00B9070C" w:rsidP="00B9070C">
            <w:pPr>
              <w:spacing w:line="360" w:lineRule="auto"/>
              <w:rPr>
                <w:rFonts w:asciiTheme="minorEastAsia" w:eastAsiaTheme="minorEastAsia" w:hAnsiTheme="minorEastAsia"/>
                <w:sz w:val="24"/>
              </w:rPr>
            </w:pPr>
            <w:r w:rsidRPr="00B9070C">
              <w:rPr>
                <w:rFonts w:asciiTheme="minorEastAsia" w:eastAsiaTheme="minorEastAsia" w:hAnsiTheme="minorEastAsia" w:hint="eastAsia"/>
                <w:sz w:val="24"/>
              </w:rPr>
              <w:t>√ 特定对象调研</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B9070C">
              <w:rPr>
                <w:rFonts w:asciiTheme="minorEastAsia" w:eastAsiaTheme="minorEastAsia" w:hAnsiTheme="minorEastAsia" w:hint="eastAsia"/>
                <w:sz w:val="24"/>
              </w:rPr>
              <w:t xml:space="preserve">□ </w:t>
            </w:r>
            <w:r w:rsidRPr="00B9070C">
              <w:rPr>
                <w:rFonts w:asciiTheme="minorEastAsia" w:eastAsiaTheme="minorEastAsia" w:hAnsiTheme="minorEastAsia"/>
                <w:sz w:val="24"/>
              </w:rPr>
              <w:t>分析师会议</w:t>
            </w:r>
          </w:p>
          <w:p w14:paraId="765A46EC" w14:textId="36880028" w:rsidR="00B9070C" w:rsidRPr="00B9070C" w:rsidRDefault="00B9070C" w:rsidP="00B9070C">
            <w:pPr>
              <w:spacing w:line="360" w:lineRule="auto"/>
              <w:rPr>
                <w:rFonts w:asciiTheme="minorEastAsia" w:eastAsiaTheme="minorEastAsia" w:hAnsiTheme="minorEastAsia"/>
                <w:sz w:val="24"/>
              </w:rPr>
            </w:pPr>
            <w:r w:rsidRPr="00B9070C">
              <w:rPr>
                <w:rFonts w:asciiTheme="minorEastAsia" w:eastAsiaTheme="minorEastAsia" w:hAnsiTheme="minorEastAsia" w:hint="eastAsia"/>
                <w:sz w:val="24"/>
              </w:rPr>
              <w:t>□ 媒体采访</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B9070C">
              <w:rPr>
                <w:rFonts w:asciiTheme="minorEastAsia" w:eastAsiaTheme="minorEastAsia" w:hAnsiTheme="minorEastAsia" w:hint="eastAsia"/>
                <w:sz w:val="24"/>
              </w:rPr>
              <w:t xml:space="preserve">□ </w:t>
            </w:r>
            <w:r w:rsidRPr="00B9070C">
              <w:rPr>
                <w:rFonts w:asciiTheme="minorEastAsia" w:eastAsiaTheme="minorEastAsia" w:hAnsiTheme="minorEastAsia"/>
                <w:sz w:val="24"/>
              </w:rPr>
              <w:t>业绩说明会</w:t>
            </w:r>
          </w:p>
          <w:p w14:paraId="005FD4DB" w14:textId="4757E943" w:rsidR="00B9070C" w:rsidRPr="00B9070C" w:rsidRDefault="00B9070C" w:rsidP="00B9070C">
            <w:pPr>
              <w:spacing w:line="360" w:lineRule="auto"/>
              <w:rPr>
                <w:rFonts w:asciiTheme="minorEastAsia" w:eastAsiaTheme="minorEastAsia" w:hAnsiTheme="minorEastAsia"/>
                <w:sz w:val="24"/>
              </w:rPr>
            </w:pPr>
            <w:r w:rsidRPr="00B9070C">
              <w:rPr>
                <w:rFonts w:asciiTheme="minorEastAsia" w:eastAsiaTheme="minorEastAsia" w:hAnsiTheme="minorEastAsia" w:hint="eastAsia"/>
                <w:sz w:val="24"/>
              </w:rPr>
              <w:t>□ 新闻发布会</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B9070C">
              <w:rPr>
                <w:rFonts w:asciiTheme="minorEastAsia" w:eastAsiaTheme="minorEastAsia" w:hAnsiTheme="minorEastAsia"/>
                <w:sz w:val="24"/>
              </w:rPr>
              <w:t>□ 路演活动</w:t>
            </w:r>
          </w:p>
          <w:p w14:paraId="7775989E" w14:textId="77777777" w:rsidR="00B9070C" w:rsidRPr="00B9070C" w:rsidRDefault="00B9070C" w:rsidP="00B9070C">
            <w:pPr>
              <w:spacing w:line="360" w:lineRule="auto"/>
              <w:rPr>
                <w:rFonts w:asciiTheme="minorEastAsia" w:eastAsiaTheme="minorEastAsia" w:hAnsiTheme="minorEastAsia"/>
                <w:sz w:val="24"/>
              </w:rPr>
            </w:pPr>
            <w:r w:rsidRPr="00B9070C">
              <w:rPr>
                <w:rFonts w:asciiTheme="minorEastAsia" w:eastAsiaTheme="minorEastAsia" w:hAnsiTheme="minorEastAsia" w:hint="eastAsia"/>
                <w:sz w:val="24"/>
              </w:rPr>
              <w:t>□ 现场参观</w:t>
            </w:r>
          </w:p>
          <w:p w14:paraId="1A9F69A3" w14:textId="6D883B91" w:rsidR="00B9070C" w:rsidRPr="00B9070C" w:rsidRDefault="00B9070C" w:rsidP="00B9070C">
            <w:pPr>
              <w:spacing w:line="360" w:lineRule="auto"/>
            </w:pPr>
            <w:r w:rsidRPr="00B9070C">
              <w:rPr>
                <w:rFonts w:asciiTheme="minorEastAsia" w:eastAsiaTheme="minorEastAsia" w:hAnsiTheme="minorEastAsia" w:hint="eastAsia"/>
                <w:sz w:val="24"/>
              </w:rPr>
              <w:t>□</w:t>
            </w:r>
            <w:r w:rsidRPr="00B9070C">
              <w:rPr>
                <w:rFonts w:asciiTheme="minorEastAsia" w:eastAsiaTheme="minorEastAsia" w:hAnsiTheme="minorEastAsia"/>
                <w:sz w:val="24"/>
              </w:rPr>
              <w:t xml:space="preserve"> 其他</w:t>
            </w:r>
            <w:r w:rsidRPr="009911AE">
              <w:rPr>
                <w:rFonts w:asciiTheme="minorEastAsia" w:eastAsiaTheme="minorEastAsia" w:hAnsiTheme="minorEastAsia"/>
                <w:sz w:val="24"/>
                <w:u w:val="single"/>
              </w:rPr>
              <w:t>（请文字说明其他活动内容）</w:t>
            </w:r>
          </w:p>
        </w:tc>
      </w:tr>
      <w:tr w:rsidR="00B9070C" w14:paraId="5C21D33D" w14:textId="77777777" w:rsidTr="00E453B9">
        <w:trPr>
          <w:trHeight w:val="698"/>
          <w:jc w:val="center"/>
        </w:trPr>
        <w:tc>
          <w:tcPr>
            <w:tcW w:w="1271" w:type="dxa"/>
            <w:vAlign w:val="center"/>
          </w:tcPr>
          <w:p w14:paraId="141B5C12" w14:textId="6E56F9B5" w:rsidR="00B9070C" w:rsidRPr="00935055" w:rsidRDefault="00935055" w:rsidP="00935055">
            <w:pPr>
              <w:rPr>
                <w:rFonts w:ascii="宋体" w:hAnsi="宋体"/>
                <w:bCs/>
                <w:sz w:val="24"/>
              </w:rPr>
            </w:pPr>
            <w:r w:rsidRPr="00935055">
              <w:rPr>
                <w:rFonts w:ascii="宋体" w:hAnsi="宋体" w:hint="eastAsia"/>
                <w:bCs/>
                <w:sz w:val="24"/>
              </w:rPr>
              <w:t>参与单位名称及人员姓名</w:t>
            </w:r>
          </w:p>
        </w:tc>
        <w:tc>
          <w:tcPr>
            <w:tcW w:w="7655" w:type="dxa"/>
            <w:vAlign w:val="center"/>
          </w:tcPr>
          <w:p w14:paraId="78A7E5A5" w14:textId="58913CD9" w:rsidR="00B9070C" w:rsidRPr="0028477D" w:rsidRDefault="00935055" w:rsidP="00935055">
            <w:pPr>
              <w:jc w:val="left"/>
              <w:rPr>
                <w:rFonts w:ascii="宋体" w:hAnsi="宋体"/>
                <w:sz w:val="24"/>
              </w:rPr>
            </w:pPr>
            <w:r w:rsidRPr="00935055">
              <w:rPr>
                <w:rFonts w:ascii="宋体" w:hAnsi="宋体" w:hint="eastAsia"/>
                <w:sz w:val="24"/>
              </w:rPr>
              <w:t>招商基金</w:t>
            </w:r>
            <w:r w:rsidR="00E453B9" w:rsidRPr="00E453B9">
              <w:rPr>
                <w:rFonts w:ascii="宋体" w:hAnsi="宋体" w:hint="eastAsia"/>
                <w:sz w:val="24"/>
              </w:rPr>
              <w:t>基金经理</w:t>
            </w:r>
            <w:r w:rsidRPr="00935055">
              <w:rPr>
                <w:rFonts w:ascii="宋体" w:hAnsi="宋体" w:hint="eastAsia"/>
                <w:sz w:val="24"/>
              </w:rPr>
              <w:t>王垠</w:t>
            </w:r>
            <w:r w:rsidR="00E453B9" w:rsidRPr="00656ABA">
              <w:rPr>
                <w:sz w:val="24"/>
              </w:rPr>
              <w:t>先生</w:t>
            </w:r>
            <w:r w:rsidR="00801B31">
              <w:rPr>
                <w:rFonts w:hint="eastAsia"/>
                <w:sz w:val="24"/>
              </w:rPr>
              <w:t>，</w:t>
            </w:r>
            <w:r w:rsidR="00E453B9" w:rsidRPr="00656ABA">
              <w:rPr>
                <w:sz w:val="24"/>
              </w:rPr>
              <w:t>华泰证券农业首席分析师杨天明先生</w:t>
            </w:r>
            <w:r w:rsidR="00E453B9">
              <w:rPr>
                <w:rFonts w:hint="eastAsia"/>
                <w:sz w:val="24"/>
              </w:rPr>
              <w:t>。</w:t>
            </w:r>
          </w:p>
        </w:tc>
      </w:tr>
      <w:tr w:rsidR="00935055" w14:paraId="67C97EFF" w14:textId="77777777" w:rsidTr="00E453B9">
        <w:trPr>
          <w:trHeight w:val="698"/>
          <w:jc w:val="center"/>
        </w:trPr>
        <w:tc>
          <w:tcPr>
            <w:tcW w:w="1271" w:type="dxa"/>
            <w:vAlign w:val="center"/>
          </w:tcPr>
          <w:p w14:paraId="31910B27" w14:textId="3E21F31A" w:rsidR="00935055" w:rsidRPr="00935055" w:rsidRDefault="00935055" w:rsidP="00935055">
            <w:pPr>
              <w:rPr>
                <w:rFonts w:ascii="宋体" w:hAnsi="宋体"/>
                <w:bCs/>
                <w:sz w:val="24"/>
              </w:rPr>
            </w:pPr>
            <w:r w:rsidRPr="00935055">
              <w:rPr>
                <w:rFonts w:ascii="宋体" w:hAnsi="宋体" w:hint="eastAsia"/>
                <w:bCs/>
                <w:sz w:val="24"/>
              </w:rPr>
              <w:t>时间</w:t>
            </w:r>
          </w:p>
        </w:tc>
        <w:tc>
          <w:tcPr>
            <w:tcW w:w="7655" w:type="dxa"/>
            <w:vAlign w:val="center"/>
          </w:tcPr>
          <w:p w14:paraId="2465931D" w14:textId="5B5F4AB7" w:rsidR="00935055" w:rsidRPr="00935055" w:rsidRDefault="00935055" w:rsidP="00935055">
            <w:pPr>
              <w:rPr>
                <w:rFonts w:ascii="宋体" w:hAnsi="宋体"/>
                <w:sz w:val="24"/>
              </w:rPr>
            </w:pPr>
            <w:r w:rsidRPr="0028477D">
              <w:rPr>
                <w:sz w:val="24"/>
              </w:rPr>
              <w:t>20</w:t>
            </w:r>
            <w:r>
              <w:rPr>
                <w:rFonts w:hint="eastAsia"/>
                <w:sz w:val="24"/>
              </w:rPr>
              <w:t>2</w:t>
            </w:r>
            <w:r>
              <w:rPr>
                <w:sz w:val="24"/>
              </w:rPr>
              <w:t>1</w:t>
            </w:r>
            <w:r w:rsidRPr="0028477D">
              <w:rPr>
                <w:rFonts w:hAnsi="宋体"/>
                <w:sz w:val="24"/>
              </w:rPr>
              <w:t>年</w:t>
            </w:r>
            <w:r>
              <w:rPr>
                <w:sz w:val="24"/>
              </w:rPr>
              <w:t>1</w:t>
            </w:r>
            <w:r>
              <w:rPr>
                <w:rFonts w:hint="eastAsia"/>
                <w:sz w:val="24"/>
              </w:rPr>
              <w:t>2</w:t>
            </w:r>
            <w:r w:rsidRPr="0028477D">
              <w:rPr>
                <w:rFonts w:hAnsi="宋体"/>
                <w:sz w:val="24"/>
              </w:rPr>
              <w:t>月</w:t>
            </w:r>
            <w:r>
              <w:rPr>
                <w:rFonts w:hAnsi="宋体" w:hint="eastAsia"/>
                <w:sz w:val="24"/>
              </w:rPr>
              <w:t>22</w:t>
            </w:r>
            <w:r w:rsidRPr="0028477D">
              <w:rPr>
                <w:rFonts w:hAnsi="宋体"/>
                <w:sz w:val="24"/>
              </w:rPr>
              <w:t>日</w:t>
            </w:r>
            <w:r w:rsidRPr="00002118">
              <w:rPr>
                <w:sz w:val="24"/>
              </w:rPr>
              <w:t>1</w:t>
            </w:r>
            <w:r>
              <w:rPr>
                <w:rFonts w:hint="eastAsia"/>
                <w:sz w:val="24"/>
              </w:rPr>
              <w:t>5</w:t>
            </w:r>
            <w:r w:rsidRPr="00002118">
              <w:rPr>
                <w:sz w:val="24"/>
              </w:rPr>
              <w:t>:</w:t>
            </w:r>
            <w:r>
              <w:rPr>
                <w:rFonts w:hint="eastAsia"/>
                <w:sz w:val="24"/>
              </w:rPr>
              <w:t>0</w:t>
            </w:r>
            <w:r w:rsidRPr="00002118">
              <w:rPr>
                <w:rFonts w:hint="eastAsia"/>
                <w:sz w:val="24"/>
              </w:rPr>
              <w:t>0</w:t>
            </w:r>
            <w:r w:rsidRPr="00002118">
              <w:rPr>
                <w:rFonts w:hAnsi="宋体"/>
                <w:sz w:val="24"/>
              </w:rPr>
              <w:t>至</w:t>
            </w:r>
            <w:r w:rsidR="003C47A9" w:rsidRPr="00002118">
              <w:rPr>
                <w:sz w:val="24"/>
              </w:rPr>
              <w:t>1</w:t>
            </w:r>
            <w:r w:rsidR="003C47A9">
              <w:rPr>
                <w:rFonts w:hint="eastAsia"/>
                <w:sz w:val="24"/>
              </w:rPr>
              <w:t>5</w:t>
            </w:r>
            <w:r w:rsidR="003C47A9" w:rsidRPr="00002118">
              <w:rPr>
                <w:sz w:val="24"/>
              </w:rPr>
              <w:t>:</w:t>
            </w:r>
            <w:r w:rsidR="003C47A9">
              <w:rPr>
                <w:rFonts w:hint="eastAsia"/>
                <w:sz w:val="24"/>
              </w:rPr>
              <w:t>4</w:t>
            </w:r>
            <w:r w:rsidR="003C47A9" w:rsidRPr="00002118">
              <w:rPr>
                <w:rFonts w:hint="eastAsia"/>
                <w:sz w:val="24"/>
              </w:rPr>
              <w:t>0</w:t>
            </w:r>
          </w:p>
        </w:tc>
      </w:tr>
      <w:tr w:rsidR="00935055" w14:paraId="01EBCDDC" w14:textId="77777777" w:rsidTr="00E453B9">
        <w:trPr>
          <w:trHeight w:val="698"/>
          <w:jc w:val="center"/>
        </w:trPr>
        <w:tc>
          <w:tcPr>
            <w:tcW w:w="1271" w:type="dxa"/>
            <w:vAlign w:val="center"/>
          </w:tcPr>
          <w:p w14:paraId="5FC655FA" w14:textId="0C882101" w:rsidR="00935055" w:rsidRPr="00935055" w:rsidRDefault="00935055" w:rsidP="00935055">
            <w:pPr>
              <w:rPr>
                <w:rFonts w:ascii="宋体" w:hAnsi="宋体"/>
                <w:bCs/>
                <w:sz w:val="24"/>
              </w:rPr>
            </w:pPr>
            <w:r w:rsidRPr="00935055">
              <w:rPr>
                <w:rFonts w:ascii="宋体" w:hAnsi="宋体" w:hint="eastAsia"/>
                <w:bCs/>
                <w:sz w:val="24"/>
              </w:rPr>
              <w:t>会议方式</w:t>
            </w:r>
          </w:p>
        </w:tc>
        <w:tc>
          <w:tcPr>
            <w:tcW w:w="7655" w:type="dxa"/>
            <w:vAlign w:val="center"/>
          </w:tcPr>
          <w:p w14:paraId="56DD46A3" w14:textId="70422D1D" w:rsidR="00935055" w:rsidRPr="0028477D" w:rsidRDefault="00935055" w:rsidP="00935055">
            <w:pPr>
              <w:rPr>
                <w:sz w:val="24"/>
              </w:rPr>
            </w:pPr>
            <w:r>
              <w:rPr>
                <w:rFonts w:hint="eastAsia"/>
                <w:sz w:val="24"/>
              </w:rPr>
              <w:t>电话会议</w:t>
            </w:r>
          </w:p>
        </w:tc>
      </w:tr>
      <w:tr w:rsidR="00557E33" w14:paraId="716F54E0" w14:textId="77777777" w:rsidTr="00E453B9">
        <w:trPr>
          <w:trHeight w:val="698"/>
          <w:jc w:val="center"/>
        </w:trPr>
        <w:tc>
          <w:tcPr>
            <w:tcW w:w="1271" w:type="dxa"/>
            <w:vAlign w:val="center"/>
          </w:tcPr>
          <w:p w14:paraId="4D6A9D15" w14:textId="2D0FF154" w:rsidR="00935055" w:rsidRPr="00935055" w:rsidRDefault="00935055" w:rsidP="00935055">
            <w:pPr>
              <w:rPr>
                <w:rFonts w:ascii="宋体" w:hAnsi="宋体"/>
                <w:bCs/>
                <w:sz w:val="24"/>
              </w:rPr>
            </w:pPr>
            <w:r w:rsidRPr="00935055">
              <w:rPr>
                <w:rFonts w:ascii="宋体" w:hAnsi="宋体" w:hint="eastAsia"/>
                <w:bCs/>
                <w:sz w:val="24"/>
              </w:rPr>
              <w:t>上市公司</w:t>
            </w:r>
            <w:r w:rsidR="00943B52" w:rsidRPr="00935055">
              <w:rPr>
                <w:rFonts w:ascii="宋体" w:hAnsi="宋体" w:hint="eastAsia"/>
                <w:bCs/>
                <w:sz w:val="24"/>
              </w:rPr>
              <w:t>接待人</w:t>
            </w:r>
            <w:r w:rsidRPr="00935055">
              <w:rPr>
                <w:rFonts w:ascii="宋体" w:hAnsi="宋体" w:hint="eastAsia"/>
                <w:bCs/>
                <w:sz w:val="24"/>
              </w:rPr>
              <w:t>员姓名</w:t>
            </w:r>
          </w:p>
        </w:tc>
        <w:tc>
          <w:tcPr>
            <w:tcW w:w="7655" w:type="dxa"/>
            <w:vAlign w:val="center"/>
          </w:tcPr>
          <w:p w14:paraId="0E1908B2" w14:textId="734BDAF4" w:rsidR="00557E33" w:rsidRPr="0028477D" w:rsidRDefault="00E453B9" w:rsidP="00935055">
            <w:pPr>
              <w:jc w:val="left"/>
              <w:rPr>
                <w:rFonts w:ascii="宋体" w:hAnsi="宋体"/>
                <w:sz w:val="24"/>
              </w:rPr>
            </w:pPr>
            <w:r w:rsidRPr="0028477D">
              <w:rPr>
                <w:rFonts w:ascii="宋体" w:hAnsi="宋体" w:hint="eastAsia"/>
                <w:sz w:val="24"/>
              </w:rPr>
              <w:t>董</w:t>
            </w:r>
            <w:r>
              <w:rPr>
                <w:rFonts w:ascii="宋体" w:hAnsi="宋体" w:hint="eastAsia"/>
                <w:sz w:val="24"/>
              </w:rPr>
              <w:t>事会秘书戴文增先生</w:t>
            </w:r>
            <w:r>
              <w:rPr>
                <w:rFonts w:hint="eastAsia"/>
                <w:sz w:val="24"/>
              </w:rPr>
              <w:t>，证券事务代表李佳君女士</w:t>
            </w:r>
            <w:r>
              <w:rPr>
                <w:rFonts w:ascii="宋体" w:hAnsi="宋体" w:hint="eastAsia"/>
                <w:sz w:val="24"/>
              </w:rPr>
              <w:t>。</w:t>
            </w:r>
          </w:p>
        </w:tc>
      </w:tr>
      <w:tr w:rsidR="00557E33" w:rsidRPr="00367C18" w14:paraId="53EE5437" w14:textId="77777777" w:rsidTr="00E453B9">
        <w:trPr>
          <w:trHeight w:val="416"/>
          <w:jc w:val="center"/>
        </w:trPr>
        <w:tc>
          <w:tcPr>
            <w:tcW w:w="1271" w:type="dxa"/>
            <w:vAlign w:val="center"/>
          </w:tcPr>
          <w:p w14:paraId="5F83B4D1" w14:textId="3450CAFA" w:rsidR="00557E33" w:rsidRPr="00935055" w:rsidRDefault="00935055" w:rsidP="00935055">
            <w:pPr>
              <w:rPr>
                <w:rFonts w:ascii="宋体" w:hAnsi="宋体"/>
                <w:bCs/>
                <w:sz w:val="24"/>
              </w:rPr>
            </w:pPr>
            <w:r w:rsidRPr="00935055">
              <w:rPr>
                <w:rFonts w:ascii="宋体" w:hAnsi="宋体" w:hint="eastAsia"/>
                <w:bCs/>
                <w:sz w:val="24"/>
              </w:rPr>
              <w:t>投资者关系活动主要内容介绍</w:t>
            </w:r>
          </w:p>
        </w:tc>
        <w:tc>
          <w:tcPr>
            <w:tcW w:w="7655" w:type="dxa"/>
            <w:vAlign w:val="center"/>
          </w:tcPr>
          <w:p w14:paraId="42640AE2" w14:textId="77777777" w:rsidR="0055185D" w:rsidRPr="0055185D" w:rsidRDefault="0055185D" w:rsidP="0055185D">
            <w:pPr>
              <w:snapToGrid w:val="0"/>
              <w:spacing w:beforeLines="50" w:before="156" w:line="360" w:lineRule="auto"/>
              <w:ind w:firstLineChars="200" w:firstLine="482"/>
              <w:rPr>
                <w:b/>
                <w:bCs/>
                <w:sz w:val="24"/>
              </w:rPr>
            </w:pPr>
            <w:r w:rsidRPr="0055185D">
              <w:rPr>
                <w:b/>
                <w:bCs/>
                <w:sz w:val="24"/>
              </w:rPr>
              <w:t>1</w:t>
            </w:r>
            <w:r w:rsidRPr="0055185D">
              <w:rPr>
                <w:b/>
                <w:bCs/>
                <w:sz w:val="24"/>
              </w:rPr>
              <w:t>、请介绍下公司当前的战略规划和市场定位。</w:t>
            </w:r>
          </w:p>
          <w:p w14:paraId="13024F02" w14:textId="77777777" w:rsidR="0055185D" w:rsidRPr="00FF3154" w:rsidRDefault="0055185D" w:rsidP="0055185D">
            <w:pPr>
              <w:snapToGrid w:val="0"/>
              <w:spacing w:line="360" w:lineRule="auto"/>
              <w:ind w:firstLineChars="200" w:firstLine="480"/>
              <w:rPr>
                <w:sz w:val="24"/>
              </w:rPr>
            </w:pPr>
            <w:r w:rsidRPr="00FF3154">
              <w:rPr>
                <w:rFonts w:hint="eastAsia"/>
                <w:sz w:val="24"/>
              </w:rPr>
              <w:t>答：天马科技提出“以五年为战略性规划”的战略部署，明确了“第一个五年计划（启动年、提升年、创新年、跨越年、决胜年）”的战略定位和战略目标：以特种饲料（含禽料）、食品供应链平台为双主业，加速推进一二三产业融合发展，坚定不移地执行产业链优势战略，打造传承中华文化价值的全产业链食品供应链平台！</w:t>
            </w:r>
          </w:p>
          <w:p w14:paraId="5A9DAE1B" w14:textId="77777777" w:rsidR="0055185D" w:rsidRPr="00FF3154" w:rsidRDefault="0055185D" w:rsidP="0055185D">
            <w:pPr>
              <w:snapToGrid w:val="0"/>
              <w:spacing w:line="360" w:lineRule="auto"/>
              <w:ind w:firstLineChars="200" w:firstLine="480"/>
              <w:rPr>
                <w:sz w:val="24"/>
              </w:rPr>
            </w:pPr>
            <w:r w:rsidRPr="00FF3154">
              <w:rPr>
                <w:rFonts w:hint="eastAsia"/>
                <w:sz w:val="24"/>
              </w:rPr>
              <w:t>基于上述战略定位，公司的愿景是“打造世界领先的现代渔牧集团化企业和人类健康食品供应商”，长期发展目标为“打造传承中华文化价值的全产业链食品供应链平台”，中短期发展规划为“打造特种水产饲料行业全球最大的供应商，打造福建最大和行业领先的现代畜牧集团化企业，打造健康、美味、便捷食品的全球知名供应商”。</w:t>
            </w:r>
          </w:p>
          <w:p w14:paraId="6E2D2C5B" w14:textId="49A56A53" w:rsidR="0055185D" w:rsidRDefault="0055185D" w:rsidP="0055185D">
            <w:pPr>
              <w:snapToGrid w:val="0"/>
              <w:spacing w:line="360" w:lineRule="auto"/>
              <w:ind w:firstLineChars="200" w:firstLine="480"/>
              <w:rPr>
                <w:sz w:val="24"/>
              </w:rPr>
            </w:pPr>
            <w:r w:rsidRPr="00FF3154">
              <w:rPr>
                <w:rFonts w:hint="eastAsia"/>
                <w:sz w:val="24"/>
              </w:rPr>
              <w:t>目前，天马科技主营业务布局基本到位，一二三产业融合发展有序推进，企业得到了持续、稳定、较好、较快发展！</w:t>
            </w:r>
          </w:p>
          <w:p w14:paraId="69ECBBA8" w14:textId="77777777" w:rsidR="0055185D" w:rsidRPr="00FF3154" w:rsidRDefault="0055185D" w:rsidP="0055185D">
            <w:pPr>
              <w:snapToGrid w:val="0"/>
              <w:spacing w:line="360" w:lineRule="auto"/>
              <w:ind w:firstLineChars="200" w:firstLine="480"/>
              <w:rPr>
                <w:rFonts w:hint="eastAsia"/>
                <w:sz w:val="24"/>
              </w:rPr>
            </w:pPr>
          </w:p>
          <w:p w14:paraId="560B8423" w14:textId="77777777" w:rsidR="0055185D" w:rsidRPr="0055185D" w:rsidRDefault="0055185D" w:rsidP="0055185D">
            <w:pPr>
              <w:snapToGrid w:val="0"/>
              <w:spacing w:line="360" w:lineRule="auto"/>
              <w:ind w:firstLineChars="200" w:firstLine="482"/>
              <w:rPr>
                <w:b/>
                <w:bCs/>
                <w:sz w:val="24"/>
              </w:rPr>
            </w:pPr>
            <w:r w:rsidRPr="0055185D">
              <w:rPr>
                <w:b/>
                <w:bCs/>
                <w:sz w:val="24"/>
              </w:rPr>
              <w:t>2</w:t>
            </w:r>
            <w:r w:rsidRPr="0055185D">
              <w:rPr>
                <w:b/>
                <w:bCs/>
                <w:sz w:val="24"/>
              </w:rPr>
              <w:t>、公司目前饲料产能情况怎样。</w:t>
            </w:r>
          </w:p>
          <w:p w14:paraId="12D90DE8" w14:textId="77777777" w:rsidR="0055185D" w:rsidRPr="00FF3154" w:rsidRDefault="0055185D" w:rsidP="0055185D">
            <w:pPr>
              <w:snapToGrid w:val="0"/>
              <w:spacing w:line="360" w:lineRule="auto"/>
              <w:ind w:firstLineChars="200" w:firstLine="480"/>
              <w:rPr>
                <w:sz w:val="24"/>
              </w:rPr>
            </w:pPr>
            <w:r w:rsidRPr="00FF3154">
              <w:rPr>
                <w:rFonts w:hint="eastAsia"/>
                <w:sz w:val="24"/>
              </w:rPr>
              <w:t>答：天马科技立足特种水产业核心板块，是特种水产饲料行业龙头企业，以“打造特种水产饲料行业全球最大的供应商”为特种水产饲料板块中短期发展规划。目前，公司特种水产饲料生产线设计产能</w:t>
            </w:r>
            <w:r w:rsidRPr="00FF3154">
              <w:rPr>
                <w:sz w:val="24"/>
              </w:rPr>
              <w:t>42</w:t>
            </w:r>
            <w:r w:rsidRPr="00FF3154">
              <w:rPr>
                <w:sz w:val="24"/>
              </w:rPr>
              <w:t>万吨左右，实际产能</w:t>
            </w:r>
            <w:r w:rsidRPr="00FF3154">
              <w:rPr>
                <w:sz w:val="24"/>
              </w:rPr>
              <w:t>24</w:t>
            </w:r>
            <w:r w:rsidRPr="00FF3154">
              <w:rPr>
                <w:sz w:val="24"/>
              </w:rPr>
              <w:t>万吨左右，同时，年产</w:t>
            </w:r>
            <w:r w:rsidRPr="00FF3154">
              <w:rPr>
                <w:sz w:val="24"/>
              </w:rPr>
              <w:t>14</w:t>
            </w:r>
            <w:r w:rsidRPr="00FF3154">
              <w:rPr>
                <w:sz w:val="24"/>
              </w:rPr>
              <w:t>万吨饲料高新技术产业项目正在建设中，中短期目标是达到实际</w:t>
            </w:r>
            <w:r w:rsidRPr="00FF3154">
              <w:rPr>
                <w:sz w:val="24"/>
              </w:rPr>
              <w:t>50</w:t>
            </w:r>
            <w:r w:rsidRPr="00FF3154">
              <w:rPr>
                <w:sz w:val="24"/>
              </w:rPr>
              <w:t>万吨特种水产饲料生产能力。</w:t>
            </w:r>
          </w:p>
          <w:p w14:paraId="2BF732EE" w14:textId="39E7FD24" w:rsidR="0055185D" w:rsidRDefault="0055185D" w:rsidP="0055185D">
            <w:pPr>
              <w:snapToGrid w:val="0"/>
              <w:spacing w:line="360" w:lineRule="auto"/>
              <w:ind w:firstLineChars="200" w:firstLine="480"/>
              <w:rPr>
                <w:sz w:val="24"/>
              </w:rPr>
            </w:pPr>
            <w:r w:rsidRPr="00FF3154">
              <w:rPr>
                <w:rFonts w:hint="eastAsia"/>
                <w:sz w:val="24"/>
              </w:rPr>
              <w:t>畜禽饲料方面，华龙集团（含鑫华港）目前设计产能</w:t>
            </w:r>
            <w:r w:rsidRPr="00FF3154">
              <w:rPr>
                <w:sz w:val="24"/>
              </w:rPr>
              <w:t>180</w:t>
            </w:r>
            <w:r w:rsidRPr="00FF3154">
              <w:rPr>
                <w:sz w:val="24"/>
              </w:rPr>
              <w:t>万吨左右，实际产能</w:t>
            </w:r>
            <w:r w:rsidRPr="00FF3154">
              <w:rPr>
                <w:sz w:val="24"/>
              </w:rPr>
              <w:t>150</w:t>
            </w:r>
            <w:r w:rsidRPr="00FF3154">
              <w:rPr>
                <w:sz w:val="24"/>
              </w:rPr>
              <w:t>万吨左右。目前畜禽料的区域分布主要在福建省内，未来要向省外延伸拓展。</w:t>
            </w:r>
          </w:p>
          <w:p w14:paraId="13E71124" w14:textId="77777777" w:rsidR="0055185D" w:rsidRPr="00FF3154" w:rsidRDefault="0055185D" w:rsidP="0055185D">
            <w:pPr>
              <w:snapToGrid w:val="0"/>
              <w:spacing w:line="360" w:lineRule="auto"/>
              <w:ind w:firstLineChars="200" w:firstLine="480"/>
              <w:rPr>
                <w:rFonts w:hint="eastAsia"/>
                <w:sz w:val="24"/>
              </w:rPr>
            </w:pPr>
          </w:p>
          <w:p w14:paraId="4569B066" w14:textId="77777777" w:rsidR="0055185D" w:rsidRPr="0055185D" w:rsidRDefault="0055185D" w:rsidP="0055185D">
            <w:pPr>
              <w:snapToGrid w:val="0"/>
              <w:spacing w:line="360" w:lineRule="auto"/>
              <w:ind w:firstLineChars="200" w:firstLine="482"/>
              <w:rPr>
                <w:b/>
                <w:bCs/>
                <w:sz w:val="24"/>
              </w:rPr>
            </w:pPr>
            <w:r w:rsidRPr="0055185D">
              <w:rPr>
                <w:b/>
                <w:bCs/>
                <w:sz w:val="24"/>
              </w:rPr>
              <w:t>3</w:t>
            </w:r>
            <w:r w:rsidRPr="0055185D">
              <w:rPr>
                <w:b/>
                <w:bCs/>
                <w:sz w:val="24"/>
              </w:rPr>
              <w:t>、市场饲料价格和原料价格的上涨，对公司的影响如何。</w:t>
            </w:r>
          </w:p>
          <w:p w14:paraId="02A10E07" w14:textId="22895B5C" w:rsidR="0055185D" w:rsidRDefault="0055185D" w:rsidP="0055185D">
            <w:pPr>
              <w:snapToGrid w:val="0"/>
              <w:spacing w:line="360" w:lineRule="auto"/>
              <w:ind w:firstLineChars="200" w:firstLine="480"/>
              <w:rPr>
                <w:sz w:val="24"/>
              </w:rPr>
            </w:pPr>
            <w:r w:rsidRPr="00FF3154">
              <w:rPr>
                <w:rFonts w:hint="eastAsia"/>
                <w:sz w:val="24"/>
              </w:rPr>
              <w:t>答：公司对饲料生产经营所需的豆粕、菜粕、豆油、强麦、玉米等相关品种开展套期保值业务，套期保值业务的开展能有效控制原材料价格风险，锁定成本，合理规避原材料价格波动给经营带来的不利影响；原材价格的大幅上涨，也会传导至饲料价格的上涨，公司对产品定价或价格调整有严格的流程，会根据市场供求、原材料及物流成本情况、竞争对手产品定价措施等综合进行。</w:t>
            </w:r>
          </w:p>
          <w:p w14:paraId="0A82A4A1" w14:textId="77777777" w:rsidR="0055185D" w:rsidRPr="00FF3154" w:rsidRDefault="0055185D" w:rsidP="0055185D">
            <w:pPr>
              <w:snapToGrid w:val="0"/>
              <w:spacing w:line="360" w:lineRule="auto"/>
              <w:ind w:firstLineChars="200" w:firstLine="480"/>
              <w:rPr>
                <w:rFonts w:hint="eastAsia"/>
                <w:sz w:val="24"/>
              </w:rPr>
            </w:pPr>
          </w:p>
          <w:p w14:paraId="77A3D544" w14:textId="77777777" w:rsidR="0055185D" w:rsidRPr="0055185D" w:rsidRDefault="0055185D" w:rsidP="0055185D">
            <w:pPr>
              <w:snapToGrid w:val="0"/>
              <w:spacing w:line="360" w:lineRule="auto"/>
              <w:ind w:firstLineChars="200" w:firstLine="482"/>
              <w:rPr>
                <w:b/>
                <w:bCs/>
                <w:sz w:val="24"/>
              </w:rPr>
            </w:pPr>
            <w:r w:rsidRPr="0055185D">
              <w:rPr>
                <w:b/>
                <w:bCs/>
                <w:sz w:val="24"/>
              </w:rPr>
              <w:t>4</w:t>
            </w:r>
            <w:r w:rsidRPr="0055185D">
              <w:rPr>
                <w:b/>
                <w:bCs/>
                <w:sz w:val="24"/>
              </w:rPr>
              <w:t>、为什么是天马选择进入并引领鳗鱼养殖产业？</w:t>
            </w:r>
          </w:p>
          <w:p w14:paraId="633990C8" w14:textId="77777777" w:rsidR="0055185D" w:rsidRPr="00FF3154" w:rsidRDefault="0055185D" w:rsidP="0055185D">
            <w:pPr>
              <w:snapToGrid w:val="0"/>
              <w:spacing w:line="360" w:lineRule="auto"/>
              <w:ind w:firstLineChars="200" w:firstLine="480"/>
              <w:rPr>
                <w:sz w:val="24"/>
              </w:rPr>
            </w:pPr>
            <w:r w:rsidRPr="00FF3154">
              <w:rPr>
                <w:rFonts w:hint="eastAsia"/>
                <w:sz w:val="24"/>
              </w:rPr>
              <w:t>答：（</w:t>
            </w:r>
            <w:r w:rsidRPr="00FF3154">
              <w:rPr>
                <w:sz w:val="24"/>
              </w:rPr>
              <w:t>1</w:t>
            </w:r>
            <w:r w:rsidRPr="00FF3154">
              <w:rPr>
                <w:sz w:val="24"/>
              </w:rPr>
              <w:t>）中国是全球最大的鳗鱼养殖、加工和出口国，我国鳗鱼业已经形成了从种苗捕捞、养殖、饲料生产加工到烤鳗加工销售的完整产业链，我国鳗鱼养殖主要集中在福建、广东、江西、江苏等省份，但此前鳗鱼养殖以散户养殖为主，行业竞争无序，行业需要一个龙头企业引领并规范发展。</w:t>
            </w:r>
          </w:p>
          <w:p w14:paraId="32743BF9"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2</w:t>
            </w:r>
            <w:r w:rsidRPr="00FF3154">
              <w:rPr>
                <w:sz w:val="24"/>
              </w:rPr>
              <w:t>）天马科技是中国渔业协会鳗业工作委员会会长单位，公司董事长陈庆堂先生是中国渔业协会鳗业工作委员会会长，公司在鳗鱼养殖业界具备天然引领及整合能力，公司有责任和义务为鳗鱼行业规范及长远发展做出表率。</w:t>
            </w:r>
          </w:p>
          <w:p w14:paraId="302D87D7"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3</w:t>
            </w:r>
            <w:r w:rsidRPr="00FF3154">
              <w:rPr>
                <w:sz w:val="24"/>
              </w:rPr>
              <w:t>）公司具备鳗鱼全产业链优势。一是在饲料端，公司高品质鳗鲡</w:t>
            </w:r>
            <w:r w:rsidRPr="00FF3154">
              <w:rPr>
                <w:sz w:val="24"/>
              </w:rPr>
              <w:lastRenderedPageBreak/>
              <w:t>饲料产销量多年来稳居全球首位；二是公司有强大的养殖技术及服务团队，能够提供行业规模化发展所需的人才及技术支撑；三是公司目前在下游食品端目前拥有天马福荣和江西西龙两个烤鳗厂，同时定增项目也将新建两条食品生产线，在有效消化鳗鱼养殖产能的同时，可以在行业价格波动时，平滑行业波动风险，能够享受行业平稳增长红利。</w:t>
            </w:r>
          </w:p>
          <w:p w14:paraId="5DC1086A" w14:textId="50F25D8C" w:rsidR="0055185D" w:rsidRDefault="0055185D" w:rsidP="0055185D">
            <w:pPr>
              <w:snapToGrid w:val="0"/>
              <w:spacing w:line="360" w:lineRule="auto"/>
              <w:ind w:firstLineChars="200" w:firstLine="480"/>
              <w:rPr>
                <w:sz w:val="24"/>
              </w:rPr>
            </w:pPr>
            <w:r w:rsidRPr="00FF3154">
              <w:rPr>
                <w:rFonts w:hint="eastAsia"/>
                <w:sz w:val="24"/>
              </w:rPr>
              <w:t>（</w:t>
            </w:r>
            <w:r w:rsidRPr="00FF3154">
              <w:rPr>
                <w:sz w:val="24"/>
              </w:rPr>
              <w:t>4</w:t>
            </w:r>
            <w:r w:rsidRPr="00FF3154">
              <w:rPr>
                <w:sz w:val="24"/>
              </w:rPr>
              <w:t>）公司自动化、数字化、智能化、智慧化绿色养殖模式（天马模式），能够带动区域养殖模式革新，引领鳗鲡养殖行业规范化发展，符合政府环保及绿色养殖要求，能够获得养殖场地政策支持即形成规模化发展。</w:t>
            </w:r>
          </w:p>
          <w:p w14:paraId="7CFBB260" w14:textId="77777777" w:rsidR="0055185D" w:rsidRPr="00FF3154" w:rsidRDefault="0055185D" w:rsidP="0055185D">
            <w:pPr>
              <w:snapToGrid w:val="0"/>
              <w:spacing w:line="360" w:lineRule="auto"/>
              <w:ind w:firstLineChars="200" w:firstLine="480"/>
              <w:rPr>
                <w:rFonts w:hint="eastAsia"/>
                <w:sz w:val="24"/>
              </w:rPr>
            </w:pPr>
          </w:p>
          <w:p w14:paraId="516CA505" w14:textId="77777777" w:rsidR="0055185D" w:rsidRPr="0055185D" w:rsidRDefault="0055185D" w:rsidP="0055185D">
            <w:pPr>
              <w:snapToGrid w:val="0"/>
              <w:spacing w:line="360" w:lineRule="auto"/>
              <w:ind w:firstLineChars="200" w:firstLine="482"/>
              <w:rPr>
                <w:b/>
                <w:bCs/>
                <w:sz w:val="24"/>
              </w:rPr>
            </w:pPr>
            <w:r w:rsidRPr="0055185D">
              <w:rPr>
                <w:b/>
                <w:bCs/>
                <w:sz w:val="24"/>
              </w:rPr>
              <w:t>5</w:t>
            </w:r>
            <w:r w:rsidRPr="0055185D">
              <w:rPr>
                <w:b/>
                <w:bCs/>
                <w:sz w:val="24"/>
              </w:rPr>
              <w:t>、请介绍公司当前对鳗鱼养殖板块的业务布局情况。</w:t>
            </w:r>
          </w:p>
          <w:p w14:paraId="50039AD7" w14:textId="5EF70A01" w:rsidR="0055185D" w:rsidRDefault="0055185D" w:rsidP="0055185D">
            <w:pPr>
              <w:snapToGrid w:val="0"/>
              <w:spacing w:line="360" w:lineRule="auto"/>
              <w:ind w:firstLineChars="200" w:firstLine="480"/>
              <w:rPr>
                <w:sz w:val="24"/>
              </w:rPr>
            </w:pPr>
            <w:r w:rsidRPr="00FF3154">
              <w:rPr>
                <w:rFonts w:hint="eastAsia"/>
                <w:sz w:val="24"/>
              </w:rPr>
              <w:t>答：根据公司全产业链发展规划及公司</w:t>
            </w:r>
            <w:r w:rsidRPr="00FF3154">
              <w:rPr>
                <w:sz w:val="24"/>
              </w:rPr>
              <w:t>2020</w:t>
            </w:r>
            <w:r w:rsidRPr="00FF3154">
              <w:rPr>
                <w:sz w:val="24"/>
              </w:rPr>
              <w:t>年度非公开发行股票募集资金投向计划，公司将构建完整的鳗鲡全产业链，公司以自动化、数字化、智能化、智慧化鳗鲡生态养殖基地建设项目的顺利实施，将有效带动区域养殖模式革新，引领鳗鲡养殖行业规范化发展。目前，公司正在福建、广东、江西等省有序、有力地推动相关项目产业落地实施，示范绿色持续发展模式，带动区域养殖模式革新，加速推进一二三产业融合发展，打造传承中华文化价值的全产业链食品供应链平台。</w:t>
            </w:r>
          </w:p>
          <w:p w14:paraId="4647AF64" w14:textId="77777777" w:rsidR="0055185D" w:rsidRPr="00FF3154" w:rsidRDefault="0055185D" w:rsidP="0055185D">
            <w:pPr>
              <w:snapToGrid w:val="0"/>
              <w:spacing w:line="360" w:lineRule="auto"/>
              <w:ind w:firstLineChars="200" w:firstLine="480"/>
              <w:rPr>
                <w:rFonts w:hint="eastAsia"/>
                <w:sz w:val="24"/>
              </w:rPr>
            </w:pPr>
          </w:p>
          <w:p w14:paraId="355804C5" w14:textId="77777777" w:rsidR="0055185D" w:rsidRPr="0055185D" w:rsidRDefault="0055185D" w:rsidP="0055185D">
            <w:pPr>
              <w:snapToGrid w:val="0"/>
              <w:spacing w:line="360" w:lineRule="auto"/>
              <w:ind w:firstLineChars="200" w:firstLine="482"/>
              <w:rPr>
                <w:b/>
                <w:bCs/>
                <w:sz w:val="24"/>
              </w:rPr>
            </w:pPr>
            <w:r w:rsidRPr="0055185D">
              <w:rPr>
                <w:b/>
                <w:bCs/>
                <w:sz w:val="24"/>
              </w:rPr>
              <w:t>6</w:t>
            </w:r>
            <w:r w:rsidRPr="0055185D">
              <w:rPr>
                <w:b/>
                <w:bCs/>
                <w:sz w:val="24"/>
              </w:rPr>
              <w:t>、请介绍公司鳗鱼养殖技术，以及鳗鱼养殖成活率等情况。</w:t>
            </w:r>
          </w:p>
          <w:p w14:paraId="0CBBCB2B" w14:textId="77777777" w:rsidR="0055185D" w:rsidRPr="00FF3154" w:rsidRDefault="0055185D" w:rsidP="0055185D">
            <w:pPr>
              <w:snapToGrid w:val="0"/>
              <w:spacing w:line="360" w:lineRule="auto"/>
              <w:ind w:firstLineChars="200" w:firstLine="480"/>
              <w:rPr>
                <w:sz w:val="24"/>
              </w:rPr>
            </w:pPr>
            <w:r w:rsidRPr="00FF3154">
              <w:rPr>
                <w:rFonts w:hint="eastAsia"/>
                <w:sz w:val="24"/>
              </w:rPr>
              <w:t>答：公司的工厂化循环水生态养殖模式（以下简称“天马模式”），采用创新型生态内、外双循环养殖水净化和处理系统、低耗能附属配套设施、清洁可再生能源和新型环保建设材料等方式，属于先进的养殖技术，具体体现为：</w:t>
            </w:r>
          </w:p>
          <w:p w14:paraId="1B6DDCAE"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1</w:t>
            </w:r>
            <w:r w:rsidRPr="00FF3154">
              <w:rPr>
                <w:sz w:val="24"/>
              </w:rPr>
              <w:t>）生态循环用水。内循环方面，能即时将养殖池水中残饵、粪便等污物排出养殖池，同时回用养殖池水，保障了养殖池水稳定和优质，从而减少池水排放和维持养殖水质稳定，减轻鳗鲡的应激和减少病害发生。外循环方面，对养殖尾水进行固液分离，资源利用析出大颗粒粪污固体和微粒子液态尾水；大颗粒粪污固体加工成生物有机肥料供当地种植业及农作物使用，微粒子液态尾水通过</w:t>
            </w:r>
            <w:r w:rsidRPr="00FF3154">
              <w:rPr>
                <w:sz w:val="24"/>
              </w:rPr>
              <w:t>“</w:t>
            </w:r>
            <w:r w:rsidRPr="00FF3154">
              <w:rPr>
                <w:sz w:val="24"/>
              </w:rPr>
              <w:t>种养殖一体化</w:t>
            </w:r>
            <w:r w:rsidRPr="00FF3154">
              <w:rPr>
                <w:sz w:val="24"/>
              </w:rPr>
              <w:t>”</w:t>
            </w:r>
            <w:r w:rsidRPr="00FF3154">
              <w:rPr>
                <w:sz w:val="24"/>
              </w:rPr>
              <w:t>鱼菜共生系统，</w:t>
            </w:r>
            <w:r w:rsidRPr="00FF3154">
              <w:rPr>
                <w:sz w:val="24"/>
              </w:rPr>
              <w:lastRenderedPageBreak/>
              <w:t>实现尾水里氮磷等营养物质资源化利用及生物处理达标后，回至养殖车间实现循环水养殖，大幅降低水资源消耗，节约水资源，保护水生态。</w:t>
            </w:r>
          </w:p>
          <w:p w14:paraId="60B7D18E"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2</w:t>
            </w:r>
            <w:r w:rsidRPr="00FF3154">
              <w:rPr>
                <w:sz w:val="24"/>
              </w:rPr>
              <w:t>）清洁能源利用。摒弃了煤锅炉加热方式，利用空气能、地热泵等清洁能源的加热方式，无排放污染物，实现智能化温控管理，提高能源利用效率，维持养殖环境稳定。</w:t>
            </w:r>
          </w:p>
          <w:p w14:paraId="06EF2655"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3</w:t>
            </w:r>
            <w:r w:rsidRPr="00FF3154">
              <w:rPr>
                <w:sz w:val="24"/>
              </w:rPr>
              <w:t>）智能化建设。利用新型建筑和保温材料，新型池塘结构、配备智能监测和控制设备，模块化设计，标准化建设，实现养殖、管理系统智能监测、自动控制，有效减轻劳动力消耗。</w:t>
            </w:r>
          </w:p>
          <w:p w14:paraId="1F9E3404"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4</w:t>
            </w:r>
            <w:r w:rsidRPr="00FF3154">
              <w:rPr>
                <w:sz w:val="24"/>
              </w:rPr>
              <w:t>）全程安全可控。采用现代农业一二三产业融合发展的全产业链项目建设，产品生产全程实施标准化、信息化、系统化运作，可溯源、全程有效保障食品安全。</w:t>
            </w:r>
          </w:p>
          <w:p w14:paraId="133E4C95" w14:textId="47205FCD" w:rsidR="0055185D" w:rsidRDefault="0055185D" w:rsidP="0055185D">
            <w:pPr>
              <w:snapToGrid w:val="0"/>
              <w:spacing w:line="360" w:lineRule="auto"/>
              <w:ind w:firstLineChars="200" w:firstLine="480"/>
              <w:rPr>
                <w:sz w:val="24"/>
              </w:rPr>
            </w:pPr>
            <w:r w:rsidRPr="00FF3154">
              <w:rPr>
                <w:rFonts w:hint="eastAsia"/>
                <w:sz w:val="24"/>
              </w:rPr>
              <w:t>鳗鱼养殖从收苗到成鳗出售存在一定的比例的损失，存留的鳗鱼所占的比例行业中的叫法为成活率，一般行业中成活率在</w:t>
            </w:r>
            <w:r w:rsidRPr="00FF3154">
              <w:rPr>
                <w:sz w:val="24"/>
              </w:rPr>
              <w:t>80-95%</w:t>
            </w:r>
            <w:r w:rsidRPr="00FF3154">
              <w:rPr>
                <w:sz w:val="24"/>
              </w:rPr>
              <w:t>。</w:t>
            </w:r>
          </w:p>
          <w:p w14:paraId="40081876" w14:textId="77777777" w:rsidR="0055185D" w:rsidRPr="00FF3154" w:rsidRDefault="0055185D" w:rsidP="0055185D">
            <w:pPr>
              <w:snapToGrid w:val="0"/>
              <w:spacing w:line="360" w:lineRule="auto"/>
              <w:ind w:firstLineChars="200" w:firstLine="480"/>
              <w:rPr>
                <w:rFonts w:hint="eastAsia"/>
                <w:sz w:val="24"/>
              </w:rPr>
            </w:pPr>
          </w:p>
          <w:p w14:paraId="580C9C69" w14:textId="77777777" w:rsidR="0055185D" w:rsidRPr="0055185D" w:rsidRDefault="0055185D" w:rsidP="0055185D">
            <w:pPr>
              <w:snapToGrid w:val="0"/>
              <w:spacing w:line="360" w:lineRule="auto"/>
              <w:ind w:firstLineChars="200" w:firstLine="482"/>
              <w:rPr>
                <w:b/>
                <w:bCs/>
                <w:sz w:val="24"/>
              </w:rPr>
            </w:pPr>
            <w:r w:rsidRPr="0055185D">
              <w:rPr>
                <w:b/>
                <w:bCs/>
                <w:sz w:val="24"/>
              </w:rPr>
              <w:t>7</w:t>
            </w:r>
            <w:r w:rsidRPr="0055185D">
              <w:rPr>
                <w:b/>
                <w:bCs/>
                <w:sz w:val="24"/>
              </w:rPr>
              <w:t>、请介绍公司目前食品渠道运营布局情况。</w:t>
            </w:r>
          </w:p>
          <w:p w14:paraId="76D94F65" w14:textId="77777777" w:rsidR="0055185D" w:rsidRPr="00FF3154" w:rsidRDefault="0055185D" w:rsidP="0055185D">
            <w:pPr>
              <w:snapToGrid w:val="0"/>
              <w:spacing w:line="360" w:lineRule="auto"/>
              <w:ind w:firstLineChars="200" w:firstLine="480"/>
              <w:rPr>
                <w:sz w:val="24"/>
              </w:rPr>
            </w:pPr>
            <w:r w:rsidRPr="00FF3154">
              <w:rPr>
                <w:rFonts w:hint="eastAsia"/>
                <w:sz w:val="24"/>
              </w:rPr>
              <w:t>答：食品板块依靠天马科技全产业链优势，建设标准化绿色生态养殖基地，保障优质安全原料供应，整合各方资源发力国际、国内市场，通过打造全渠道运营团队，除深耕传统市场渠道外，还通过以下措施进行渠道拓展及战略布局：</w:t>
            </w:r>
          </w:p>
          <w:p w14:paraId="09C7BB13"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1</w:t>
            </w:r>
            <w:r w:rsidRPr="00FF3154">
              <w:rPr>
                <w:sz w:val="24"/>
              </w:rPr>
              <w:t>）从电商、新零售、商超、中央厨房及餐饮等线上线下主流销售渠道切入布局；</w:t>
            </w:r>
          </w:p>
          <w:p w14:paraId="4E60723C"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2</w:t>
            </w:r>
            <w:r w:rsidRPr="00FF3154">
              <w:rPr>
                <w:sz w:val="24"/>
              </w:rPr>
              <w:t>）采用年轻化、个性化消费发展战略，与头部主播进行深度合作，打通京东自营店、天马优选商城、天猫旗舰店等线上平台，拓展</w:t>
            </w:r>
            <w:r w:rsidRPr="00FF3154">
              <w:rPr>
                <w:sz w:val="24"/>
              </w:rPr>
              <w:t>C</w:t>
            </w:r>
            <w:r w:rsidRPr="00FF3154">
              <w:rPr>
                <w:sz w:val="24"/>
              </w:rPr>
              <w:t>端销售渠道，借助流量经济包括抖音、快手等网红带货加大产品宣传和销售力度；</w:t>
            </w:r>
          </w:p>
          <w:p w14:paraId="650B59B0"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3</w:t>
            </w:r>
            <w:r w:rsidRPr="00FF3154">
              <w:rPr>
                <w:sz w:val="24"/>
              </w:rPr>
              <w:t>）加快食品板块新产品研发，丰富产品线，推行订单式个性化产品模式；</w:t>
            </w:r>
          </w:p>
          <w:p w14:paraId="7F7C925F" w14:textId="77777777" w:rsidR="0055185D" w:rsidRPr="00FF3154" w:rsidRDefault="0055185D" w:rsidP="0055185D">
            <w:pPr>
              <w:snapToGrid w:val="0"/>
              <w:spacing w:line="360" w:lineRule="auto"/>
              <w:ind w:firstLineChars="200" w:firstLine="480"/>
              <w:rPr>
                <w:sz w:val="24"/>
              </w:rPr>
            </w:pPr>
            <w:r w:rsidRPr="00FF3154">
              <w:rPr>
                <w:rFonts w:hint="eastAsia"/>
                <w:sz w:val="24"/>
              </w:rPr>
              <w:t>（</w:t>
            </w:r>
            <w:r w:rsidRPr="00FF3154">
              <w:rPr>
                <w:sz w:val="24"/>
              </w:rPr>
              <w:t>4</w:t>
            </w:r>
            <w:r w:rsidRPr="00FF3154">
              <w:rPr>
                <w:sz w:val="24"/>
              </w:rPr>
              <w:t>）建立可溯源安全食品体系，通过产品专属二维码进入溯源系统，追溯证书、图片和视频等资料，了解从原料到餐桌的所有信息，做全程可溯源的安全、健康食品，优化全产业链战略布局。</w:t>
            </w:r>
          </w:p>
          <w:p w14:paraId="41A56A23" w14:textId="77777777" w:rsidR="0055185D" w:rsidRPr="00E65DB5" w:rsidRDefault="0055185D" w:rsidP="0055185D">
            <w:pPr>
              <w:snapToGrid w:val="0"/>
              <w:spacing w:line="360" w:lineRule="auto"/>
              <w:ind w:firstLineChars="200" w:firstLine="480"/>
              <w:rPr>
                <w:sz w:val="24"/>
              </w:rPr>
            </w:pPr>
            <w:r w:rsidRPr="00E65DB5">
              <w:rPr>
                <w:sz w:val="24"/>
              </w:rPr>
              <w:lastRenderedPageBreak/>
              <w:t>公司</w:t>
            </w:r>
            <w:r w:rsidRPr="00E65DB5">
              <w:rPr>
                <w:sz w:val="24"/>
              </w:rPr>
              <w:t>“</w:t>
            </w:r>
            <w:r w:rsidRPr="00E65DB5">
              <w:rPr>
                <w:sz w:val="24"/>
              </w:rPr>
              <w:t>鳗鲡堂</w:t>
            </w:r>
            <w:r w:rsidRPr="00E65DB5">
              <w:rPr>
                <w:sz w:val="24"/>
              </w:rPr>
              <w:t>”</w:t>
            </w:r>
            <w:r w:rsidRPr="00E65DB5">
              <w:rPr>
                <w:sz w:val="24"/>
              </w:rPr>
              <w:t>蒲烧烤鳗</w:t>
            </w:r>
            <w:r w:rsidRPr="00A82238">
              <w:rPr>
                <w:rFonts w:hint="eastAsia"/>
                <w:sz w:val="24"/>
              </w:rPr>
              <w:t>也因其上佳的品质接连斩获</w:t>
            </w:r>
            <w:r w:rsidRPr="00E65DB5">
              <w:rPr>
                <w:sz w:val="24"/>
              </w:rPr>
              <w:t>国际风味评鉴所</w:t>
            </w:r>
            <w:r w:rsidRPr="00A82238">
              <w:rPr>
                <w:rFonts w:hint="eastAsia"/>
                <w:sz w:val="24"/>
              </w:rPr>
              <w:t>颁发的</w:t>
            </w:r>
            <w:r w:rsidRPr="00E65DB5">
              <w:rPr>
                <w:sz w:val="24"/>
              </w:rPr>
              <w:t>“</w:t>
            </w:r>
            <w:r w:rsidRPr="00E65DB5">
              <w:rPr>
                <w:sz w:val="24"/>
              </w:rPr>
              <w:t>顶级美味奖章</w:t>
            </w:r>
            <w:r w:rsidRPr="00E65DB5">
              <w:rPr>
                <w:sz w:val="24"/>
              </w:rPr>
              <w:t>”</w:t>
            </w:r>
            <w:r w:rsidRPr="00E65DB5">
              <w:rPr>
                <w:sz w:val="24"/>
              </w:rPr>
              <w:t>（</w:t>
            </w:r>
            <w:r w:rsidRPr="00E65DB5">
              <w:rPr>
                <w:sz w:val="24"/>
              </w:rPr>
              <w:t xml:space="preserve">Superior Taste Award </w:t>
            </w:r>
            <w:r w:rsidRPr="00E65DB5">
              <w:rPr>
                <w:sz w:val="24"/>
              </w:rPr>
              <w:t>）</w:t>
            </w:r>
            <w:r w:rsidRPr="00E65DB5">
              <w:rPr>
                <w:sz w:val="24"/>
              </w:rPr>
              <w:t>3</w:t>
            </w:r>
            <w:r w:rsidRPr="00E65DB5">
              <w:rPr>
                <w:sz w:val="24"/>
              </w:rPr>
              <w:t>星奖</w:t>
            </w:r>
            <w:r>
              <w:rPr>
                <w:rFonts w:hint="eastAsia"/>
                <w:sz w:val="24"/>
              </w:rPr>
              <w:t>、</w:t>
            </w:r>
            <w:r w:rsidRPr="00E65DB5">
              <w:rPr>
                <w:sz w:val="24"/>
              </w:rPr>
              <w:t>Wow Food Awards 2021</w:t>
            </w:r>
            <w:r w:rsidRPr="00A82238">
              <w:rPr>
                <w:rFonts w:hint="eastAsia"/>
                <w:sz w:val="24"/>
              </w:rPr>
              <w:t>（全球创新食品评鉴大赛）</w:t>
            </w:r>
            <w:r w:rsidRPr="00E65DB5">
              <w:rPr>
                <w:sz w:val="24"/>
              </w:rPr>
              <w:t>最佳方便食品奖</w:t>
            </w:r>
            <w:r w:rsidRPr="00A82238">
              <w:rPr>
                <w:rFonts w:hint="eastAsia"/>
                <w:sz w:val="24"/>
              </w:rPr>
              <w:t>、</w:t>
            </w:r>
            <w:r w:rsidRPr="00A82238">
              <w:rPr>
                <w:rFonts w:hint="eastAsia"/>
                <w:sz w:val="24"/>
              </w:rPr>
              <w:t>2021</w:t>
            </w:r>
            <w:r w:rsidRPr="00A82238">
              <w:rPr>
                <w:rFonts w:hint="eastAsia"/>
                <w:sz w:val="24"/>
              </w:rPr>
              <w:t>年世界食品品质评鉴大会</w:t>
            </w:r>
            <w:r w:rsidRPr="00A82238">
              <w:rPr>
                <w:rFonts w:hint="eastAsia"/>
                <w:sz w:val="24"/>
              </w:rPr>
              <w:t>Monde Selection</w:t>
            </w:r>
            <w:r w:rsidRPr="00A82238">
              <w:rPr>
                <w:rFonts w:hint="eastAsia"/>
                <w:sz w:val="24"/>
              </w:rPr>
              <w:t>蒙特奖金奖。</w:t>
            </w:r>
            <w:r w:rsidRPr="00E65DB5">
              <w:rPr>
                <w:sz w:val="24"/>
              </w:rPr>
              <w:t>2021</w:t>
            </w:r>
            <w:r w:rsidRPr="00E65DB5">
              <w:rPr>
                <w:sz w:val="24"/>
              </w:rPr>
              <w:t>年</w:t>
            </w:r>
            <w:r w:rsidRPr="00E65DB5">
              <w:rPr>
                <w:sz w:val="24"/>
              </w:rPr>
              <w:t>12</w:t>
            </w:r>
            <w:r w:rsidRPr="00E65DB5">
              <w:rPr>
                <w:sz w:val="24"/>
              </w:rPr>
              <w:t>月</w:t>
            </w:r>
            <w:r w:rsidRPr="00E65DB5">
              <w:rPr>
                <w:sz w:val="24"/>
              </w:rPr>
              <w:t>17</w:t>
            </w:r>
            <w:r w:rsidRPr="00E65DB5">
              <w:rPr>
                <w:sz w:val="24"/>
              </w:rPr>
              <w:t>日，</w:t>
            </w:r>
            <w:r w:rsidRPr="00E65DB5">
              <w:rPr>
                <w:sz w:val="24"/>
              </w:rPr>
              <w:t>“</w:t>
            </w:r>
            <w:r w:rsidRPr="00E65DB5">
              <w:rPr>
                <w:sz w:val="24"/>
              </w:rPr>
              <w:t>鳗鲡堂</w:t>
            </w:r>
            <w:r w:rsidRPr="00E65DB5">
              <w:rPr>
                <w:sz w:val="24"/>
              </w:rPr>
              <w:t>”</w:t>
            </w:r>
            <w:r w:rsidRPr="00E65DB5">
              <w:rPr>
                <w:sz w:val="24"/>
              </w:rPr>
              <w:t>品牌</w:t>
            </w:r>
            <w:r w:rsidRPr="00A82238">
              <w:rPr>
                <w:rFonts w:hint="eastAsia"/>
                <w:sz w:val="24"/>
              </w:rPr>
              <w:t>又成功入选</w:t>
            </w:r>
            <w:r w:rsidRPr="00E65DB5">
              <w:rPr>
                <w:sz w:val="24"/>
              </w:rPr>
              <w:t>2021</w:t>
            </w:r>
            <w:r w:rsidRPr="00E65DB5">
              <w:rPr>
                <w:sz w:val="24"/>
              </w:rPr>
              <w:t>中国农产品百强标志性品牌。</w:t>
            </w:r>
          </w:p>
          <w:p w14:paraId="051363F5" w14:textId="1D295F40" w:rsidR="00AA35CD" w:rsidRPr="0055185D" w:rsidRDefault="0055185D" w:rsidP="0055185D">
            <w:pPr>
              <w:snapToGrid w:val="0"/>
              <w:spacing w:line="360" w:lineRule="auto"/>
              <w:ind w:firstLineChars="200" w:firstLine="480"/>
              <w:rPr>
                <w:rFonts w:ascii="宋体" w:hAnsi="宋体"/>
                <w:b/>
                <w:bCs/>
                <w:sz w:val="24"/>
              </w:rPr>
            </w:pPr>
            <w:r w:rsidRPr="00FF3154">
              <w:rPr>
                <w:rFonts w:hint="eastAsia"/>
                <w:sz w:val="24"/>
              </w:rPr>
              <w:t>此外，公司在其他产品如肉鸭上以优越的品质得到了厦门、漳州等闽南地区姜母鸭消费者的高度认可。</w:t>
            </w:r>
          </w:p>
        </w:tc>
      </w:tr>
      <w:tr w:rsidR="00943B52" w:rsidRPr="00367C18" w14:paraId="0A9AC71E" w14:textId="77777777" w:rsidTr="00E453B9">
        <w:trPr>
          <w:trHeight w:val="567"/>
          <w:jc w:val="center"/>
        </w:trPr>
        <w:tc>
          <w:tcPr>
            <w:tcW w:w="1271" w:type="dxa"/>
            <w:vAlign w:val="center"/>
          </w:tcPr>
          <w:p w14:paraId="7921B43E" w14:textId="1EE4088C" w:rsidR="00943B52" w:rsidRPr="00C10B23" w:rsidRDefault="00C10B23" w:rsidP="00C10B23">
            <w:pPr>
              <w:jc w:val="left"/>
              <w:rPr>
                <w:rFonts w:ascii="宋体" w:hAnsi="宋体"/>
                <w:bCs/>
                <w:sz w:val="24"/>
              </w:rPr>
            </w:pPr>
            <w:r w:rsidRPr="00C10B23">
              <w:rPr>
                <w:rFonts w:ascii="宋体" w:hAnsi="宋体" w:hint="eastAsia"/>
                <w:bCs/>
                <w:sz w:val="24"/>
              </w:rPr>
              <w:lastRenderedPageBreak/>
              <w:t>提供资料清单（如有）</w:t>
            </w:r>
          </w:p>
        </w:tc>
        <w:tc>
          <w:tcPr>
            <w:tcW w:w="7655" w:type="dxa"/>
            <w:vAlign w:val="center"/>
          </w:tcPr>
          <w:p w14:paraId="1D0CAECE" w14:textId="20CC2B32" w:rsidR="00943B52" w:rsidRPr="00D3233E" w:rsidRDefault="00C10B23" w:rsidP="00943B52">
            <w:pPr>
              <w:pStyle w:val="a9"/>
              <w:adjustRightInd w:val="0"/>
              <w:snapToGrid w:val="0"/>
              <w:spacing w:before="0" w:beforeAutospacing="0" w:after="0" w:afterAutospacing="0" w:line="300" w:lineRule="auto"/>
              <w:rPr>
                <w:b/>
              </w:rPr>
            </w:pPr>
            <w:r>
              <w:rPr>
                <w:rFonts w:eastAsiaTheme="minorEastAsia" w:hAnsiTheme="minorEastAsia" w:hint="eastAsia"/>
              </w:rPr>
              <w:t>无</w:t>
            </w:r>
            <w:r w:rsidR="00943B52" w:rsidRPr="000D5D92">
              <w:rPr>
                <w:rFonts w:eastAsiaTheme="minorEastAsia" w:hAnsiTheme="minorEastAsia"/>
              </w:rPr>
              <w:t>。</w:t>
            </w:r>
          </w:p>
        </w:tc>
      </w:tr>
      <w:tr w:rsidR="00C10B23" w:rsidRPr="00367C18" w14:paraId="7AE9235C" w14:textId="77777777" w:rsidTr="00E453B9">
        <w:trPr>
          <w:trHeight w:val="567"/>
          <w:jc w:val="center"/>
        </w:trPr>
        <w:tc>
          <w:tcPr>
            <w:tcW w:w="1271" w:type="dxa"/>
            <w:vAlign w:val="center"/>
          </w:tcPr>
          <w:p w14:paraId="1BD23F04" w14:textId="0AC02036" w:rsidR="00C10B23" w:rsidRPr="00C10B23" w:rsidRDefault="00C10B23" w:rsidP="00C10B23">
            <w:pPr>
              <w:jc w:val="left"/>
              <w:rPr>
                <w:rFonts w:ascii="宋体" w:hAnsi="宋体"/>
                <w:bCs/>
                <w:sz w:val="24"/>
              </w:rPr>
            </w:pPr>
            <w:r>
              <w:rPr>
                <w:rFonts w:ascii="宋体" w:hAnsi="宋体" w:hint="eastAsia"/>
                <w:bCs/>
                <w:sz w:val="24"/>
              </w:rPr>
              <w:t>日期</w:t>
            </w:r>
          </w:p>
        </w:tc>
        <w:tc>
          <w:tcPr>
            <w:tcW w:w="7655" w:type="dxa"/>
            <w:vAlign w:val="center"/>
          </w:tcPr>
          <w:p w14:paraId="6BC836BF" w14:textId="6DEAB6F3" w:rsidR="00C10B23" w:rsidRPr="00C10B23" w:rsidRDefault="00C10B23" w:rsidP="00943B52">
            <w:pPr>
              <w:pStyle w:val="a9"/>
              <w:adjustRightInd w:val="0"/>
              <w:snapToGrid w:val="0"/>
              <w:spacing w:before="0" w:beforeAutospacing="0" w:after="0" w:afterAutospacing="0" w:line="300" w:lineRule="auto"/>
              <w:rPr>
                <w:rFonts w:ascii="Times New Roman" w:eastAsiaTheme="minorEastAsia" w:hAnsi="Times New Roman" w:cs="Times New Roman"/>
              </w:rPr>
            </w:pPr>
            <w:r w:rsidRPr="00C10B23">
              <w:rPr>
                <w:rFonts w:ascii="Times New Roman" w:eastAsiaTheme="minorEastAsia" w:hAnsi="Times New Roman" w:cs="Times New Roman"/>
              </w:rPr>
              <w:t>2021</w:t>
            </w:r>
            <w:r w:rsidRPr="00C10B23">
              <w:rPr>
                <w:rFonts w:ascii="Times New Roman" w:eastAsiaTheme="minorEastAsia" w:hAnsi="Times New Roman" w:cs="Times New Roman"/>
              </w:rPr>
              <w:t>年</w:t>
            </w:r>
            <w:r w:rsidRPr="00C10B23">
              <w:rPr>
                <w:rFonts w:ascii="Times New Roman" w:eastAsiaTheme="minorEastAsia" w:hAnsi="Times New Roman" w:cs="Times New Roman"/>
              </w:rPr>
              <w:t>12</w:t>
            </w:r>
            <w:r w:rsidRPr="00C10B23">
              <w:rPr>
                <w:rFonts w:ascii="Times New Roman" w:eastAsiaTheme="minorEastAsia" w:hAnsi="Times New Roman" w:cs="Times New Roman"/>
              </w:rPr>
              <w:t>月</w:t>
            </w:r>
            <w:r w:rsidRPr="00C10B23">
              <w:rPr>
                <w:rFonts w:ascii="Times New Roman" w:eastAsiaTheme="minorEastAsia" w:hAnsi="Times New Roman" w:cs="Times New Roman"/>
              </w:rPr>
              <w:t>22</w:t>
            </w:r>
            <w:r w:rsidRPr="00C10B23">
              <w:rPr>
                <w:rFonts w:ascii="Times New Roman" w:eastAsiaTheme="minorEastAsia" w:hAnsi="Times New Roman" w:cs="Times New Roman"/>
              </w:rPr>
              <w:t>日</w:t>
            </w:r>
          </w:p>
        </w:tc>
      </w:tr>
    </w:tbl>
    <w:p w14:paraId="6ED578CD" w14:textId="77777777" w:rsidR="004C26C8" w:rsidRPr="009A1D80" w:rsidRDefault="00B20564" w:rsidP="006A1182"/>
    <w:sectPr w:rsidR="004C26C8" w:rsidRPr="009A1D80" w:rsidSect="00291704">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C303" w14:textId="77777777" w:rsidR="00B20564" w:rsidRDefault="00B20564" w:rsidP="00D3344E">
      <w:r>
        <w:separator/>
      </w:r>
    </w:p>
  </w:endnote>
  <w:endnote w:type="continuationSeparator" w:id="0">
    <w:p w14:paraId="0EAF0783" w14:textId="77777777" w:rsidR="00B20564" w:rsidRDefault="00B20564" w:rsidP="00D3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7B7A" w14:textId="77777777" w:rsidR="00B20564" w:rsidRDefault="00B20564" w:rsidP="00D3344E">
      <w:r>
        <w:separator/>
      </w:r>
    </w:p>
  </w:footnote>
  <w:footnote w:type="continuationSeparator" w:id="0">
    <w:p w14:paraId="7121B513" w14:textId="77777777" w:rsidR="00B20564" w:rsidRDefault="00B20564" w:rsidP="00D3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C76"/>
    <w:multiLevelType w:val="hybridMultilevel"/>
    <w:tmpl w:val="D1B81AF2"/>
    <w:lvl w:ilvl="0" w:tplc="04BAA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0F0A29"/>
    <w:multiLevelType w:val="hybridMultilevel"/>
    <w:tmpl w:val="2F72B2E0"/>
    <w:lvl w:ilvl="0" w:tplc="E8021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80"/>
    <w:rsid w:val="00001BFE"/>
    <w:rsid w:val="00002118"/>
    <w:rsid w:val="00003E7A"/>
    <w:rsid w:val="00006F15"/>
    <w:rsid w:val="000212D4"/>
    <w:rsid w:val="00023543"/>
    <w:rsid w:val="000335A9"/>
    <w:rsid w:val="00037968"/>
    <w:rsid w:val="0004137F"/>
    <w:rsid w:val="00043A22"/>
    <w:rsid w:val="00046F47"/>
    <w:rsid w:val="000537DE"/>
    <w:rsid w:val="00065F03"/>
    <w:rsid w:val="00071053"/>
    <w:rsid w:val="00075E10"/>
    <w:rsid w:val="00076C84"/>
    <w:rsid w:val="00093FB5"/>
    <w:rsid w:val="00094917"/>
    <w:rsid w:val="00095063"/>
    <w:rsid w:val="0009731E"/>
    <w:rsid w:val="000A47F4"/>
    <w:rsid w:val="000B5875"/>
    <w:rsid w:val="000D0559"/>
    <w:rsid w:val="000D5018"/>
    <w:rsid w:val="000D5D92"/>
    <w:rsid w:val="000D7ACF"/>
    <w:rsid w:val="000E1ACF"/>
    <w:rsid w:val="000E3660"/>
    <w:rsid w:val="000F1485"/>
    <w:rsid w:val="000F1565"/>
    <w:rsid w:val="000F2561"/>
    <w:rsid w:val="000F7357"/>
    <w:rsid w:val="00100F27"/>
    <w:rsid w:val="00101A0E"/>
    <w:rsid w:val="0010371C"/>
    <w:rsid w:val="00111FE3"/>
    <w:rsid w:val="001210F4"/>
    <w:rsid w:val="001220E3"/>
    <w:rsid w:val="00122477"/>
    <w:rsid w:val="00125511"/>
    <w:rsid w:val="00140C56"/>
    <w:rsid w:val="00141BD0"/>
    <w:rsid w:val="00145F83"/>
    <w:rsid w:val="001540DA"/>
    <w:rsid w:val="001A6594"/>
    <w:rsid w:val="001A7A27"/>
    <w:rsid w:val="001B6B24"/>
    <w:rsid w:val="001B6E40"/>
    <w:rsid w:val="001C3803"/>
    <w:rsid w:val="001C623D"/>
    <w:rsid w:val="001C7698"/>
    <w:rsid w:val="001E00BE"/>
    <w:rsid w:val="001E598C"/>
    <w:rsid w:val="001E7D8F"/>
    <w:rsid w:val="001F0C60"/>
    <w:rsid w:val="001F6927"/>
    <w:rsid w:val="00204410"/>
    <w:rsid w:val="00207622"/>
    <w:rsid w:val="0021321C"/>
    <w:rsid w:val="00222088"/>
    <w:rsid w:val="00232CEA"/>
    <w:rsid w:val="00237BFE"/>
    <w:rsid w:val="0024232C"/>
    <w:rsid w:val="00250F7F"/>
    <w:rsid w:val="00254E06"/>
    <w:rsid w:val="00260D79"/>
    <w:rsid w:val="00265932"/>
    <w:rsid w:val="00266093"/>
    <w:rsid w:val="0028477D"/>
    <w:rsid w:val="002863E6"/>
    <w:rsid w:val="00287586"/>
    <w:rsid w:val="002903C6"/>
    <w:rsid w:val="00291704"/>
    <w:rsid w:val="00291BBC"/>
    <w:rsid w:val="0029687E"/>
    <w:rsid w:val="002A2642"/>
    <w:rsid w:val="002A3AE3"/>
    <w:rsid w:val="002A74DA"/>
    <w:rsid w:val="002B5394"/>
    <w:rsid w:val="002C514A"/>
    <w:rsid w:val="002D1BBF"/>
    <w:rsid w:val="002D4139"/>
    <w:rsid w:val="002E46B1"/>
    <w:rsid w:val="002E66F1"/>
    <w:rsid w:val="002F3329"/>
    <w:rsid w:val="002F3F0F"/>
    <w:rsid w:val="00300EFA"/>
    <w:rsid w:val="0030431B"/>
    <w:rsid w:val="00305721"/>
    <w:rsid w:val="0031477E"/>
    <w:rsid w:val="003164C2"/>
    <w:rsid w:val="003170C9"/>
    <w:rsid w:val="003211DF"/>
    <w:rsid w:val="00335805"/>
    <w:rsid w:val="00341FCB"/>
    <w:rsid w:val="0034653D"/>
    <w:rsid w:val="0034723D"/>
    <w:rsid w:val="00356853"/>
    <w:rsid w:val="003616F0"/>
    <w:rsid w:val="0036181A"/>
    <w:rsid w:val="00361935"/>
    <w:rsid w:val="00367C18"/>
    <w:rsid w:val="00372D00"/>
    <w:rsid w:val="003771D6"/>
    <w:rsid w:val="00383517"/>
    <w:rsid w:val="00385D28"/>
    <w:rsid w:val="003932CD"/>
    <w:rsid w:val="003939DE"/>
    <w:rsid w:val="00394699"/>
    <w:rsid w:val="00395044"/>
    <w:rsid w:val="003A2CD5"/>
    <w:rsid w:val="003A5304"/>
    <w:rsid w:val="003B1E2E"/>
    <w:rsid w:val="003B7EBF"/>
    <w:rsid w:val="003C1B15"/>
    <w:rsid w:val="003C47A9"/>
    <w:rsid w:val="003D2D88"/>
    <w:rsid w:val="003D63E7"/>
    <w:rsid w:val="003E08AB"/>
    <w:rsid w:val="003E51C1"/>
    <w:rsid w:val="003F3DA5"/>
    <w:rsid w:val="00412EDD"/>
    <w:rsid w:val="00414DDE"/>
    <w:rsid w:val="004153C0"/>
    <w:rsid w:val="00417779"/>
    <w:rsid w:val="00417BF7"/>
    <w:rsid w:val="004218D8"/>
    <w:rsid w:val="0042206B"/>
    <w:rsid w:val="0043100F"/>
    <w:rsid w:val="0043454B"/>
    <w:rsid w:val="00436B6C"/>
    <w:rsid w:val="0045164A"/>
    <w:rsid w:val="004549CB"/>
    <w:rsid w:val="00462957"/>
    <w:rsid w:val="00476C3C"/>
    <w:rsid w:val="00477574"/>
    <w:rsid w:val="00481082"/>
    <w:rsid w:val="00483086"/>
    <w:rsid w:val="00483203"/>
    <w:rsid w:val="00484398"/>
    <w:rsid w:val="004852D8"/>
    <w:rsid w:val="0048587E"/>
    <w:rsid w:val="00490D67"/>
    <w:rsid w:val="00491BC8"/>
    <w:rsid w:val="00492D09"/>
    <w:rsid w:val="00494E47"/>
    <w:rsid w:val="004A7AE8"/>
    <w:rsid w:val="004A7F18"/>
    <w:rsid w:val="004C4D18"/>
    <w:rsid w:val="004C600E"/>
    <w:rsid w:val="004D139C"/>
    <w:rsid w:val="004E1221"/>
    <w:rsid w:val="004E6800"/>
    <w:rsid w:val="004F3497"/>
    <w:rsid w:val="004F742C"/>
    <w:rsid w:val="00500A2C"/>
    <w:rsid w:val="005053D4"/>
    <w:rsid w:val="00507844"/>
    <w:rsid w:val="005105EA"/>
    <w:rsid w:val="005116B3"/>
    <w:rsid w:val="00512359"/>
    <w:rsid w:val="005143D5"/>
    <w:rsid w:val="00531FCE"/>
    <w:rsid w:val="0053278E"/>
    <w:rsid w:val="0054223A"/>
    <w:rsid w:val="005474BC"/>
    <w:rsid w:val="0055185D"/>
    <w:rsid w:val="00557E33"/>
    <w:rsid w:val="00571531"/>
    <w:rsid w:val="0058510E"/>
    <w:rsid w:val="005A0DA3"/>
    <w:rsid w:val="005B7CE2"/>
    <w:rsid w:val="005C06D3"/>
    <w:rsid w:val="005C49BD"/>
    <w:rsid w:val="005C704B"/>
    <w:rsid w:val="005D0772"/>
    <w:rsid w:val="005D10B3"/>
    <w:rsid w:val="005D1824"/>
    <w:rsid w:val="005D2F10"/>
    <w:rsid w:val="005D7182"/>
    <w:rsid w:val="005D77E3"/>
    <w:rsid w:val="005E22AF"/>
    <w:rsid w:val="005E745B"/>
    <w:rsid w:val="005E7919"/>
    <w:rsid w:val="005E7B40"/>
    <w:rsid w:val="005E7FBF"/>
    <w:rsid w:val="005F03B1"/>
    <w:rsid w:val="00601D10"/>
    <w:rsid w:val="00610754"/>
    <w:rsid w:val="00612DCB"/>
    <w:rsid w:val="006173AA"/>
    <w:rsid w:val="006209E9"/>
    <w:rsid w:val="006212AB"/>
    <w:rsid w:val="006239B9"/>
    <w:rsid w:val="00624382"/>
    <w:rsid w:val="00640E52"/>
    <w:rsid w:val="0064553D"/>
    <w:rsid w:val="00657836"/>
    <w:rsid w:val="00672CC2"/>
    <w:rsid w:val="00674281"/>
    <w:rsid w:val="0068298F"/>
    <w:rsid w:val="006831D4"/>
    <w:rsid w:val="006A1182"/>
    <w:rsid w:val="006A65BD"/>
    <w:rsid w:val="006B0328"/>
    <w:rsid w:val="006B0683"/>
    <w:rsid w:val="006B0BA6"/>
    <w:rsid w:val="006B0D80"/>
    <w:rsid w:val="006C1A93"/>
    <w:rsid w:val="006C4A90"/>
    <w:rsid w:val="006C64D0"/>
    <w:rsid w:val="006D45DD"/>
    <w:rsid w:val="006D6439"/>
    <w:rsid w:val="006D6D31"/>
    <w:rsid w:val="006E3E98"/>
    <w:rsid w:val="006F107B"/>
    <w:rsid w:val="006F1C57"/>
    <w:rsid w:val="006F4BF8"/>
    <w:rsid w:val="00701B86"/>
    <w:rsid w:val="00704248"/>
    <w:rsid w:val="00704A50"/>
    <w:rsid w:val="00704F3B"/>
    <w:rsid w:val="00710020"/>
    <w:rsid w:val="007123E5"/>
    <w:rsid w:val="00721AEA"/>
    <w:rsid w:val="007304E7"/>
    <w:rsid w:val="00732309"/>
    <w:rsid w:val="00735124"/>
    <w:rsid w:val="007378C8"/>
    <w:rsid w:val="0074421D"/>
    <w:rsid w:val="007505C1"/>
    <w:rsid w:val="00752C1B"/>
    <w:rsid w:val="00753E0C"/>
    <w:rsid w:val="007616AE"/>
    <w:rsid w:val="007721F3"/>
    <w:rsid w:val="00772ABE"/>
    <w:rsid w:val="0077605C"/>
    <w:rsid w:val="007764EA"/>
    <w:rsid w:val="00785C86"/>
    <w:rsid w:val="00794EA9"/>
    <w:rsid w:val="007A11DC"/>
    <w:rsid w:val="007A5C0D"/>
    <w:rsid w:val="007A6007"/>
    <w:rsid w:val="007A717D"/>
    <w:rsid w:val="007B0E71"/>
    <w:rsid w:val="007B2FD4"/>
    <w:rsid w:val="007C32E4"/>
    <w:rsid w:val="007C432D"/>
    <w:rsid w:val="007D0D24"/>
    <w:rsid w:val="007E4768"/>
    <w:rsid w:val="007E5D69"/>
    <w:rsid w:val="007F4E1F"/>
    <w:rsid w:val="00801108"/>
    <w:rsid w:val="00801B31"/>
    <w:rsid w:val="0080753D"/>
    <w:rsid w:val="00814BF4"/>
    <w:rsid w:val="00821200"/>
    <w:rsid w:val="0083319C"/>
    <w:rsid w:val="00845406"/>
    <w:rsid w:val="00850B28"/>
    <w:rsid w:val="00852A11"/>
    <w:rsid w:val="00863778"/>
    <w:rsid w:val="00867CB2"/>
    <w:rsid w:val="00870081"/>
    <w:rsid w:val="00871FAC"/>
    <w:rsid w:val="008744CE"/>
    <w:rsid w:val="00886DBD"/>
    <w:rsid w:val="00893B87"/>
    <w:rsid w:val="008976E0"/>
    <w:rsid w:val="008A587A"/>
    <w:rsid w:val="008B31EE"/>
    <w:rsid w:val="008B360C"/>
    <w:rsid w:val="008B5974"/>
    <w:rsid w:val="008B6CB6"/>
    <w:rsid w:val="008C299C"/>
    <w:rsid w:val="008C44BA"/>
    <w:rsid w:val="008D1EFF"/>
    <w:rsid w:val="008E3ABA"/>
    <w:rsid w:val="008E5342"/>
    <w:rsid w:val="008F049B"/>
    <w:rsid w:val="008F1AE8"/>
    <w:rsid w:val="008F1D3E"/>
    <w:rsid w:val="009055AB"/>
    <w:rsid w:val="00906C77"/>
    <w:rsid w:val="00912582"/>
    <w:rsid w:val="00922F2E"/>
    <w:rsid w:val="00923DB2"/>
    <w:rsid w:val="00923F22"/>
    <w:rsid w:val="009248E0"/>
    <w:rsid w:val="009271BD"/>
    <w:rsid w:val="009338D6"/>
    <w:rsid w:val="00935055"/>
    <w:rsid w:val="00942C90"/>
    <w:rsid w:val="00943B52"/>
    <w:rsid w:val="00957E76"/>
    <w:rsid w:val="00961C90"/>
    <w:rsid w:val="00966C68"/>
    <w:rsid w:val="00970029"/>
    <w:rsid w:val="0097558C"/>
    <w:rsid w:val="00977569"/>
    <w:rsid w:val="00981DE2"/>
    <w:rsid w:val="00984693"/>
    <w:rsid w:val="009878C5"/>
    <w:rsid w:val="009911AE"/>
    <w:rsid w:val="00993D4E"/>
    <w:rsid w:val="009A0407"/>
    <w:rsid w:val="009A1D80"/>
    <w:rsid w:val="009A6D7E"/>
    <w:rsid w:val="009B3F95"/>
    <w:rsid w:val="009B6EF8"/>
    <w:rsid w:val="009C0F86"/>
    <w:rsid w:val="009C7323"/>
    <w:rsid w:val="009D0F72"/>
    <w:rsid w:val="009D6147"/>
    <w:rsid w:val="009E5622"/>
    <w:rsid w:val="009F1A33"/>
    <w:rsid w:val="009F3BF2"/>
    <w:rsid w:val="009F3C2A"/>
    <w:rsid w:val="009F46AC"/>
    <w:rsid w:val="00A03451"/>
    <w:rsid w:val="00A07BAF"/>
    <w:rsid w:val="00A146F8"/>
    <w:rsid w:val="00A15002"/>
    <w:rsid w:val="00A2778A"/>
    <w:rsid w:val="00A543BE"/>
    <w:rsid w:val="00A54EB3"/>
    <w:rsid w:val="00A61FAC"/>
    <w:rsid w:val="00A80C47"/>
    <w:rsid w:val="00A81308"/>
    <w:rsid w:val="00A82A40"/>
    <w:rsid w:val="00A848E1"/>
    <w:rsid w:val="00A85D9C"/>
    <w:rsid w:val="00A932BD"/>
    <w:rsid w:val="00AA35CD"/>
    <w:rsid w:val="00AA5F85"/>
    <w:rsid w:val="00AA6B9F"/>
    <w:rsid w:val="00AB2B00"/>
    <w:rsid w:val="00AC2EDA"/>
    <w:rsid w:val="00AC626F"/>
    <w:rsid w:val="00AD2DE2"/>
    <w:rsid w:val="00AD4C32"/>
    <w:rsid w:val="00AD4C7B"/>
    <w:rsid w:val="00AE0DC2"/>
    <w:rsid w:val="00AE27EA"/>
    <w:rsid w:val="00AE676C"/>
    <w:rsid w:val="00AE76F3"/>
    <w:rsid w:val="00AF047A"/>
    <w:rsid w:val="00AF20A5"/>
    <w:rsid w:val="00B00560"/>
    <w:rsid w:val="00B0228D"/>
    <w:rsid w:val="00B03130"/>
    <w:rsid w:val="00B05FB8"/>
    <w:rsid w:val="00B20564"/>
    <w:rsid w:val="00B23E2C"/>
    <w:rsid w:val="00B36BD9"/>
    <w:rsid w:val="00B42DC9"/>
    <w:rsid w:val="00B42FB4"/>
    <w:rsid w:val="00B47F36"/>
    <w:rsid w:val="00B6581E"/>
    <w:rsid w:val="00B66D5B"/>
    <w:rsid w:val="00B70C24"/>
    <w:rsid w:val="00B76EDF"/>
    <w:rsid w:val="00B84964"/>
    <w:rsid w:val="00B9070C"/>
    <w:rsid w:val="00B90C9B"/>
    <w:rsid w:val="00BA04B4"/>
    <w:rsid w:val="00BC2FB0"/>
    <w:rsid w:val="00BC6853"/>
    <w:rsid w:val="00BD1388"/>
    <w:rsid w:val="00BD14AD"/>
    <w:rsid w:val="00BD4A6B"/>
    <w:rsid w:val="00BF6393"/>
    <w:rsid w:val="00BF7389"/>
    <w:rsid w:val="00C017AB"/>
    <w:rsid w:val="00C037FC"/>
    <w:rsid w:val="00C075F1"/>
    <w:rsid w:val="00C10079"/>
    <w:rsid w:val="00C10B23"/>
    <w:rsid w:val="00C11114"/>
    <w:rsid w:val="00C2748A"/>
    <w:rsid w:val="00C37C94"/>
    <w:rsid w:val="00C40EA1"/>
    <w:rsid w:val="00C421C9"/>
    <w:rsid w:val="00C53731"/>
    <w:rsid w:val="00C57F63"/>
    <w:rsid w:val="00C62430"/>
    <w:rsid w:val="00C6373D"/>
    <w:rsid w:val="00C6602E"/>
    <w:rsid w:val="00C711FE"/>
    <w:rsid w:val="00C71683"/>
    <w:rsid w:val="00C75F38"/>
    <w:rsid w:val="00C913D7"/>
    <w:rsid w:val="00C96D75"/>
    <w:rsid w:val="00CA19FD"/>
    <w:rsid w:val="00CA2119"/>
    <w:rsid w:val="00CB7511"/>
    <w:rsid w:val="00CD2B36"/>
    <w:rsid w:val="00CD7C7E"/>
    <w:rsid w:val="00CE5411"/>
    <w:rsid w:val="00CE6860"/>
    <w:rsid w:val="00CF6F21"/>
    <w:rsid w:val="00D05449"/>
    <w:rsid w:val="00D0668A"/>
    <w:rsid w:val="00D16025"/>
    <w:rsid w:val="00D22017"/>
    <w:rsid w:val="00D2282D"/>
    <w:rsid w:val="00D24A9A"/>
    <w:rsid w:val="00D26F7D"/>
    <w:rsid w:val="00D3233E"/>
    <w:rsid w:val="00D32B46"/>
    <w:rsid w:val="00D3344E"/>
    <w:rsid w:val="00D3467B"/>
    <w:rsid w:val="00D46234"/>
    <w:rsid w:val="00D5055B"/>
    <w:rsid w:val="00D523D6"/>
    <w:rsid w:val="00D65F40"/>
    <w:rsid w:val="00D6683A"/>
    <w:rsid w:val="00D73592"/>
    <w:rsid w:val="00D77DB7"/>
    <w:rsid w:val="00D8581D"/>
    <w:rsid w:val="00D9637D"/>
    <w:rsid w:val="00D96EA3"/>
    <w:rsid w:val="00D973B9"/>
    <w:rsid w:val="00DA4BB5"/>
    <w:rsid w:val="00DA5D34"/>
    <w:rsid w:val="00DA71DD"/>
    <w:rsid w:val="00DB0E32"/>
    <w:rsid w:val="00DB5E44"/>
    <w:rsid w:val="00DB65D3"/>
    <w:rsid w:val="00DD20E6"/>
    <w:rsid w:val="00DE6032"/>
    <w:rsid w:val="00DF2201"/>
    <w:rsid w:val="00E0293A"/>
    <w:rsid w:val="00E03FEC"/>
    <w:rsid w:val="00E2557E"/>
    <w:rsid w:val="00E26BEB"/>
    <w:rsid w:val="00E26E8E"/>
    <w:rsid w:val="00E27DC6"/>
    <w:rsid w:val="00E35065"/>
    <w:rsid w:val="00E360A6"/>
    <w:rsid w:val="00E416A3"/>
    <w:rsid w:val="00E453B9"/>
    <w:rsid w:val="00E55AA2"/>
    <w:rsid w:val="00E652A3"/>
    <w:rsid w:val="00E70DC5"/>
    <w:rsid w:val="00E72498"/>
    <w:rsid w:val="00E77407"/>
    <w:rsid w:val="00E8081E"/>
    <w:rsid w:val="00E83F3A"/>
    <w:rsid w:val="00EA349F"/>
    <w:rsid w:val="00EA5744"/>
    <w:rsid w:val="00EB3538"/>
    <w:rsid w:val="00EB5851"/>
    <w:rsid w:val="00EC2DA5"/>
    <w:rsid w:val="00EC4D81"/>
    <w:rsid w:val="00EE4C40"/>
    <w:rsid w:val="00EF0396"/>
    <w:rsid w:val="00EF6A4B"/>
    <w:rsid w:val="00F01B69"/>
    <w:rsid w:val="00F21330"/>
    <w:rsid w:val="00F279DA"/>
    <w:rsid w:val="00F31E0B"/>
    <w:rsid w:val="00F35567"/>
    <w:rsid w:val="00F35CCD"/>
    <w:rsid w:val="00F37F7F"/>
    <w:rsid w:val="00F51CF2"/>
    <w:rsid w:val="00F56AC7"/>
    <w:rsid w:val="00F56AEC"/>
    <w:rsid w:val="00F62E5D"/>
    <w:rsid w:val="00F6443E"/>
    <w:rsid w:val="00F729EC"/>
    <w:rsid w:val="00F946C5"/>
    <w:rsid w:val="00FA69F0"/>
    <w:rsid w:val="00FC125F"/>
    <w:rsid w:val="00FC1C82"/>
    <w:rsid w:val="00FD2ADE"/>
    <w:rsid w:val="00FE31FF"/>
    <w:rsid w:val="00FE322F"/>
    <w:rsid w:val="00FF189E"/>
    <w:rsid w:val="00FF26DE"/>
    <w:rsid w:val="00FF4357"/>
    <w:rsid w:val="00FF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86B1"/>
  <w15:docId w15:val="{4BF3D2DB-DBB3-463C-88B6-505B75E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A1D80"/>
  </w:style>
  <w:style w:type="paragraph" w:styleId="a3">
    <w:name w:val="header"/>
    <w:basedOn w:val="a"/>
    <w:link w:val="a4"/>
    <w:uiPriority w:val="99"/>
    <w:unhideWhenUsed/>
    <w:rsid w:val="00D334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344E"/>
    <w:rPr>
      <w:rFonts w:ascii="Times New Roman" w:eastAsia="宋体" w:hAnsi="Times New Roman" w:cs="Times New Roman"/>
      <w:sz w:val="18"/>
      <w:szCs w:val="18"/>
    </w:rPr>
  </w:style>
  <w:style w:type="paragraph" w:styleId="a5">
    <w:name w:val="footer"/>
    <w:basedOn w:val="a"/>
    <w:link w:val="a6"/>
    <w:uiPriority w:val="99"/>
    <w:unhideWhenUsed/>
    <w:rsid w:val="00D3344E"/>
    <w:pPr>
      <w:tabs>
        <w:tab w:val="center" w:pos="4153"/>
        <w:tab w:val="right" w:pos="8306"/>
      </w:tabs>
      <w:snapToGrid w:val="0"/>
      <w:jc w:val="left"/>
    </w:pPr>
    <w:rPr>
      <w:sz w:val="18"/>
      <w:szCs w:val="18"/>
    </w:rPr>
  </w:style>
  <w:style w:type="character" w:customStyle="1" w:styleId="a6">
    <w:name w:val="页脚 字符"/>
    <w:basedOn w:val="a0"/>
    <w:link w:val="a5"/>
    <w:uiPriority w:val="99"/>
    <w:rsid w:val="00D3344E"/>
    <w:rPr>
      <w:rFonts w:ascii="Times New Roman" w:eastAsia="宋体" w:hAnsi="Times New Roman" w:cs="Times New Roman"/>
      <w:sz w:val="18"/>
      <w:szCs w:val="18"/>
    </w:rPr>
  </w:style>
  <w:style w:type="table" w:styleId="a7">
    <w:name w:val="Table Grid"/>
    <w:basedOn w:val="a1"/>
    <w:rsid w:val="00557E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48E0"/>
    <w:pPr>
      <w:ind w:firstLineChars="200" w:firstLine="420"/>
    </w:pPr>
  </w:style>
  <w:style w:type="paragraph" w:styleId="a9">
    <w:name w:val="Normal (Web)"/>
    <w:basedOn w:val="a"/>
    <w:uiPriority w:val="99"/>
    <w:unhideWhenUsed/>
    <w:rsid w:val="00D3233E"/>
    <w:pPr>
      <w:widowControl/>
      <w:spacing w:before="100" w:beforeAutospacing="1" w:after="100" w:afterAutospacing="1"/>
      <w:jc w:val="left"/>
    </w:pPr>
    <w:rPr>
      <w:rFonts w:ascii="宋体" w:hAnsi="宋体" w:cs="宋体"/>
      <w:kern w:val="0"/>
      <w:sz w:val="24"/>
    </w:rPr>
  </w:style>
  <w:style w:type="paragraph" w:styleId="aa">
    <w:name w:val="Balloon Text"/>
    <w:basedOn w:val="a"/>
    <w:link w:val="ab"/>
    <w:uiPriority w:val="99"/>
    <w:semiHidden/>
    <w:unhideWhenUsed/>
    <w:rsid w:val="00EF6A4B"/>
    <w:rPr>
      <w:sz w:val="18"/>
      <w:szCs w:val="18"/>
    </w:rPr>
  </w:style>
  <w:style w:type="character" w:customStyle="1" w:styleId="ab">
    <w:name w:val="批注框文本 字符"/>
    <w:basedOn w:val="a0"/>
    <w:link w:val="aa"/>
    <w:uiPriority w:val="99"/>
    <w:semiHidden/>
    <w:rsid w:val="00EF6A4B"/>
    <w:rPr>
      <w:rFonts w:ascii="Times New Roman" w:eastAsia="宋体" w:hAnsi="Times New Roman" w:cs="Times New Roman"/>
      <w:sz w:val="18"/>
      <w:szCs w:val="18"/>
    </w:rPr>
  </w:style>
  <w:style w:type="paragraph" w:customStyle="1" w:styleId="TableParagraph">
    <w:name w:val="Table Paragraph"/>
    <w:basedOn w:val="a"/>
    <w:uiPriority w:val="1"/>
    <w:qFormat/>
    <w:rsid w:val="00B9070C"/>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8462">
      <w:bodyDiv w:val="1"/>
      <w:marLeft w:val="0"/>
      <w:marRight w:val="0"/>
      <w:marTop w:val="0"/>
      <w:marBottom w:val="0"/>
      <w:divBdr>
        <w:top w:val="none" w:sz="0" w:space="0" w:color="auto"/>
        <w:left w:val="none" w:sz="0" w:space="0" w:color="auto"/>
        <w:bottom w:val="none" w:sz="0" w:space="0" w:color="auto"/>
        <w:right w:val="none" w:sz="0" w:space="0" w:color="auto"/>
      </w:divBdr>
    </w:div>
    <w:div w:id="1076366817">
      <w:bodyDiv w:val="1"/>
      <w:marLeft w:val="0"/>
      <w:marRight w:val="0"/>
      <w:marTop w:val="0"/>
      <w:marBottom w:val="0"/>
      <w:divBdr>
        <w:top w:val="none" w:sz="0" w:space="0" w:color="auto"/>
        <w:left w:val="none" w:sz="0" w:space="0" w:color="auto"/>
        <w:bottom w:val="none" w:sz="0" w:space="0" w:color="auto"/>
        <w:right w:val="none" w:sz="0" w:space="0" w:color="auto"/>
      </w:divBdr>
      <w:divsChild>
        <w:div w:id="2037005334">
          <w:marLeft w:val="0"/>
          <w:marRight w:val="0"/>
          <w:marTop w:val="0"/>
          <w:marBottom w:val="0"/>
          <w:divBdr>
            <w:top w:val="none" w:sz="0" w:space="0" w:color="auto"/>
            <w:left w:val="none" w:sz="0" w:space="0" w:color="auto"/>
            <w:bottom w:val="none" w:sz="0" w:space="0" w:color="auto"/>
            <w:right w:val="none" w:sz="0" w:space="0" w:color="auto"/>
          </w:divBdr>
          <w:divsChild>
            <w:div w:id="260340968">
              <w:marLeft w:val="0"/>
              <w:marRight w:val="0"/>
              <w:marTop w:val="0"/>
              <w:marBottom w:val="0"/>
              <w:divBdr>
                <w:top w:val="none" w:sz="0" w:space="0" w:color="auto"/>
                <w:left w:val="none" w:sz="0" w:space="0" w:color="auto"/>
                <w:bottom w:val="none" w:sz="0" w:space="0" w:color="auto"/>
                <w:right w:val="none" w:sz="0" w:space="0" w:color="auto"/>
              </w:divBdr>
              <w:divsChild>
                <w:div w:id="509494017">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 w:id="1219896245">
      <w:bodyDiv w:val="1"/>
      <w:marLeft w:val="0"/>
      <w:marRight w:val="0"/>
      <w:marTop w:val="0"/>
      <w:marBottom w:val="0"/>
      <w:divBdr>
        <w:top w:val="none" w:sz="0" w:space="0" w:color="auto"/>
        <w:left w:val="none" w:sz="0" w:space="0" w:color="auto"/>
        <w:bottom w:val="none" w:sz="0" w:space="0" w:color="auto"/>
        <w:right w:val="none" w:sz="0" w:space="0" w:color="auto"/>
      </w:divBdr>
      <w:divsChild>
        <w:div w:id="2094860414">
          <w:marLeft w:val="0"/>
          <w:marRight w:val="0"/>
          <w:marTop w:val="0"/>
          <w:marBottom w:val="0"/>
          <w:divBdr>
            <w:top w:val="none" w:sz="0" w:space="0" w:color="auto"/>
            <w:left w:val="none" w:sz="0" w:space="0" w:color="auto"/>
            <w:bottom w:val="none" w:sz="0" w:space="0" w:color="auto"/>
            <w:right w:val="none" w:sz="0" w:space="0" w:color="auto"/>
          </w:divBdr>
          <w:divsChild>
            <w:div w:id="274286707">
              <w:marLeft w:val="0"/>
              <w:marRight w:val="0"/>
              <w:marTop w:val="0"/>
              <w:marBottom w:val="0"/>
              <w:divBdr>
                <w:top w:val="none" w:sz="0" w:space="0" w:color="auto"/>
                <w:left w:val="none" w:sz="0" w:space="0" w:color="auto"/>
                <w:bottom w:val="none" w:sz="0" w:space="0" w:color="auto"/>
                <w:right w:val="none" w:sz="0" w:space="0" w:color="auto"/>
              </w:divBdr>
              <w:divsChild>
                <w:div w:id="1160200013">
                  <w:marLeft w:val="0"/>
                  <w:marRight w:val="0"/>
                  <w:marTop w:val="150"/>
                  <w:marBottom w:val="0"/>
                  <w:divBdr>
                    <w:top w:val="single" w:sz="6" w:space="8" w:color="E5E5E5"/>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EF01-E48B-41DA-9CD1-4241F344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412277914@qq.com</cp:lastModifiedBy>
  <cp:revision>203</cp:revision>
  <cp:lastPrinted>2021-11-19T07:02:00Z</cp:lastPrinted>
  <dcterms:created xsi:type="dcterms:W3CDTF">2021-11-03T00:48:00Z</dcterms:created>
  <dcterms:modified xsi:type="dcterms:W3CDTF">2021-12-22T08:30:00Z</dcterms:modified>
</cp:coreProperties>
</file>