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szCs w:val="24"/>
        </w:rPr>
      </w:pPr>
      <w:bookmarkStart w:id="0" w:name="_GoBack"/>
      <w:bookmarkEnd w:id="0"/>
      <w:r>
        <w:rPr>
          <w:rFonts w:hint="eastAsia" w:ascii="宋体" w:hAnsi="宋体"/>
          <w:sz w:val="24"/>
          <w:szCs w:val="24"/>
        </w:rPr>
        <w:t>证券代码：601515                                    证券简称：东风股份</w:t>
      </w:r>
    </w:p>
    <w:p>
      <w:pPr>
        <w:spacing w:line="360" w:lineRule="auto"/>
        <w:rPr>
          <w:rFonts w:ascii="宋体" w:hAnsi="宋体"/>
          <w:sz w:val="24"/>
          <w:szCs w:val="24"/>
        </w:rPr>
      </w:pPr>
      <w:r>
        <w:rPr>
          <w:rFonts w:hint="eastAsia" w:ascii="宋体" w:hAnsi="宋体"/>
          <w:sz w:val="24"/>
          <w:szCs w:val="24"/>
        </w:rPr>
        <w:t>债券代码：113030                                    债券简称：东风转债</w:t>
      </w:r>
    </w:p>
    <w:p>
      <w:pPr>
        <w:spacing w:line="360" w:lineRule="auto"/>
        <w:rPr>
          <w:rFonts w:ascii="宋体" w:hAnsi="宋体"/>
          <w:color w:val="585858"/>
          <w:sz w:val="24"/>
          <w:szCs w:val="24"/>
        </w:rPr>
      </w:pP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汕头东风印刷股份有限公司</w:t>
      </w: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投资者交流会议纪要</w:t>
      </w:r>
    </w:p>
    <w:p/>
    <w:p>
      <w:pPr>
        <w:spacing w:line="360" w:lineRule="auto"/>
        <w:rPr>
          <w:rFonts w:ascii="宋体" w:hAnsi="宋体" w:cs="宋体"/>
          <w:sz w:val="24"/>
          <w:szCs w:val="24"/>
        </w:rPr>
      </w:pPr>
      <w:r>
        <w:rPr>
          <w:rFonts w:hint="eastAsia" w:ascii="宋体" w:hAnsi="宋体" w:cs="宋体"/>
          <w:b/>
          <w:bCs/>
          <w:sz w:val="24"/>
          <w:szCs w:val="24"/>
        </w:rPr>
        <w:t>时间：</w:t>
      </w:r>
      <w:r>
        <w:rPr>
          <w:rFonts w:hint="eastAsia" w:ascii="宋体" w:hAnsi="宋体" w:cs="宋体"/>
          <w:sz w:val="24"/>
          <w:szCs w:val="24"/>
        </w:rPr>
        <w:t>2022年1月11日13:30-14:30；</w:t>
      </w:r>
    </w:p>
    <w:p>
      <w:pPr>
        <w:spacing w:line="360" w:lineRule="auto"/>
        <w:rPr>
          <w:rFonts w:ascii="宋体" w:hAnsi="宋体" w:cs="宋体"/>
          <w:sz w:val="24"/>
          <w:szCs w:val="24"/>
        </w:rPr>
      </w:pPr>
      <w:r>
        <w:rPr>
          <w:rFonts w:hint="eastAsia" w:ascii="宋体" w:hAnsi="宋体" w:cs="宋体"/>
          <w:b/>
          <w:bCs/>
          <w:sz w:val="24"/>
          <w:szCs w:val="24"/>
        </w:rPr>
        <w:t>形式：</w:t>
      </w:r>
      <w:r>
        <w:rPr>
          <w:rFonts w:hint="eastAsia" w:ascii="宋体" w:hAnsi="宋体" w:cs="宋体"/>
          <w:sz w:val="24"/>
          <w:szCs w:val="24"/>
        </w:rPr>
        <w:t>线上会议；</w:t>
      </w:r>
    </w:p>
    <w:p>
      <w:pPr>
        <w:spacing w:line="360" w:lineRule="auto"/>
        <w:rPr>
          <w:rFonts w:ascii="宋体" w:hAnsi="宋体" w:cs="宋体"/>
          <w:sz w:val="24"/>
          <w:szCs w:val="24"/>
        </w:rPr>
      </w:pPr>
      <w:r>
        <w:rPr>
          <w:rFonts w:hint="eastAsia" w:ascii="宋体" w:hAnsi="宋体" w:cs="宋体"/>
          <w:b/>
          <w:bCs/>
          <w:sz w:val="24"/>
          <w:szCs w:val="24"/>
        </w:rPr>
        <w:t>公司参与人员：</w:t>
      </w:r>
      <w:r>
        <w:rPr>
          <w:rFonts w:hint="eastAsia" w:ascii="宋体" w:hAnsi="宋体" w:cs="宋体"/>
          <w:sz w:val="24"/>
          <w:szCs w:val="24"/>
        </w:rPr>
        <w:t>汕头东风印刷股份有限公司集团副总裁、董事会秘书秋天；</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汕头东风印刷股份有限公司证券事务代表黄隆宇；</w:t>
      </w:r>
    </w:p>
    <w:p>
      <w:pPr>
        <w:spacing w:line="360" w:lineRule="auto"/>
        <w:ind w:left="1983" w:hanging="1983" w:hangingChars="823"/>
        <w:rPr>
          <w:rFonts w:ascii="宋体" w:hAnsi="宋体" w:cs="宋体"/>
          <w:sz w:val="24"/>
          <w:szCs w:val="24"/>
        </w:rPr>
      </w:pPr>
      <w:r>
        <w:rPr>
          <w:rFonts w:hint="eastAsia" w:ascii="宋体" w:hAnsi="宋体" w:cs="宋体"/>
          <w:b/>
          <w:bCs/>
          <w:sz w:val="24"/>
          <w:szCs w:val="24"/>
        </w:rPr>
        <w:t>投资者参与机构：</w:t>
      </w:r>
      <w:r>
        <w:rPr>
          <w:rFonts w:hint="eastAsia" w:ascii="宋体" w:hAnsi="宋体" w:cs="宋体"/>
          <w:bCs/>
          <w:sz w:val="24"/>
          <w:szCs w:val="24"/>
        </w:rPr>
        <w:t>兴全基金</w:t>
      </w:r>
      <w:r>
        <w:rPr>
          <w:rFonts w:hint="eastAsia" w:ascii="宋体" w:hAnsi="宋体" w:cs="宋体"/>
          <w:sz w:val="24"/>
          <w:szCs w:val="24"/>
        </w:rPr>
        <w:t>虞淼、朱喆丰、闫兆虎、邓荃文、张睿、翟秀华、</w:t>
      </w:r>
    </w:p>
    <w:p>
      <w:pPr>
        <w:spacing w:line="360" w:lineRule="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rPr>
        <w:t>杨宇辰；</w:t>
      </w: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r>
        <w:rPr>
          <w:rFonts w:hint="eastAsia" w:ascii="宋体" w:hAnsi="宋体" w:cs="宋体"/>
          <w:sz w:val="24"/>
          <w:szCs w:val="24"/>
        </w:rPr>
        <w:t>本次投资者交流会中，投资者重点关注的问题及公司的回复要点如下：</w:t>
      </w:r>
    </w:p>
    <w:p>
      <w:pPr>
        <w:spacing w:line="360" w:lineRule="auto"/>
        <w:ind w:firstLine="480"/>
        <w:rPr>
          <w:rFonts w:ascii="宋体" w:hAnsi="宋体" w:cs="宋体"/>
          <w:sz w:val="24"/>
          <w:szCs w:val="24"/>
        </w:rPr>
      </w:pPr>
      <w:r>
        <w:rPr>
          <w:rFonts w:hint="eastAsia" w:ascii="宋体" w:hAnsi="宋体" w:cs="宋体"/>
          <w:b/>
          <w:bCs/>
          <w:sz w:val="24"/>
          <w:szCs w:val="24"/>
        </w:rPr>
        <w:t>问题1：请问公司烟标业务2021年度的经营情况以及下一年度的预期展望；</w:t>
      </w:r>
    </w:p>
    <w:p>
      <w:pPr>
        <w:spacing w:line="360" w:lineRule="auto"/>
        <w:ind w:firstLine="480" w:firstLineChars="200"/>
        <w:rPr>
          <w:rFonts w:ascii="宋体" w:hAnsi="宋体" w:cs="宋体"/>
          <w:sz w:val="24"/>
          <w:szCs w:val="24"/>
        </w:rPr>
      </w:pPr>
      <w:r>
        <w:rPr>
          <w:rFonts w:hint="eastAsia" w:ascii="宋体" w:hAnsi="宋体" w:cs="宋体"/>
          <w:sz w:val="24"/>
          <w:szCs w:val="24"/>
        </w:rPr>
        <w:t>2021年，由于原材料价格上涨以及短期内限电等因素给公司烟标业务带来了一定的经营压力，由此导致公司生产成本上升。公司也通过集团规模化采购优势降低物料成本，并持续进行工艺技术整合改造，提高设备自动化和智能化水平以及生产运营效率，发挥产业链深度优势和经营规模优势，保证了公司烟标印刷业务平稳发展。</w:t>
      </w:r>
    </w:p>
    <w:p>
      <w:pPr>
        <w:spacing w:line="360" w:lineRule="auto"/>
        <w:ind w:firstLine="480"/>
        <w:rPr>
          <w:rFonts w:hint="eastAsia" w:ascii="宋体" w:hAnsi="宋体" w:cs="宋体"/>
          <w:sz w:val="24"/>
          <w:szCs w:val="24"/>
        </w:rPr>
      </w:pPr>
      <w:r>
        <w:rPr>
          <w:rFonts w:hint="eastAsia" w:ascii="宋体" w:hAnsi="宋体" w:cs="宋体"/>
          <w:sz w:val="24"/>
          <w:szCs w:val="24"/>
        </w:rPr>
        <w:t>烟标业务是公司的基石业务，公司将发挥产业链深度优势和经营规模优势有效地控制成本、质量和交期，确保烟标印刷业务的稳定发展。传统烟草行业虽然从市场总量来说不会有大幅度的增长，但产品结构往中高端转化是必然的趋势，公司烟标产品结构的调整也在有步骤地进行，正在积极设计、研发新产品，增强公司核心竞争力，保持业务的平稳发展。</w:t>
      </w:r>
    </w:p>
    <w:p>
      <w:pPr>
        <w:spacing w:line="360" w:lineRule="auto"/>
        <w:ind w:firstLine="480"/>
        <w:rPr>
          <w:rFonts w:hint="eastAsia" w:ascii="宋体" w:hAnsi="宋体" w:cs="宋体"/>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问题2：去年11月以来，国家新型烟草政策迎来破冰，公司新型烟草业务是否有相应规划；</w:t>
      </w:r>
    </w:p>
    <w:p>
      <w:pPr>
        <w:spacing w:line="360" w:lineRule="auto"/>
        <w:ind w:firstLine="480"/>
        <w:rPr>
          <w:rFonts w:hint="eastAsia" w:ascii="宋体" w:hAnsi="宋体" w:cs="宋体"/>
          <w:sz w:val="24"/>
          <w:szCs w:val="24"/>
        </w:rPr>
      </w:pPr>
      <w:r>
        <w:rPr>
          <w:rFonts w:hint="eastAsia" w:ascii="宋体" w:hAnsi="宋体" w:cs="宋体"/>
          <w:sz w:val="24"/>
          <w:szCs w:val="24"/>
        </w:rPr>
        <w:t>在新型烟草业务方面，公司持续关注国家监管政策并已在前期做好战略布局。此前公司已投资设立了上海绿馨电子科技有限公司作为在新型烟草领域的投资平台，重点布局了云南喜科、美众联、佳品健怡等。同时，公司也成立了新型烟草事业部，不断研发、布局含HNB在内的新型烟草，从基材、调香研发到生产、销售等进行全产业链布局。</w:t>
      </w:r>
    </w:p>
    <w:p>
      <w:pPr>
        <w:spacing w:line="360" w:lineRule="auto"/>
        <w:ind w:firstLine="480"/>
        <w:rPr>
          <w:rFonts w:hint="eastAsia" w:ascii="宋体" w:hAnsi="宋体" w:cs="宋体"/>
          <w:sz w:val="24"/>
          <w:szCs w:val="24"/>
        </w:rPr>
      </w:pPr>
      <w:r>
        <w:rPr>
          <w:rFonts w:hint="eastAsia" w:ascii="宋体" w:hAnsi="宋体" w:cs="宋体"/>
          <w:sz w:val="24"/>
          <w:szCs w:val="24"/>
        </w:rPr>
        <w:t>为进一步完善产业布局，公司在去年底投资了新型烟草雾化品牌“Soyee小叶”（深圳市智叶生物科技有限公司），Soyee小叶主营产品包含加热不燃烧式本草电子烟和雾化式电子烟，自研电子烟PLA（即聚乳酸，是以玉米、木薯等植物淀粉为原材料制成，具有生物降解性的绿色环保高分子材料，被广泛应用于生物制药领域，是当前最新锐的电子雾化烟安全过滤材料）过滤嘴是Soyee核心技术之一。</w:t>
      </w:r>
    </w:p>
    <w:p>
      <w:pPr>
        <w:spacing w:line="360" w:lineRule="auto"/>
        <w:ind w:firstLine="480"/>
        <w:rPr>
          <w:rFonts w:ascii="宋体" w:hAnsi="宋体" w:cs="宋体"/>
          <w:sz w:val="24"/>
          <w:szCs w:val="24"/>
        </w:rPr>
      </w:pPr>
      <w:r>
        <w:rPr>
          <w:rFonts w:hint="eastAsia" w:ascii="宋体" w:hAnsi="宋体" w:cs="宋体"/>
          <w:sz w:val="24"/>
          <w:szCs w:val="24"/>
        </w:rPr>
        <w:t>公司布局涵盖滤嘴、HNB、雾化的研发、生产、销售进行全产业链布局。随着监管政策的落地，在政策引导之下，公司基于多年来和下游烟草行业的良好合作关系，会在法律法规及监管部门的政策框架下制定相应的发展战略，持续关注并探索进一步优化在电子烟相关业务板块的</w:t>
      </w:r>
      <w:r>
        <w:rPr>
          <w:rFonts w:hint="eastAsia" w:ascii="宋体" w:hAnsi="宋体" w:cs="宋体"/>
          <w:sz w:val="24"/>
          <w:szCs w:val="24"/>
          <w:lang w:eastAsia="zh-CN"/>
        </w:rPr>
        <w:t>发展</w:t>
      </w:r>
      <w:r>
        <w:rPr>
          <w:rFonts w:hint="eastAsia" w:ascii="宋体" w:hAnsi="宋体" w:cs="宋体"/>
          <w:sz w:val="24"/>
          <w:szCs w:val="24"/>
        </w:rPr>
        <w:t>。</w:t>
      </w:r>
    </w:p>
    <w:p>
      <w:pPr>
        <w:spacing w:line="360" w:lineRule="auto"/>
        <w:ind w:firstLine="482" w:firstLineChars="200"/>
        <w:rPr>
          <w:rFonts w:hint="eastAsia"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问题3：请介绍一下公司医药包装业务未来的战略方向；</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公司在持续巩固烟标印刷主业领先优势的同时快速转型，通过外延式并购积极开拓医药包装领域细分业务，培育新的利润增长点。目前，公司已成功并购贵州千叶、重庆首键、常州华健、福鑫华康四家I类药包材企业，产业布局初现雏形。公司积极推进对并购标的的协同整合与管理提升，并成立全资子公司上海东峰医药包装科技有限公司统筹医药包装业务板块的整体布局与发展，积极打造“东峰药包”作为公司医药大健康的品牌。未来，公司将加速转型，在I类医药包装、药用辅材、医疗器械产业板块持续发力，目前根据集团的投资规划，所有药包材子公司均已经申请投资配额，将全面扩产扩规模拿地建厂，不断提升生产规模，优化产品结构，改善客户结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未来公司将把“东峰药包”打造成平台型全资子公司，把医药包装板块培育成公司支柱板块之一。公司也会循序渐进，结合发展情况在行业内进一步实施并购与整合。根据公司此前发布的《医药包装产业五年发展战略规划（2020年-2024年）》，公司未来的目标是力争成为中国医药包装领域综合性的龙头生产企业。</w:t>
      </w:r>
    </w:p>
    <w:p>
      <w:pPr>
        <w:spacing w:line="360" w:lineRule="auto"/>
        <w:ind w:firstLine="480" w:firstLineChars="200"/>
        <w:rPr>
          <w:rFonts w:hint="eastAsia" w:ascii="宋体" w:hAnsi="宋体" w:cs="宋体"/>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问题4：请介绍一下公司</w:t>
      </w:r>
      <w:r>
        <w:rPr>
          <w:rFonts w:hint="eastAsia" w:ascii="宋体" w:hAnsi="宋体" w:cs="宋体"/>
          <w:b/>
          <w:sz w:val="24"/>
          <w:szCs w:val="24"/>
          <w:lang w:eastAsia="zh-CN"/>
        </w:rPr>
        <w:t>合资成立</w:t>
      </w:r>
      <w:r>
        <w:rPr>
          <w:rFonts w:hint="eastAsia" w:ascii="宋体" w:hAnsi="宋体" w:cs="宋体"/>
          <w:b/>
          <w:sz w:val="24"/>
          <w:szCs w:val="24"/>
        </w:rPr>
        <w:t>灰小度科技的初衷，公司未来是否会继续投资新型包装材料业务；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在国家大力鼓励快递包装绿色发展的大背景下，公司响应国家“碳中和”的政策号召，紧抓行业风口，与灰度环保科技（上海）有限公司及相关方合作成立项目公司灰小度科技（上海）有限公司，结合各方的资源、技术等综合优势，灰小度项目符合国家绿色包装及包装减量的大趋势，“直发+循环”包装项目能够满足国际日化品牌在电商包装领域的新兴环保需求且进一步降低包装成本，契合包装领域在环保、减量等方面的发展趋势，有利于公司快速切入国际日化品牌的供应链体系。循环包装还能获取部分销售数据，反哺企业发展转型。</w:t>
      </w:r>
    </w:p>
    <w:p>
      <w:pPr>
        <w:spacing w:line="360" w:lineRule="auto"/>
        <w:ind w:firstLine="480" w:firstLineChars="200"/>
        <w:rPr>
          <w:rFonts w:hint="eastAsia" w:ascii="宋体" w:hAnsi="宋体" w:cs="宋体"/>
          <w:b/>
          <w:sz w:val="24"/>
          <w:szCs w:val="24"/>
        </w:rPr>
      </w:pPr>
      <w:r>
        <w:rPr>
          <w:rFonts w:hint="eastAsia" w:ascii="宋体" w:hAnsi="宋体" w:cs="宋体"/>
          <w:sz w:val="24"/>
          <w:szCs w:val="24"/>
        </w:rPr>
        <w:t>未来，公司在新型材料业务方面将</w:t>
      </w:r>
      <w:r>
        <w:rPr>
          <w:rFonts w:hint="eastAsia" w:ascii="宋体" w:hAnsi="宋体" w:cs="宋体"/>
          <w:sz w:val="24"/>
          <w:szCs w:val="24"/>
          <w:lang w:eastAsia="zh-CN"/>
        </w:rPr>
        <w:t>进一步</w:t>
      </w:r>
      <w:r>
        <w:rPr>
          <w:rFonts w:hint="eastAsia" w:ascii="宋体" w:hAnsi="宋体" w:cs="宋体"/>
          <w:sz w:val="24"/>
          <w:szCs w:val="24"/>
        </w:rPr>
        <w:t>加大</w:t>
      </w:r>
      <w:r>
        <w:rPr>
          <w:rFonts w:hint="eastAsia" w:ascii="宋体" w:hAnsi="宋体" w:cs="宋体"/>
          <w:sz w:val="24"/>
          <w:szCs w:val="24"/>
          <w:lang w:eastAsia="zh-CN"/>
        </w:rPr>
        <w:t>对</w:t>
      </w:r>
      <w:r>
        <w:rPr>
          <w:rFonts w:hint="eastAsia" w:ascii="宋体" w:hAnsi="宋体" w:cs="宋体"/>
          <w:sz w:val="24"/>
          <w:szCs w:val="24"/>
        </w:rPr>
        <w:t>全资子公司广东鑫瑞新材料科技有限公司</w:t>
      </w:r>
      <w:r>
        <w:rPr>
          <w:rFonts w:hint="eastAsia" w:ascii="宋体" w:hAnsi="宋体" w:cs="宋体"/>
          <w:sz w:val="24"/>
          <w:szCs w:val="24"/>
          <w:lang w:eastAsia="zh-CN"/>
        </w:rPr>
        <w:t>的投入力度，持续</w:t>
      </w:r>
      <w:r>
        <w:rPr>
          <w:rFonts w:hint="eastAsia" w:ascii="宋体" w:hAnsi="宋体" w:cs="宋体"/>
          <w:sz w:val="24"/>
          <w:szCs w:val="24"/>
        </w:rPr>
        <w:t>进行各类功能膜及新型材料</w:t>
      </w:r>
      <w:r>
        <w:rPr>
          <w:rFonts w:hint="eastAsia" w:ascii="宋体" w:hAnsi="宋体" w:cs="宋体"/>
          <w:sz w:val="24"/>
          <w:szCs w:val="24"/>
          <w:lang w:eastAsia="zh-CN"/>
        </w:rPr>
        <w:t>产业</w:t>
      </w:r>
      <w:r>
        <w:rPr>
          <w:rFonts w:hint="eastAsia" w:ascii="宋体" w:hAnsi="宋体" w:cs="宋体"/>
          <w:sz w:val="24"/>
          <w:szCs w:val="24"/>
        </w:rPr>
        <w:t>的投资，促进公司战略转型多赛道并进。</w:t>
      </w:r>
    </w:p>
    <w:p>
      <w:pPr>
        <w:spacing w:line="360" w:lineRule="auto"/>
        <w:ind w:firstLine="482" w:firstLineChars="200"/>
        <w:rPr>
          <w:rFonts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问题5：公司对膜业务未来的战略规划；</w:t>
      </w:r>
    </w:p>
    <w:p>
      <w:pPr>
        <w:spacing w:line="360" w:lineRule="auto"/>
        <w:ind w:firstLine="480"/>
        <w:rPr>
          <w:rFonts w:ascii="宋体" w:hAnsi="宋体" w:cs="宋体"/>
          <w:sz w:val="24"/>
          <w:szCs w:val="24"/>
        </w:rPr>
      </w:pPr>
      <w:r>
        <w:rPr>
          <w:rFonts w:hint="eastAsia" w:ascii="宋体" w:hAnsi="宋体" w:cs="宋体"/>
          <w:sz w:val="24"/>
          <w:szCs w:val="24"/>
        </w:rPr>
        <w:t>公司依托全资子公司广东鑫瑞新材料科技有限公司为核心平台，打造具备高技术门槛、高成长性特征的高端膜类新材料平台公司，是公司发展战略的核心内容之一。在赛道选择方面，公司会结合战略转型的规划布局高附加值的医药包材I类包装业务、锂电池隔膜保护膜业务等，主要产品包括I类药包材、PVA高阻隔涂布膜、锂电池电芯外包铝塑膜保护膜、锂电池隔膜支撑保护膜等。未来，高端医药包装、高端食品包装等领域，及锂电池产品延伸出来的膜品类产业机会都是公司发力和转型的战略重点。公司将在积极提升技改水平的同时，努力拓展新的客户与市场，通过公司现有的产业链优势、规模生产优势、管理协同优势等，在保证原有业务稳健经营的同时，推进新业务的稳步发展。</w:t>
      </w:r>
    </w:p>
    <w:p>
      <w:pPr>
        <w:spacing w:line="360" w:lineRule="auto"/>
        <w:ind w:firstLine="480"/>
        <w:rPr>
          <w:rFonts w:hint="eastAsia" w:ascii="宋体" w:hAnsi="宋体" w:cs="宋体"/>
          <w:sz w:val="24"/>
        </w:rPr>
      </w:pPr>
    </w:p>
    <w:p>
      <w:pPr>
        <w:spacing w:line="360" w:lineRule="auto"/>
        <w:ind w:firstLine="480"/>
        <w:rPr>
          <w:rFonts w:ascii="宋体" w:hAnsi="宋体" w:cs="宋体"/>
          <w:b/>
          <w:sz w:val="24"/>
          <w:szCs w:val="24"/>
        </w:rPr>
      </w:pPr>
      <w:r>
        <w:rPr>
          <w:rFonts w:hint="eastAsia" w:ascii="宋体" w:hAnsi="宋体" w:cs="宋体"/>
          <w:b/>
          <w:sz w:val="24"/>
          <w:szCs w:val="24"/>
        </w:rPr>
        <w:t>问题6：公司资产负债率相当低，请介绍一下公司现金流情况；</w:t>
      </w:r>
    </w:p>
    <w:p>
      <w:pPr>
        <w:spacing w:line="360" w:lineRule="auto"/>
        <w:ind w:firstLine="480"/>
        <w:rPr>
          <w:rFonts w:hint="eastAsia" w:ascii="宋体" w:hAnsi="宋体"/>
          <w:sz w:val="24"/>
        </w:rPr>
      </w:pPr>
      <w:r>
        <w:rPr>
          <w:rFonts w:hint="eastAsia" w:ascii="宋体" w:hAnsi="宋体"/>
          <w:sz w:val="24"/>
        </w:rPr>
        <w:t>目前，公司与金融机构的融资授信采取“全信用+基准利率”模式，且基准利率为LPR基准利率，该融资授信模式也逐步覆盖至公司所属子公司。特别是对新并购的医药包装企业，通过集团增信，不仅有效降低了子公司的融资成本，打开了子公司的资金瓶颈，通过上市公司赋能的充足运营资金，有效地降低了子公司原材料采购成本，并可选择适当时机进行低成本物料储备计划，进一步提升其经营业绩。同时，公司内部科学做好母子公司、以及子公司之间的资金调配，进一步优化资金使用效率，加上公司烟标业务、医药包装业务客户回款情况较好，也保证了公司拥有较为良好的现金流。</w:t>
      </w:r>
    </w:p>
    <w:p>
      <w:pPr>
        <w:spacing w:line="360" w:lineRule="auto"/>
        <w:ind w:firstLine="480"/>
        <w:rPr>
          <w:rFonts w:hint="eastAsia" w:ascii="宋体" w:hAnsi="宋体"/>
          <w:sz w:val="24"/>
        </w:rPr>
      </w:pPr>
    </w:p>
    <w:p>
      <w:pPr>
        <w:spacing w:line="360" w:lineRule="auto"/>
        <w:ind w:firstLine="48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7</w:t>
      </w:r>
      <w:r>
        <w:rPr>
          <w:rFonts w:hint="eastAsia" w:ascii="宋体" w:hAnsi="宋体" w:cs="宋体"/>
          <w:b/>
          <w:sz w:val="24"/>
          <w:szCs w:val="24"/>
        </w:rPr>
        <w:t>：2022年公司消费投资基金的投资收益是否可延续；</w:t>
      </w:r>
    </w:p>
    <w:p>
      <w:pPr>
        <w:spacing w:line="360" w:lineRule="auto"/>
        <w:ind w:firstLine="480"/>
        <w:rPr>
          <w:rFonts w:ascii="宋体" w:hAnsi="宋体" w:cs="宋体"/>
          <w:sz w:val="24"/>
        </w:rPr>
      </w:pPr>
      <w:r>
        <w:rPr>
          <w:rFonts w:hint="eastAsia" w:ascii="宋体" w:hAnsi="宋体" w:cs="宋体"/>
          <w:sz w:val="24"/>
        </w:rPr>
        <w:t>公司消费投资基金自2017年开始逐步产生投资收益，一直持续至最近报告期，已经投资多个新快消优质标的。消费投资基金所投资的大部分项目目前均处于高速成长阶段，其中成长较快的有三顿半咖啡、气味图书馆、钟薛高等。之后消费投资基金也将进入退出期，会有相应的投资收益，目前奈雪的茶已上市、百果园也在筹划上市，加上其他项目估值的提升，公司预计未来投资收益是可持续的。</w:t>
      </w:r>
    </w:p>
    <w:p>
      <w:pPr>
        <w:spacing w:line="360" w:lineRule="auto"/>
        <w:ind w:firstLine="480"/>
        <w:rPr>
          <w:rFonts w:hint="eastAsia" w:ascii="宋体" w:hAnsi="宋体"/>
          <w:sz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8</w:t>
      </w:r>
      <w:r>
        <w:rPr>
          <w:rFonts w:hint="eastAsia" w:ascii="宋体" w:hAnsi="宋体" w:cs="宋体"/>
          <w:b/>
          <w:sz w:val="24"/>
          <w:szCs w:val="24"/>
        </w:rPr>
        <w:t>：请介绍一下2022年公司的发展战略；</w:t>
      </w:r>
    </w:p>
    <w:p>
      <w:pPr>
        <w:spacing w:line="360" w:lineRule="auto"/>
        <w:ind w:firstLine="480"/>
        <w:rPr>
          <w:rFonts w:ascii="宋体" w:hAnsi="宋体" w:cs="宋体"/>
          <w:sz w:val="24"/>
          <w:szCs w:val="24"/>
        </w:rPr>
      </w:pPr>
      <w:r>
        <w:rPr>
          <w:rFonts w:hint="eastAsia" w:ascii="宋体" w:hAnsi="宋体" w:cs="宋体"/>
          <w:sz w:val="24"/>
          <w:szCs w:val="24"/>
        </w:rPr>
        <w:t>2022年，公司将按照战略发展规划持续推进产业转型，通过外延式并购积极开拓</w:t>
      </w:r>
      <w:r>
        <w:rPr>
          <w:rFonts w:hint="eastAsia" w:ascii="宋体" w:hAnsi="宋体"/>
          <w:sz w:val="24"/>
        </w:rPr>
        <w:t>包括医药包装、新型材料、新型烟草等在内的优质赛道</w:t>
      </w:r>
      <w:r>
        <w:rPr>
          <w:rFonts w:hint="eastAsia" w:ascii="宋体" w:hAnsi="宋体" w:cs="宋体"/>
          <w:sz w:val="24"/>
          <w:szCs w:val="24"/>
        </w:rPr>
        <w:t>，提升各业务赛道的确定性增量，培育新的利润增长点，加快公司战略转型，实现公司的持续、良好发展。</w:t>
      </w:r>
    </w:p>
    <w:sectPr>
      <w:headerReference r:id="rId3" w:type="default"/>
      <w:pgSz w:w="11906" w:h="16838"/>
      <w:pgMar w:top="1247" w:right="1701" w:bottom="124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drawing>
        <wp:inline distT="0" distB="0" distL="0" distR="0">
          <wp:extent cx="374015" cy="309245"/>
          <wp:effectExtent l="0" t="0" r="6985" b="1460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4015" cy="309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5D9"/>
    <w:rsid w:val="00047DB1"/>
    <w:rsid w:val="00053328"/>
    <w:rsid w:val="000C4692"/>
    <w:rsid w:val="000E522E"/>
    <w:rsid w:val="000E7DD4"/>
    <w:rsid w:val="00103FE5"/>
    <w:rsid w:val="00112AB6"/>
    <w:rsid w:val="00120847"/>
    <w:rsid w:val="00126B56"/>
    <w:rsid w:val="00141AA1"/>
    <w:rsid w:val="00153A31"/>
    <w:rsid w:val="001662B0"/>
    <w:rsid w:val="00172A27"/>
    <w:rsid w:val="001951F2"/>
    <w:rsid w:val="001A2884"/>
    <w:rsid w:val="001A4A5E"/>
    <w:rsid w:val="001A62E1"/>
    <w:rsid w:val="001C4AEA"/>
    <w:rsid w:val="001E10A5"/>
    <w:rsid w:val="001E7A80"/>
    <w:rsid w:val="001F18C3"/>
    <w:rsid w:val="00232612"/>
    <w:rsid w:val="00232774"/>
    <w:rsid w:val="00264A53"/>
    <w:rsid w:val="00265F9D"/>
    <w:rsid w:val="002A6C88"/>
    <w:rsid w:val="002B2E3E"/>
    <w:rsid w:val="002B5BDB"/>
    <w:rsid w:val="002C02E8"/>
    <w:rsid w:val="002E7FD1"/>
    <w:rsid w:val="00304696"/>
    <w:rsid w:val="00310835"/>
    <w:rsid w:val="003260A2"/>
    <w:rsid w:val="00372685"/>
    <w:rsid w:val="00376197"/>
    <w:rsid w:val="003F5C64"/>
    <w:rsid w:val="004159BB"/>
    <w:rsid w:val="00417A39"/>
    <w:rsid w:val="00422726"/>
    <w:rsid w:val="00445CBF"/>
    <w:rsid w:val="004473B9"/>
    <w:rsid w:val="0047658F"/>
    <w:rsid w:val="004B1A4D"/>
    <w:rsid w:val="004B346A"/>
    <w:rsid w:val="004B6C93"/>
    <w:rsid w:val="004F0967"/>
    <w:rsid w:val="0050495B"/>
    <w:rsid w:val="005253FD"/>
    <w:rsid w:val="00534E4E"/>
    <w:rsid w:val="00535D5F"/>
    <w:rsid w:val="00553AE2"/>
    <w:rsid w:val="0055760A"/>
    <w:rsid w:val="00583F0D"/>
    <w:rsid w:val="005B7ECA"/>
    <w:rsid w:val="005D592F"/>
    <w:rsid w:val="00631884"/>
    <w:rsid w:val="006462E7"/>
    <w:rsid w:val="00656471"/>
    <w:rsid w:val="00666D09"/>
    <w:rsid w:val="006753D3"/>
    <w:rsid w:val="00685C7F"/>
    <w:rsid w:val="006A0184"/>
    <w:rsid w:val="006D51C8"/>
    <w:rsid w:val="0070753E"/>
    <w:rsid w:val="007A0825"/>
    <w:rsid w:val="007A44AD"/>
    <w:rsid w:val="007C4C9D"/>
    <w:rsid w:val="00840AA5"/>
    <w:rsid w:val="008554FD"/>
    <w:rsid w:val="00856715"/>
    <w:rsid w:val="008B387A"/>
    <w:rsid w:val="008D0ED9"/>
    <w:rsid w:val="00937AD6"/>
    <w:rsid w:val="009735BF"/>
    <w:rsid w:val="0097381A"/>
    <w:rsid w:val="0098410A"/>
    <w:rsid w:val="009B1F5A"/>
    <w:rsid w:val="009C09B9"/>
    <w:rsid w:val="009C0E9C"/>
    <w:rsid w:val="009C34AC"/>
    <w:rsid w:val="009F4260"/>
    <w:rsid w:val="00A123F3"/>
    <w:rsid w:val="00A16817"/>
    <w:rsid w:val="00A24686"/>
    <w:rsid w:val="00AA0E89"/>
    <w:rsid w:val="00AA4582"/>
    <w:rsid w:val="00AA55BE"/>
    <w:rsid w:val="00AD3958"/>
    <w:rsid w:val="00AE5E3F"/>
    <w:rsid w:val="00AE6B3C"/>
    <w:rsid w:val="00AF08D8"/>
    <w:rsid w:val="00B210A0"/>
    <w:rsid w:val="00B54C2A"/>
    <w:rsid w:val="00B873A0"/>
    <w:rsid w:val="00BB2650"/>
    <w:rsid w:val="00BC1A6F"/>
    <w:rsid w:val="00BC2210"/>
    <w:rsid w:val="00BD0E92"/>
    <w:rsid w:val="00BF2FAA"/>
    <w:rsid w:val="00BF3263"/>
    <w:rsid w:val="00C004C4"/>
    <w:rsid w:val="00C14A62"/>
    <w:rsid w:val="00C509CA"/>
    <w:rsid w:val="00C5660E"/>
    <w:rsid w:val="00C8354C"/>
    <w:rsid w:val="00C91D9D"/>
    <w:rsid w:val="00CC22AF"/>
    <w:rsid w:val="00CF12AD"/>
    <w:rsid w:val="00D337C2"/>
    <w:rsid w:val="00D377C8"/>
    <w:rsid w:val="00DA2E03"/>
    <w:rsid w:val="00DF71AE"/>
    <w:rsid w:val="00E234F0"/>
    <w:rsid w:val="00E36B7A"/>
    <w:rsid w:val="00E73A44"/>
    <w:rsid w:val="00E802B5"/>
    <w:rsid w:val="00E8191F"/>
    <w:rsid w:val="00EA7C8D"/>
    <w:rsid w:val="00EB7D05"/>
    <w:rsid w:val="00F003E3"/>
    <w:rsid w:val="00F0107D"/>
    <w:rsid w:val="00F02787"/>
    <w:rsid w:val="00F12636"/>
    <w:rsid w:val="00F15BAE"/>
    <w:rsid w:val="00F32770"/>
    <w:rsid w:val="00F77BDE"/>
    <w:rsid w:val="00F945FF"/>
    <w:rsid w:val="00F956EC"/>
    <w:rsid w:val="00F97522"/>
    <w:rsid w:val="00FB5EE4"/>
    <w:rsid w:val="00FD7879"/>
    <w:rsid w:val="013D2858"/>
    <w:rsid w:val="01724A8F"/>
    <w:rsid w:val="024D6E23"/>
    <w:rsid w:val="03106892"/>
    <w:rsid w:val="03730A5A"/>
    <w:rsid w:val="04003215"/>
    <w:rsid w:val="04133A6C"/>
    <w:rsid w:val="0427700A"/>
    <w:rsid w:val="044E346C"/>
    <w:rsid w:val="0573664B"/>
    <w:rsid w:val="05A753CA"/>
    <w:rsid w:val="0631111C"/>
    <w:rsid w:val="06793639"/>
    <w:rsid w:val="0760728C"/>
    <w:rsid w:val="08252348"/>
    <w:rsid w:val="086014DB"/>
    <w:rsid w:val="08D003E7"/>
    <w:rsid w:val="08FE4075"/>
    <w:rsid w:val="09135B3A"/>
    <w:rsid w:val="09717BAF"/>
    <w:rsid w:val="0AD574F0"/>
    <w:rsid w:val="0B17144E"/>
    <w:rsid w:val="0BD957E8"/>
    <w:rsid w:val="0C667636"/>
    <w:rsid w:val="0C7B1096"/>
    <w:rsid w:val="0D141AD1"/>
    <w:rsid w:val="0D6046E4"/>
    <w:rsid w:val="0DEB300A"/>
    <w:rsid w:val="0E49585B"/>
    <w:rsid w:val="0F3357DD"/>
    <w:rsid w:val="0F6938D1"/>
    <w:rsid w:val="10DE4C48"/>
    <w:rsid w:val="10E34D2F"/>
    <w:rsid w:val="111F14A2"/>
    <w:rsid w:val="11AB484D"/>
    <w:rsid w:val="11B879CA"/>
    <w:rsid w:val="12F13777"/>
    <w:rsid w:val="133D3ACC"/>
    <w:rsid w:val="14D47C1A"/>
    <w:rsid w:val="15867CA0"/>
    <w:rsid w:val="15F16259"/>
    <w:rsid w:val="16521FAD"/>
    <w:rsid w:val="168A3997"/>
    <w:rsid w:val="16C23066"/>
    <w:rsid w:val="16CE7D40"/>
    <w:rsid w:val="172925E2"/>
    <w:rsid w:val="1772339F"/>
    <w:rsid w:val="18914C3F"/>
    <w:rsid w:val="189A5020"/>
    <w:rsid w:val="18DD273D"/>
    <w:rsid w:val="194B135B"/>
    <w:rsid w:val="1973121F"/>
    <w:rsid w:val="1B461994"/>
    <w:rsid w:val="1B463995"/>
    <w:rsid w:val="1BA877E0"/>
    <w:rsid w:val="1BF43A0A"/>
    <w:rsid w:val="1C4373D9"/>
    <w:rsid w:val="1C896F7F"/>
    <w:rsid w:val="1C9C52F2"/>
    <w:rsid w:val="1CDD34FA"/>
    <w:rsid w:val="1D8737F7"/>
    <w:rsid w:val="1DCE3119"/>
    <w:rsid w:val="1E2D1559"/>
    <w:rsid w:val="1E425C21"/>
    <w:rsid w:val="1EA43D54"/>
    <w:rsid w:val="1EB1087B"/>
    <w:rsid w:val="1EB17192"/>
    <w:rsid w:val="1F1D0E6C"/>
    <w:rsid w:val="1F806BA9"/>
    <w:rsid w:val="1FB00A6C"/>
    <w:rsid w:val="20384594"/>
    <w:rsid w:val="2088394C"/>
    <w:rsid w:val="21A75215"/>
    <w:rsid w:val="21ED53E8"/>
    <w:rsid w:val="22442647"/>
    <w:rsid w:val="22624F25"/>
    <w:rsid w:val="22BC5250"/>
    <w:rsid w:val="24AC20E1"/>
    <w:rsid w:val="24BA2288"/>
    <w:rsid w:val="2589494A"/>
    <w:rsid w:val="25E152B2"/>
    <w:rsid w:val="264B630A"/>
    <w:rsid w:val="2732333B"/>
    <w:rsid w:val="276D0396"/>
    <w:rsid w:val="2780616E"/>
    <w:rsid w:val="289C4CA3"/>
    <w:rsid w:val="289C503B"/>
    <w:rsid w:val="28F13830"/>
    <w:rsid w:val="29B13924"/>
    <w:rsid w:val="29C06FBC"/>
    <w:rsid w:val="29DA62CC"/>
    <w:rsid w:val="29EF7F65"/>
    <w:rsid w:val="29FD740E"/>
    <w:rsid w:val="2A592E5D"/>
    <w:rsid w:val="2A8C4C03"/>
    <w:rsid w:val="2ABC42C0"/>
    <w:rsid w:val="2B0624FA"/>
    <w:rsid w:val="2B322CED"/>
    <w:rsid w:val="2B6250A9"/>
    <w:rsid w:val="2B805052"/>
    <w:rsid w:val="2C135C60"/>
    <w:rsid w:val="2C3A22AF"/>
    <w:rsid w:val="2D24065E"/>
    <w:rsid w:val="2D73076D"/>
    <w:rsid w:val="2DD22EBE"/>
    <w:rsid w:val="2E110A87"/>
    <w:rsid w:val="2E846A2B"/>
    <w:rsid w:val="2F8A0595"/>
    <w:rsid w:val="2FC21832"/>
    <w:rsid w:val="30164EB0"/>
    <w:rsid w:val="30E62429"/>
    <w:rsid w:val="31DB0B73"/>
    <w:rsid w:val="32786260"/>
    <w:rsid w:val="32E51115"/>
    <w:rsid w:val="32F261F5"/>
    <w:rsid w:val="32FC2ECF"/>
    <w:rsid w:val="334C4297"/>
    <w:rsid w:val="33686767"/>
    <w:rsid w:val="33895C42"/>
    <w:rsid w:val="33F12147"/>
    <w:rsid w:val="34546DA0"/>
    <w:rsid w:val="3473507F"/>
    <w:rsid w:val="34B92376"/>
    <w:rsid w:val="34CA4677"/>
    <w:rsid w:val="35323CFF"/>
    <w:rsid w:val="354C7066"/>
    <w:rsid w:val="35D26759"/>
    <w:rsid w:val="362A5BDC"/>
    <w:rsid w:val="362F3ED5"/>
    <w:rsid w:val="365B55EE"/>
    <w:rsid w:val="36B80E7B"/>
    <w:rsid w:val="379A7729"/>
    <w:rsid w:val="38F3482A"/>
    <w:rsid w:val="391C3CA9"/>
    <w:rsid w:val="39336FDD"/>
    <w:rsid w:val="39852E6A"/>
    <w:rsid w:val="3ABE7045"/>
    <w:rsid w:val="3C455785"/>
    <w:rsid w:val="3C533AB2"/>
    <w:rsid w:val="3C883738"/>
    <w:rsid w:val="3CA211A3"/>
    <w:rsid w:val="3CE1014C"/>
    <w:rsid w:val="3CF1727B"/>
    <w:rsid w:val="3D246AF8"/>
    <w:rsid w:val="3D39671F"/>
    <w:rsid w:val="3D71621E"/>
    <w:rsid w:val="3D7528C5"/>
    <w:rsid w:val="3D7535FC"/>
    <w:rsid w:val="3DAC71CD"/>
    <w:rsid w:val="3DF4539F"/>
    <w:rsid w:val="3E5800B6"/>
    <w:rsid w:val="3F9F62C0"/>
    <w:rsid w:val="3FCB6281"/>
    <w:rsid w:val="40445414"/>
    <w:rsid w:val="40483F99"/>
    <w:rsid w:val="4065108C"/>
    <w:rsid w:val="41360CB2"/>
    <w:rsid w:val="42520745"/>
    <w:rsid w:val="427C086D"/>
    <w:rsid w:val="435B4B3C"/>
    <w:rsid w:val="439B285E"/>
    <w:rsid w:val="43C716C9"/>
    <w:rsid w:val="44330C34"/>
    <w:rsid w:val="448F6618"/>
    <w:rsid w:val="457B2EF8"/>
    <w:rsid w:val="45AE77AD"/>
    <w:rsid w:val="45B52E90"/>
    <w:rsid w:val="45D627F9"/>
    <w:rsid w:val="4601797D"/>
    <w:rsid w:val="47873A78"/>
    <w:rsid w:val="47FA57F7"/>
    <w:rsid w:val="48972F57"/>
    <w:rsid w:val="4906437F"/>
    <w:rsid w:val="49124B6C"/>
    <w:rsid w:val="49583390"/>
    <w:rsid w:val="49AB11D2"/>
    <w:rsid w:val="49C62122"/>
    <w:rsid w:val="4A365EF6"/>
    <w:rsid w:val="4A8A7176"/>
    <w:rsid w:val="4B502977"/>
    <w:rsid w:val="4B6D0E20"/>
    <w:rsid w:val="4C314F11"/>
    <w:rsid w:val="4C4E5785"/>
    <w:rsid w:val="4C543E5A"/>
    <w:rsid w:val="4C7350DA"/>
    <w:rsid w:val="4D9A7EC1"/>
    <w:rsid w:val="4E927308"/>
    <w:rsid w:val="4ED81DB9"/>
    <w:rsid w:val="4F5F5109"/>
    <w:rsid w:val="4FF768ED"/>
    <w:rsid w:val="51A54D50"/>
    <w:rsid w:val="51B44061"/>
    <w:rsid w:val="51D81742"/>
    <w:rsid w:val="5353486A"/>
    <w:rsid w:val="536A42EA"/>
    <w:rsid w:val="54B62AB5"/>
    <w:rsid w:val="54DC6A86"/>
    <w:rsid w:val="55386357"/>
    <w:rsid w:val="55407D01"/>
    <w:rsid w:val="557B3D68"/>
    <w:rsid w:val="558C2B4A"/>
    <w:rsid w:val="55BB1D15"/>
    <w:rsid w:val="55EF71C7"/>
    <w:rsid w:val="56AB7390"/>
    <w:rsid w:val="57B11997"/>
    <w:rsid w:val="57F93D8E"/>
    <w:rsid w:val="582D510D"/>
    <w:rsid w:val="586C5909"/>
    <w:rsid w:val="58C33A6D"/>
    <w:rsid w:val="5A3B16A5"/>
    <w:rsid w:val="5B0F6482"/>
    <w:rsid w:val="5B4A47DA"/>
    <w:rsid w:val="5BB52E0D"/>
    <w:rsid w:val="5C9859E6"/>
    <w:rsid w:val="5CC13A1A"/>
    <w:rsid w:val="5CED63C5"/>
    <w:rsid w:val="5D323EC8"/>
    <w:rsid w:val="5D5D2323"/>
    <w:rsid w:val="5DF41748"/>
    <w:rsid w:val="5E0E0FAC"/>
    <w:rsid w:val="5E2A0A50"/>
    <w:rsid w:val="5E8F3758"/>
    <w:rsid w:val="603668D5"/>
    <w:rsid w:val="60587EDB"/>
    <w:rsid w:val="60A12BBF"/>
    <w:rsid w:val="60CB6599"/>
    <w:rsid w:val="60CC411D"/>
    <w:rsid w:val="611C3700"/>
    <w:rsid w:val="61947ED9"/>
    <w:rsid w:val="61EB71AE"/>
    <w:rsid w:val="627E55B4"/>
    <w:rsid w:val="63B13AE0"/>
    <w:rsid w:val="64592510"/>
    <w:rsid w:val="64EF1DB6"/>
    <w:rsid w:val="64FA0422"/>
    <w:rsid w:val="65501F58"/>
    <w:rsid w:val="65AF5048"/>
    <w:rsid w:val="662E246E"/>
    <w:rsid w:val="664631EF"/>
    <w:rsid w:val="66880623"/>
    <w:rsid w:val="66D31729"/>
    <w:rsid w:val="681007C8"/>
    <w:rsid w:val="682555D7"/>
    <w:rsid w:val="68544455"/>
    <w:rsid w:val="68D01A6A"/>
    <w:rsid w:val="69C37F67"/>
    <w:rsid w:val="69E015A7"/>
    <w:rsid w:val="6A6848FC"/>
    <w:rsid w:val="6B9256D5"/>
    <w:rsid w:val="6C084648"/>
    <w:rsid w:val="6E075744"/>
    <w:rsid w:val="6E261972"/>
    <w:rsid w:val="6E724C72"/>
    <w:rsid w:val="6E905002"/>
    <w:rsid w:val="6F6915AD"/>
    <w:rsid w:val="6FAE6C7E"/>
    <w:rsid w:val="7126576F"/>
    <w:rsid w:val="71BE1284"/>
    <w:rsid w:val="71F4048F"/>
    <w:rsid w:val="71F64318"/>
    <w:rsid w:val="727E1E8E"/>
    <w:rsid w:val="72C640FB"/>
    <w:rsid w:val="72D805C1"/>
    <w:rsid w:val="72E4708A"/>
    <w:rsid w:val="72EB0D00"/>
    <w:rsid w:val="72F00A33"/>
    <w:rsid w:val="73C80071"/>
    <w:rsid w:val="741065A8"/>
    <w:rsid w:val="74544550"/>
    <w:rsid w:val="74954059"/>
    <w:rsid w:val="74EC6476"/>
    <w:rsid w:val="75241080"/>
    <w:rsid w:val="755E1551"/>
    <w:rsid w:val="757C53FD"/>
    <w:rsid w:val="763027E4"/>
    <w:rsid w:val="763968C4"/>
    <w:rsid w:val="766231F8"/>
    <w:rsid w:val="76D778FE"/>
    <w:rsid w:val="76F25E95"/>
    <w:rsid w:val="78577E98"/>
    <w:rsid w:val="786D2678"/>
    <w:rsid w:val="78801330"/>
    <w:rsid w:val="78BB7B03"/>
    <w:rsid w:val="78DC1B34"/>
    <w:rsid w:val="793D0379"/>
    <w:rsid w:val="794D3B10"/>
    <w:rsid w:val="7AB14813"/>
    <w:rsid w:val="7B2406CF"/>
    <w:rsid w:val="7BB70346"/>
    <w:rsid w:val="7C2840E4"/>
    <w:rsid w:val="7D7862F8"/>
    <w:rsid w:val="7DF80BCF"/>
    <w:rsid w:val="7F38506B"/>
    <w:rsid w:val="7F8E205D"/>
    <w:rsid w:val="7FFB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szCs w:val="24"/>
    </w:rPr>
  </w:style>
  <w:style w:type="paragraph" w:styleId="3">
    <w:name w:val="Body Text"/>
    <w:basedOn w:val="1"/>
    <w:qFormat/>
    <w:uiPriority w:val="0"/>
    <w:pPr>
      <w:spacing w:before="50"/>
      <w:ind w:left="120"/>
    </w:pPr>
    <w:rPr>
      <w:rFonts w:ascii="华文仿宋" w:hAnsi="华文仿宋" w:eastAsia="华文仿宋" w:cs="华文仿宋"/>
      <w:sz w:val="28"/>
      <w:szCs w:val="28"/>
    </w:rPr>
  </w:style>
  <w:style w:type="paragraph" w:styleId="4">
    <w:name w:val="Body Text Indent 2"/>
    <w:basedOn w:val="1"/>
    <w:qFormat/>
    <w:uiPriority w:val="0"/>
    <w:pPr>
      <w:spacing w:after="120" w:line="480" w:lineRule="auto"/>
      <w:ind w:left="420" w:leftChars="200"/>
    </w:p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qFormat/>
    <w:uiPriority w:val="0"/>
    <w:rPr>
      <w:sz w:val="21"/>
      <w:szCs w:val="21"/>
    </w:rPr>
  </w:style>
  <w:style w:type="character" w:customStyle="1" w:styleId="12">
    <w:name w:val="批注框文本 Char"/>
    <w:basedOn w:val="10"/>
    <w:link w:val="5"/>
    <w:qFormat/>
    <w:uiPriority w:val="0"/>
    <w:rPr>
      <w:rFonts w:ascii="Calibri" w:hAnsi="Calibri" w:eastAsia="宋体" w:cs="Times New Roman"/>
      <w:kern w:val="2"/>
      <w:sz w:val="18"/>
      <w:szCs w:val="18"/>
    </w:rPr>
  </w:style>
  <w:style w:type="character" w:customStyle="1" w:styleId="13">
    <w:name w:val="页眉 Char"/>
    <w:basedOn w:val="10"/>
    <w:link w:val="7"/>
    <w:qFormat/>
    <w:uiPriority w:val="0"/>
    <w:rPr>
      <w:rFonts w:ascii="Calibri" w:hAnsi="Calibri" w:eastAsia="宋体" w:cs="Times New Roman"/>
      <w:kern w:val="2"/>
      <w:sz w:val="18"/>
      <w:szCs w:val="18"/>
    </w:rPr>
  </w:style>
  <w:style w:type="character" w:customStyle="1" w:styleId="14">
    <w:name w:val="页脚 Char"/>
    <w:basedOn w:val="10"/>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441</Words>
  <Characters>2514</Characters>
  <Lines>20</Lines>
  <Paragraphs>5</Paragraphs>
  <TotalTime>1</TotalTime>
  <ScaleCrop>false</ScaleCrop>
  <LinksUpToDate>false</LinksUpToDate>
  <CharactersWithSpaces>2950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2022-01-12T01:35:00Z</dcterms:created>
  <dc:creator>huangly</dc:creator>
  <cp:lastModifiedBy>huangly</cp:lastModifiedBy>
  <cp:lastPrinted>2017-12-11T07:49:00Z</cp:lastPrinted>
  <dcterms:modified xsi:type="dcterms:W3CDTF">2022-01-12T05:18:11Z</dcterms:modified>
  <dc:title>证券代码：601515         证券简称：东风股份       公告编号：临2016-001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8DE6B1CCC6464CE8BA5309BFFB28F145</vt:lpwstr>
  </property>
</Properties>
</file>