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szCs w:val="24"/>
        </w:rPr>
      </w:pPr>
      <w:bookmarkStart w:id="0" w:name="_GoBack"/>
      <w:bookmarkEnd w:id="0"/>
      <w:r>
        <w:rPr>
          <w:rFonts w:hint="eastAsia" w:ascii="宋体" w:hAnsi="宋体"/>
          <w:sz w:val="24"/>
          <w:szCs w:val="24"/>
        </w:rPr>
        <w:t>证券代码：601515                                    证券简称：东风股份</w:t>
      </w:r>
    </w:p>
    <w:p>
      <w:pPr>
        <w:spacing w:line="360" w:lineRule="auto"/>
        <w:rPr>
          <w:rFonts w:ascii="宋体" w:hAnsi="宋体"/>
          <w:sz w:val="24"/>
          <w:szCs w:val="24"/>
        </w:rPr>
      </w:pPr>
      <w:r>
        <w:rPr>
          <w:rFonts w:hint="eastAsia" w:ascii="宋体" w:hAnsi="宋体"/>
          <w:sz w:val="24"/>
          <w:szCs w:val="24"/>
        </w:rPr>
        <w:t>债券代码：113030                                    债券简称：东风转债</w:t>
      </w:r>
    </w:p>
    <w:p>
      <w:pPr>
        <w:spacing w:line="360" w:lineRule="auto"/>
        <w:rPr>
          <w:rFonts w:ascii="宋体" w:hAnsi="宋体"/>
          <w:color w:val="585858"/>
          <w:sz w:val="24"/>
          <w:szCs w:val="24"/>
        </w:rPr>
      </w:pP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汕头东风印刷股份有限公司</w:t>
      </w: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投资者交流会议纪要</w:t>
      </w:r>
    </w:p>
    <w:p/>
    <w:p>
      <w:pPr>
        <w:spacing w:line="360" w:lineRule="auto"/>
        <w:rPr>
          <w:rFonts w:ascii="宋体" w:hAnsi="宋体" w:cs="宋体"/>
          <w:sz w:val="24"/>
          <w:szCs w:val="24"/>
        </w:rPr>
      </w:pPr>
      <w:r>
        <w:rPr>
          <w:rFonts w:hint="eastAsia" w:ascii="宋体" w:hAnsi="宋体" w:cs="宋体"/>
          <w:b/>
          <w:bCs/>
          <w:sz w:val="24"/>
          <w:szCs w:val="24"/>
        </w:rPr>
        <w:t>时间：</w:t>
      </w:r>
      <w:r>
        <w:rPr>
          <w:rFonts w:hint="eastAsia" w:ascii="宋体" w:hAnsi="宋体" w:cs="宋体"/>
          <w:sz w:val="24"/>
          <w:szCs w:val="24"/>
        </w:rPr>
        <w:t>2022年1月13日15:30-16:30；</w:t>
      </w:r>
    </w:p>
    <w:p>
      <w:pPr>
        <w:spacing w:line="360" w:lineRule="auto"/>
        <w:rPr>
          <w:rFonts w:ascii="宋体" w:hAnsi="宋体" w:cs="宋体"/>
          <w:sz w:val="24"/>
          <w:szCs w:val="24"/>
        </w:rPr>
      </w:pPr>
      <w:r>
        <w:rPr>
          <w:rFonts w:hint="eastAsia" w:ascii="宋体" w:hAnsi="宋体" w:cs="宋体"/>
          <w:b/>
          <w:bCs/>
          <w:sz w:val="24"/>
          <w:szCs w:val="24"/>
        </w:rPr>
        <w:t>形式：</w:t>
      </w:r>
      <w:r>
        <w:rPr>
          <w:rFonts w:hint="eastAsia" w:ascii="宋体" w:hAnsi="宋体" w:cs="宋体"/>
          <w:sz w:val="24"/>
          <w:szCs w:val="24"/>
        </w:rPr>
        <w:t>线上会议；</w:t>
      </w:r>
    </w:p>
    <w:p>
      <w:pPr>
        <w:spacing w:line="360" w:lineRule="auto"/>
        <w:rPr>
          <w:rFonts w:ascii="宋体" w:hAnsi="宋体" w:cs="宋体"/>
          <w:sz w:val="24"/>
          <w:szCs w:val="24"/>
        </w:rPr>
      </w:pPr>
      <w:r>
        <w:rPr>
          <w:rFonts w:hint="eastAsia" w:ascii="宋体" w:hAnsi="宋体" w:cs="宋体"/>
          <w:b/>
          <w:bCs/>
          <w:sz w:val="24"/>
          <w:szCs w:val="24"/>
        </w:rPr>
        <w:t>公司参与人员：</w:t>
      </w:r>
      <w:r>
        <w:rPr>
          <w:rFonts w:hint="eastAsia" w:ascii="宋体" w:hAnsi="宋体" w:cs="宋体"/>
          <w:sz w:val="24"/>
          <w:szCs w:val="24"/>
        </w:rPr>
        <w:t>汕头东风印刷股份有限公司集团副总裁、董事会秘书秋天；</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汕头东风印刷股份有限公司证券事务代表黄隆宇；</w:t>
      </w:r>
    </w:p>
    <w:p>
      <w:pPr>
        <w:spacing w:line="360" w:lineRule="auto"/>
        <w:ind w:left="1983" w:hanging="1983" w:hangingChars="823"/>
        <w:rPr>
          <w:rFonts w:ascii="宋体" w:hAnsi="宋体" w:cs="宋体"/>
          <w:sz w:val="24"/>
          <w:szCs w:val="24"/>
        </w:rPr>
      </w:pPr>
      <w:r>
        <w:rPr>
          <w:rFonts w:hint="eastAsia" w:ascii="宋体" w:hAnsi="宋体" w:cs="宋体"/>
          <w:b/>
          <w:bCs/>
          <w:sz w:val="24"/>
          <w:szCs w:val="24"/>
        </w:rPr>
        <w:t>投资者参与机构：</w:t>
      </w:r>
      <w:r>
        <w:rPr>
          <w:rFonts w:hint="eastAsia" w:ascii="宋体" w:hAnsi="宋体" w:cs="宋体"/>
          <w:bCs/>
          <w:sz w:val="24"/>
          <w:szCs w:val="24"/>
        </w:rPr>
        <w:t>长江轻工蔡方羿</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 xml:space="preserve">                中邮理财李杰；</w:t>
      </w:r>
    </w:p>
    <w:p>
      <w:pPr>
        <w:spacing w:line="360" w:lineRule="auto"/>
        <w:rPr>
          <w:rFonts w:hint="eastAsia" w:ascii="宋体" w:hAnsi="宋体" w:cs="宋体"/>
          <w:sz w:val="24"/>
          <w:szCs w:val="24"/>
        </w:rPr>
      </w:pPr>
      <w:r>
        <w:rPr>
          <w:rFonts w:hint="eastAsia" w:ascii="宋体" w:hAnsi="宋体" w:cs="宋体"/>
          <w:sz w:val="24"/>
          <w:szCs w:val="24"/>
        </w:rPr>
        <w:t xml:space="preserve">                中信资管魏喆；</w:t>
      </w:r>
    </w:p>
    <w:p>
      <w:pPr>
        <w:spacing w:line="360" w:lineRule="auto"/>
        <w:rPr>
          <w:rFonts w:hint="eastAsia" w:ascii="宋体" w:hAnsi="宋体" w:cs="宋体"/>
          <w:sz w:val="24"/>
          <w:szCs w:val="24"/>
        </w:rPr>
      </w:pPr>
      <w:r>
        <w:rPr>
          <w:rFonts w:hint="eastAsia" w:ascii="宋体" w:hAnsi="宋体" w:cs="宋体"/>
          <w:sz w:val="24"/>
          <w:szCs w:val="24"/>
        </w:rPr>
        <w:t xml:space="preserve">                中天国富证券张紫凤；</w:t>
      </w:r>
    </w:p>
    <w:p>
      <w:pPr>
        <w:spacing w:line="360" w:lineRule="auto"/>
        <w:rPr>
          <w:rFonts w:hint="eastAsia" w:ascii="宋体" w:hAnsi="宋体" w:cs="宋体"/>
          <w:sz w:val="24"/>
          <w:szCs w:val="24"/>
        </w:rPr>
      </w:pPr>
      <w:r>
        <w:rPr>
          <w:rFonts w:hint="eastAsia" w:ascii="宋体" w:hAnsi="宋体" w:cs="宋体"/>
          <w:sz w:val="24"/>
          <w:szCs w:val="24"/>
        </w:rPr>
        <w:t xml:space="preserve">                中金资管莫华寅；</w:t>
      </w:r>
    </w:p>
    <w:p>
      <w:pPr>
        <w:spacing w:line="360" w:lineRule="auto"/>
        <w:rPr>
          <w:rFonts w:hint="eastAsia" w:ascii="宋体" w:hAnsi="宋体" w:cs="宋体"/>
          <w:sz w:val="24"/>
          <w:szCs w:val="24"/>
        </w:rPr>
      </w:pPr>
      <w:r>
        <w:rPr>
          <w:rFonts w:hint="eastAsia" w:ascii="宋体" w:hAnsi="宋体" w:cs="宋体"/>
          <w:sz w:val="24"/>
          <w:szCs w:val="24"/>
        </w:rPr>
        <w:t xml:space="preserve">                招商基金李崟；</w:t>
      </w:r>
    </w:p>
    <w:p>
      <w:pPr>
        <w:spacing w:line="360" w:lineRule="auto"/>
        <w:rPr>
          <w:rFonts w:hint="eastAsia" w:ascii="宋体" w:hAnsi="宋体" w:cs="宋体"/>
          <w:sz w:val="24"/>
          <w:szCs w:val="24"/>
        </w:rPr>
      </w:pPr>
      <w:r>
        <w:rPr>
          <w:rFonts w:hint="eastAsia" w:ascii="宋体" w:hAnsi="宋体" w:cs="宋体"/>
          <w:sz w:val="24"/>
          <w:szCs w:val="24"/>
        </w:rPr>
        <w:t xml:space="preserve">                长盛基金赵楠；</w:t>
      </w:r>
    </w:p>
    <w:p>
      <w:pPr>
        <w:spacing w:line="360" w:lineRule="auto"/>
        <w:rPr>
          <w:rFonts w:hint="eastAsia" w:ascii="宋体" w:hAnsi="宋体" w:cs="宋体"/>
          <w:sz w:val="24"/>
          <w:szCs w:val="24"/>
        </w:rPr>
      </w:pPr>
      <w:r>
        <w:rPr>
          <w:rFonts w:hint="eastAsia" w:ascii="宋体" w:hAnsi="宋体" w:cs="宋体"/>
          <w:sz w:val="24"/>
          <w:szCs w:val="24"/>
        </w:rPr>
        <w:t xml:space="preserve">                永赢基金石玉山；</w:t>
      </w:r>
    </w:p>
    <w:p>
      <w:pPr>
        <w:spacing w:line="360" w:lineRule="auto"/>
        <w:rPr>
          <w:rFonts w:hint="eastAsia" w:ascii="宋体" w:hAnsi="宋体" w:cs="宋体"/>
          <w:sz w:val="24"/>
          <w:szCs w:val="24"/>
        </w:rPr>
      </w:pPr>
      <w:r>
        <w:rPr>
          <w:rFonts w:hint="eastAsia" w:ascii="宋体" w:hAnsi="宋体" w:cs="宋体"/>
          <w:sz w:val="24"/>
          <w:szCs w:val="24"/>
        </w:rPr>
        <w:t xml:space="preserve">                英大保险资管徐文浩；</w:t>
      </w:r>
    </w:p>
    <w:p>
      <w:pPr>
        <w:spacing w:line="360" w:lineRule="auto"/>
        <w:rPr>
          <w:rFonts w:hint="eastAsia" w:ascii="宋体" w:hAnsi="宋体" w:cs="宋体"/>
          <w:sz w:val="24"/>
          <w:szCs w:val="24"/>
        </w:rPr>
      </w:pPr>
      <w:r>
        <w:rPr>
          <w:rFonts w:hint="eastAsia" w:ascii="宋体" w:hAnsi="宋体" w:cs="宋体"/>
          <w:sz w:val="24"/>
          <w:szCs w:val="24"/>
        </w:rPr>
        <w:t xml:space="preserve">                银华基金范海涵；</w:t>
      </w:r>
    </w:p>
    <w:p>
      <w:pPr>
        <w:spacing w:line="360" w:lineRule="auto"/>
        <w:rPr>
          <w:rFonts w:hint="eastAsia" w:ascii="宋体" w:hAnsi="宋体" w:cs="宋体"/>
          <w:sz w:val="24"/>
          <w:szCs w:val="24"/>
        </w:rPr>
      </w:pPr>
      <w:r>
        <w:rPr>
          <w:rFonts w:hint="eastAsia" w:ascii="宋体" w:hAnsi="宋体" w:cs="宋体"/>
          <w:sz w:val="24"/>
          <w:szCs w:val="24"/>
        </w:rPr>
        <w:t xml:space="preserve">                兴业基金赵昕蒙；</w:t>
      </w:r>
    </w:p>
    <w:p>
      <w:pPr>
        <w:spacing w:line="360" w:lineRule="auto"/>
        <w:rPr>
          <w:rFonts w:hint="eastAsia" w:ascii="宋体" w:hAnsi="宋体" w:cs="宋体"/>
          <w:sz w:val="24"/>
          <w:szCs w:val="24"/>
        </w:rPr>
      </w:pPr>
      <w:r>
        <w:rPr>
          <w:rFonts w:hint="eastAsia" w:ascii="宋体" w:hAnsi="宋体" w:cs="宋体"/>
          <w:sz w:val="24"/>
          <w:szCs w:val="24"/>
        </w:rPr>
        <w:t xml:space="preserve">                信达证券杨兆鑫；</w:t>
      </w:r>
    </w:p>
    <w:p>
      <w:pPr>
        <w:spacing w:line="360" w:lineRule="auto"/>
        <w:rPr>
          <w:rFonts w:hint="eastAsia" w:ascii="宋体" w:hAnsi="宋体" w:cs="宋体"/>
          <w:sz w:val="24"/>
          <w:szCs w:val="24"/>
        </w:rPr>
      </w:pPr>
      <w:r>
        <w:rPr>
          <w:rFonts w:hint="eastAsia" w:ascii="宋体" w:hAnsi="宋体" w:cs="宋体"/>
          <w:sz w:val="24"/>
          <w:szCs w:val="24"/>
        </w:rPr>
        <w:t xml:space="preserve">                信达澳银卫泽羽、伏涛、卫泽羽；</w:t>
      </w:r>
    </w:p>
    <w:p>
      <w:pPr>
        <w:spacing w:line="360" w:lineRule="auto"/>
        <w:rPr>
          <w:rFonts w:hint="eastAsia" w:ascii="宋体" w:hAnsi="宋体" w:cs="宋体"/>
          <w:sz w:val="24"/>
          <w:szCs w:val="24"/>
        </w:rPr>
      </w:pPr>
      <w:r>
        <w:rPr>
          <w:rFonts w:hint="eastAsia" w:ascii="宋体" w:hAnsi="宋体" w:cs="宋体"/>
          <w:sz w:val="24"/>
          <w:szCs w:val="24"/>
        </w:rPr>
        <w:t xml:space="preserve">                相聚资本白昊龙；</w:t>
      </w:r>
    </w:p>
    <w:p>
      <w:pPr>
        <w:spacing w:line="360" w:lineRule="auto"/>
        <w:rPr>
          <w:rFonts w:hint="eastAsia" w:ascii="宋体" w:hAnsi="宋体" w:cs="宋体"/>
          <w:sz w:val="24"/>
          <w:szCs w:val="24"/>
        </w:rPr>
      </w:pPr>
      <w:r>
        <w:rPr>
          <w:rFonts w:hint="eastAsia" w:ascii="宋体" w:hAnsi="宋体" w:cs="宋体"/>
          <w:sz w:val="24"/>
          <w:szCs w:val="24"/>
        </w:rPr>
        <w:t xml:space="preserve">                通晟资产吴弘毅；</w:t>
      </w:r>
    </w:p>
    <w:p>
      <w:pPr>
        <w:spacing w:line="360" w:lineRule="auto"/>
        <w:rPr>
          <w:rFonts w:hint="eastAsia" w:ascii="宋体" w:hAnsi="宋体" w:cs="宋体"/>
          <w:sz w:val="24"/>
          <w:szCs w:val="24"/>
        </w:rPr>
      </w:pPr>
      <w:r>
        <w:rPr>
          <w:rFonts w:hint="eastAsia" w:ascii="宋体" w:hAnsi="宋体" w:cs="宋体"/>
          <w:sz w:val="24"/>
          <w:szCs w:val="24"/>
        </w:rPr>
        <w:t xml:space="preserve">                天风资管邱天；</w:t>
      </w:r>
    </w:p>
    <w:p>
      <w:pPr>
        <w:spacing w:line="360" w:lineRule="auto"/>
        <w:rPr>
          <w:rFonts w:hint="eastAsia" w:ascii="宋体" w:hAnsi="宋体" w:cs="宋体"/>
          <w:sz w:val="24"/>
          <w:szCs w:val="24"/>
        </w:rPr>
      </w:pPr>
      <w:r>
        <w:rPr>
          <w:rFonts w:hint="eastAsia" w:ascii="宋体" w:hAnsi="宋体" w:cs="宋体"/>
          <w:sz w:val="24"/>
          <w:szCs w:val="24"/>
        </w:rPr>
        <w:t xml:space="preserve">                太保资产罗荣；</w:t>
      </w:r>
    </w:p>
    <w:p>
      <w:pPr>
        <w:spacing w:line="360" w:lineRule="auto"/>
        <w:rPr>
          <w:rFonts w:hint="eastAsia" w:ascii="宋体" w:hAnsi="宋体" w:cs="宋体"/>
          <w:sz w:val="24"/>
          <w:szCs w:val="24"/>
        </w:rPr>
      </w:pPr>
      <w:r>
        <w:rPr>
          <w:rFonts w:hint="eastAsia" w:ascii="宋体" w:hAnsi="宋体" w:cs="宋体"/>
          <w:sz w:val="24"/>
          <w:szCs w:val="24"/>
        </w:rPr>
        <w:t xml:space="preserve">                山西证券公募部李惟愚；</w:t>
      </w:r>
    </w:p>
    <w:p>
      <w:pPr>
        <w:spacing w:line="360" w:lineRule="auto"/>
        <w:rPr>
          <w:rFonts w:hint="eastAsia" w:ascii="宋体" w:hAnsi="宋体" w:cs="宋体"/>
          <w:sz w:val="24"/>
          <w:szCs w:val="24"/>
        </w:rPr>
      </w:pPr>
      <w:r>
        <w:rPr>
          <w:rFonts w:hint="eastAsia" w:ascii="宋体" w:hAnsi="宋体" w:cs="宋体"/>
          <w:sz w:val="24"/>
          <w:szCs w:val="24"/>
        </w:rPr>
        <w:t xml:space="preserve">                山石基金林嘉雯；</w:t>
      </w:r>
    </w:p>
    <w:p>
      <w:pPr>
        <w:spacing w:line="360" w:lineRule="auto"/>
        <w:rPr>
          <w:rFonts w:hint="eastAsia" w:ascii="宋体" w:hAnsi="宋体" w:cs="宋体"/>
          <w:sz w:val="24"/>
          <w:szCs w:val="24"/>
        </w:rPr>
      </w:pPr>
      <w:r>
        <w:rPr>
          <w:rFonts w:hint="eastAsia" w:ascii="宋体" w:hAnsi="宋体" w:cs="宋体"/>
          <w:sz w:val="24"/>
          <w:szCs w:val="24"/>
        </w:rPr>
        <w:t xml:space="preserve">                平安养老徐唯俊；</w:t>
      </w:r>
    </w:p>
    <w:p>
      <w:pPr>
        <w:spacing w:line="360" w:lineRule="auto"/>
        <w:rPr>
          <w:rFonts w:hint="eastAsia" w:ascii="宋体" w:hAnsi="宋体" w:cs="宋体"/>
          <w:sz w:val="24"/>
          <w:szCs w:val="24"/>
        </w:rPr>
      </w:pPr>
      <w:r>
        <w:rPr>
          <w:rFonts w:hint="eastAsia" w:ascii="宋体" w:hAnsi="宋体" w:cs="宋体"/>
          <w:sz w:val="24"/>
          <w:szCs w:val="24"/>
        </w:rPr>
        <w:t xml:space="preserve">                平安基金李曾卓卓；</w:t>
      </w:r>
    </w:p>
    <w:p>
      <w:pPr>
        <w:spacing w:line="360" w:lineRule="auto"/>
        <w:rPr>
          <w:rFonts w:hint="eastAsia" w:ascii="宋体" w:hAnsi="宋体" w:cs="宋体"/>
          <w:sz w:val="24"/>
          <w:szCs w:val="24"/>
        </w:rPr>
      </w:pPr>
      <w:r>
        <w:rPr>
          <w:rFonts w:hint="eastAsia" w:ascii="宋体" w:hAnsi="宋体" w:cs="宋体"/>
          <w:sz w:val="24"/>
          <w:szCs w:val="24"/>
        </w:rPr>
        <w:t xml:space="preserve">                诺安基金王晴晴；</w:t>
      </w:r>
    </w:p>
    <w:p>
      <w:pPr>
        <w:spacing w:line="360" w:lineRule="auto"/>
        <w:rPr>
          <w:rFonts w:hint="eastAsia" w:ascii="宋体" w:hAnsi="宋体" w:cs="宋体"/>
          <w:sz w:val="24"/>
          <w:szCs w:val="24"/>
        </w:rPr>
      </w:pPr>
      <w:r>
        <w:rPr>
          <w:rFonts w:hint="eastAsia" w:ascii="宋体" w:hAnsi="宋体" w:cs="宋体"/>
          <w:sz w:val="24"/>
          <w:szCs w:val="24"/>
        </w:rPr>
        <w:t xml:space="preserve">                农银理财阮欣怡；</w:t>
      </w:r>
    </w:p>
    <w:p>
      <w:pPr>
        <w:spacing w:line="360" w:lineRule="auto"/>
        <w:rPr>
          <w:rFonts w:hint="eastAsia" w:ascii="宋体" w:hAnsi="宋体" w:cs="宋体"/>
          <w:sz w:val="24"/>
          <w:szCs w:val="24"/>
        </w:rPr>
      </w:pPr>
      <w:r>
        <w:rPr>
          <w:rFonts w:hint="eastAsia" w:ascii="宋体" w:hAnsi="宋体" w:cs="宋体"/>
          <w:sz w:val="24"/>
          <w:szCs w:val="24"/>
        </w:rPr>
        <w:t xml:space="preserve">                南方基金罗立晨；</w:t>
      </w:r>
    </w:p>
    <w:p>
      <w:pPr>
        <w:spacing w:line="360" w:lineRule="auto"/>
        <w:rPr>
          <w:rFonts w:hint="eastAsia" w:ascii="宋体" w:hAnsi="宋体" w:cs="宋体"/>
          <w:sz w:val="24"/>
          <w:szCs w:val="24"/>
        </w:rPr>
      </w:pPr>
      <w:r>
        <w:rPr>
          <w:rFonts w:hint="eastAsia" w:ascii="宋体" w:hAnsi="宋体" w:cs="宋体"/>
          <w:sz w:val="24"/>
          <w:szCs w:val="24"/>
        </w:rPr>
        <w:t xml:space="preserve">                龙门资产陈昭罡；</w:t>
      </w:r>
    </w:p>
    <w:p>
      <w:pPr>
        <w:spacing w:line="360" w:lineRule="auto"/>
        <w:rPr>
          <w:rFonts w:hint="eastAsia" w:ascii="宋体" w:hAnsi="宋体" w:cs="宋体"/>
          <w:sz w:val="24"/>
          <w:szCs w:val="24"/>
        </w:rPr>
      </w:pPr>
      <w:r>
        <w:rPr>
          <w:rFonts w:hint="eastAsia" w:ascii="宋体" w:hAnsi="宋体" w:cs="宋体"/>
          <w:sz w:val="24"/>
          <w:szCs w:val="24"/>
        </w:rPr>
        <w:t xml:space="preserve">                凯读投资祝国邦；</w:t>
      </w:r>
    </w:p>
    <w:p>
      <w:pPr>
        <w:spacing w:line="360" w:lineRule="auto"/>
        <w:rPr>
          <w:rFonts w:hint="eastAsia" w:ascii="宋体" w:hAnsi="宋体" w:cs="宋体"/>
          <w:sz w:val="24"/>
          <w:szCs w:val="24"/>
        </w:rPr>
      </w:pPr>
      <w:r>
        <w:rPr>
          <w:rFonts w:hint="eastAsia" w:ascii="宋体" w:hAnsi="宋体" w:cs="宋体"/>
          <w:sz w:val="24"/>
          <w:szCs w:val="24"/>
        </w:rPr>
        <w:t xml:space="preserve">                玖阳投资周洁；</w:t>
      </w:r>
    </w:p>
    <w:p>
      <w:pPr>
        <w:spacing w:line="360" w:lineRule="auto"/>
        <w:rPr>
          <w:rFonts w:hint="eastAsia" w:ascii="宋体" w:hAnsi="宋体" w:cs="宋体"/>
          <w:sz w:val="24"/>
          <w:szCs w:val="24"/>
        </w:rPr>
      </w:pPr>
      <w:r>
        <w:rPr>
          <w:rFonts w:hint="eastAsia" w:ascii="宋体" w:hAnsi="宋体" w:cs="宋体"/>
          <w:sz w:val="24"/>
          <w:szCs w:val="24"/>
        </w:rPr>
        <w:t xml:space="preserve">                江苏瑞华肖群；</w:t>
      </w:r>
    </w:p>
    <w:p>
      <w:pPr>
        <w:spacing w:line="360" w:lineRule="auto"/>
        <w:rPr>
          <w:rFonts w:hint="eastAsia" w:ascii="宋体" w:hAnsi="宋体" w:cs="宋体"/>
          <w:sz w:val="24"/>
          <w:szCs w:val="24"/>
        </w:rPr>
      </w:pPr>
      <w:r>
        <w:rPr>
          <w:rFonts w:hint="eastAsia" w:ascii="宋体" w:hAnsi="宋体" w:cs="宋体"/>
          <w:sz w:val="24"/>
          <w:szCs w:val="24"/>
        </w:rPr>
        <w:t xml:space="preserve">                建信资产孙浩曦；</w:t>
      </w:r>
    </w:p>
    <w:p>
      <w:pPr>
        <w:spacing w:line="360" w:lineRule="auto"/>
        <w:rPr>
          <w:rFonts w:hint="eastAsia" w:ascii="宋体" w:hAnsi="宋体" w:cs="宋体"/>
          <w:sz w:val="24"/>
          <w:szCs w:val="24"/>
        </w:rPr>
      </w:pPr>
      <w:r>
        <w:rPr>
          <w:rFonts w:hint="eastAsia" w:ascii="宋体" w:hAnsi="宋体" w:cs="宋体"/>
          <w:sz w:val="24"/>
          <w:szCs w:val="24"/>
        </w:rPr>
        <w:t xml:space="preserve">                建信基金李登虎；</w:t>
      </w:r>
    </w:p>
    <w:p>
      <w:pPr>
        <w:spacing w:line="360" w:lineRule="auto"/>
        <w:rPr>
          <w:rFonts w:hint="eastAsia" w:ascii="宋体" w:hAnsi="宋体" w:cs="宋体"/>
          <w:sz w:val="24"/>
          <w:szCs w:val="24"/>
        </w:rPr>
      </w:pPr>
      <w:r>
        <w:rPr>
          <w:rFonts w:hint="eastAsia" w:ascii="宋体" w:hAnsi="宋体" w:cs="宋体"/>
          <w:sz w:val="24"/>
          <w:szCs w:val="24"/>
        </w:rPr>
        <w:t xml:space="preserve">                华夏未来张力琦；</w:t>
      </w:r>
    </w:p>
    <w:p>
      <w:pPr>
        <w:spacing w:line="360" w:lineRule="auto"/>
        <w:rPr>
          <w:rFonts w:hint="eastAsia" w:ascii="宋体" w:hAnsi="宋体" w:cs="宋体"/>
          <w:sz w:val="24"/>
          <w:szCs w:val="24"/>
        </w:rPr>
      </w:pPr>
      <w:r>
        <w:rPr>
          <w:rFonts w:hint="eastAsia" w:ascii="宋体" w:hAnsi="宋体" w:cs="宋体"/>
          <w:sz w:val="24"/>
          <w:szCs w:val="24"/>
        </w:rPr>
        <w:t xml:space="preserve">                恒健远志周洁；</w:t>
      </w:r>
    </w:p>
    <w:p>
      <w:pPr>
        <w:spacing w:line="360" w:lineRule="auto"/>
        <w:rPr>
          <w:rFonts w:hint="eastAsia" w:ascii="宋体" w:hAnsi="宋体" w:cs="宋体"/>
          <w:sz w:val="24"/>
          <w:szCs w:val="24"/>
        </w:rPr>
      </w:pPr>
      <w:r>
        <w:rPr>
          <w:rFonts w:hint="eastAsia" w:ascii="宋体" w:hAnsi="宋体" w:cs="宋体"/>
          <w:sz w:val="24"/>
          <w:szCs w:val="24"/>
        </w:rPr>
        <w:t xml:space="preserve">                鹤禧投资宋正园；</w:t>
      </w:r>
    </w:p>
    <w:p>
      <w:pPr>
        <w:spacing w:line="360" w:lineRule="auto"/>
        <w:rPr>
          <w:rFonts w:hint="eastAsia" w:ascii="宋体" w:hAnsi="宋体" w:cs="宋体"/>
          <w:sz w:val="24"/>
          <w:szCs w:val="24"/>
        </w:rPr>
      </w:pPr>
      <w:r>
        <w:rPr>
          <w:rFonts w:hint="eastAsia" w:ascii="宋体" w:hAnsi="宋体" w:cs="宋体"/>
          <w:sz w:val="24"/>
          <w:szCs w:val="24"/>
        </w:rPr>
        <w:t xml:space="preserve">                国寿安保基金李丹；</w:t>
      </w:r>
    </w:p>
    <w:p>
      <w:pPr>
        <w:spacing w:line="360" w:lineRule="auto"/>
        <w:rPr>
          <w:rFonts w:hint="eastAsia" w:ascii="宋体" w:hAnsi="宋体" w:cs="宋体"/>
          <w:sz w:val="24"/>
          <w:szCs w:val="24"/>
        </w:rPr>
      </w:pPr>
      <w:r>
        <w:rPr>
          <w:rFonts w:hint="eastAsia" w:ascii="宋体" w:hAnsi="宋体" w:cs="宋体"/>
          <w:sz w:val="24"/>
          <w:szCs w:val="24"/>
        </w:rPr>
        <w:t xml:space="preserve">                国华兴益纪虹韵；</w:t>
      </w:r>
    </w:p>
    <w:p>
      <w:pPr>
        <w:spacing w:line="360" w:lineRule="auto"/>
        <w:rPr>
          <w:rFonts w:hint="eastAsia" w:ascii="宋体" w:hAnsi="宋体" w:cs="宋体"/>
          <w:sz w:val="24"/>
          <w:szCs w:val="24"/>
        </w:rPr>
      </w:pPr>
      <w:r>
        <w:rPr>
          <w:rFonts w:hint="eastAsia" w:ascii="宋体" w:hAnsi="宋体" w:cs="宋体"/>
          <w:sz w:val="24"/>
          <w:szCs w:val="24"/>
        </w:rPr>
        <w:t xml:space="preserve">                工银瑞信司鸣；</w:t>
      </w:r>
    </w:p>
    <w:p>
      <w:pPr>
        <w:spacing w:line="360" w:lineRule="auto"/>
        <w:rPr>
          <w:rFonts w:hint="eastAsia" w:ascii="宋体" w:hAnsi="宋体" w:cs="宋体"/>
          <w:sz w:val="24"/>
          <w:szCs w:val="24"/>
        </w:rPr>
      </w:pPr>
      <w:r>
        <w:rPr>
          <w:rFonts w:hint="eastAsia" w:ascii="宋体" w:hAnsi="宋体" w:cs="宋体"/>
          <w:sz w:val="24"/>
          <w:szCs w:val="24"/>
        </w:rPr>
        <w:t xml:space="preserve">                丰岭资本李浩田；</w:t>
      </w:r>
    </w:p>
    <w:p>
      <w:pPr>
        <w:spacing w:line="360" w:lineRule="auto"/>
        <w:rPr>
          <w:rFonts w:hint="eastAsia" w:ascii="宋体" w:hAnsi="宋体" w:cs="宋体"/>
          <w:sz w:val="24"/>
          <w:szCs w:val="24"/>
        </w:rPr>
      </w:pPr>
      <w:r>
        <w:rPr>
          <w:rFonts w:hint="eastAsia" w:ascii="宋体" w:hAnsi="宋体" w:cs="宋体"/>
          <w:sz w:val="24"/>
          <w:szCs w:val="24"/>
        </w:rPr>
        <w:t xml:space="preserve">                方正富邦柳政甫；</w:t>
      </w:r>
    </w:p>
    <w:p>
      <w:pPr>
        <w:spacing w:line="360" w:lineRule="auto"/>
        <w:rPr>
          <w:rFonts w:ascii="宋体" w:hAnsi="宋体" w:cs="宋体"/>
          <w:sz w:val="24"/>
          <w:szCs w:val="24"/>
        </w:rPr>
      </w:pPr>
      <w:r>
        <w:rPr>
          <w:rFonts w:hint="eastAsia" w:ascii="宋体" w:hAnsi="宋体" w:cs="宋体"/>
          <w:sz w:val="24"/>
          <w:szCs w:val="24"/>
        </w:rPr>
        <w:t xml:space="preserve">                成泉资本张梦圆；</w:t>
      </w:r>
    </w:p>
    <w:p>
      <w:pPr>
        <w:spacing w:line="360" w:lineRule="auto"/>
        <w:ind w:firstLine="480"/>
        <w:rPr>
          <w:rFonts w:ascii="宋体" w:hAnsi="宋体" w:cs="宋体"/>
          <w:sz w:val="24"/>
          <w:szCs w:val="24"/>
        </w:rPr>
      </w:pPr>
    </w:p>
    <w:p>
      <w:pPr>
        <w:spacing w:line="360" w:lineRule="auto"/>
        <w:ind w:firstLine="480"/>
        <w:rPr>
          <w:rFonts w:hint="eastAsia" w:ascii="宋体" w:hAnsi="宋体" w:cs="宋体"/>
          <w:sz w:val="24"/>
          <w:szCs w:val="24"/>
        </w:rPr>
      </w:pPr>
      <w:r>
        <w:rPr>
          <w:rFonts w:hint="eastAsia" w:ascii="宋体" w:hAnsi="宋体" w:cs="宋体"/>
          <w:sz w:val="24"/>
          <w:szCs w:val="24"/>
        </w:rPr>
        <w:t>本次投资者交流会中，投资者重点关注的问题及公司的回复要点如下：</w:t>
      </w:r>
    </w:p>
    <w:p>
      <w:pPr>
        <w:spacing w:line="360" w:lineRule="auto"/>
        <w:ind w:firstLine="480"/>
        <w:rPr>
          <w:rFonts w:hint="eastAsia" w:ascii="宋体" w:hAnsi="宋体" w:cs="宋体"/>
          <w:b/>
          <w:sz w:val="24"/>
          <w:szCs w:val="24"/>
        </w:rPr>
      </w:pPr>
      <w:r>
        <w:rPr>
          <w:rFonts w:hint="eastAsia" w:ascii="宋体" w:hAnsi="宋体" w:cs="宋体"/>
          <w:b/>
          <w:sz w:val="24"/>
          <w:szCs w:val="24"/>
        </w:rPr>
        <w:t>公司董事会秘书秋天对公司的基本情况进行了简要介绍：</w:t>
      </w:r>
    </w:p>
    <w:p>
      <w:pPr>
        <w:spacing w:line="360" w:lineRule="auto"/>
        <w:ind w:firstLine="480"/>
        <w:rPr>
          <w:rFonts w:hint="eastAsia" w:ascii="宋体" w:hAnsi="宋体" w:cs="宋体"/>
          <w:sz w:val="24"/>
          <w:szCs w:val="24"/>
          <w:lang w:val="en-US" w:eastAsia="zh-CN"/>
        </w:rPr>
      </w:pPr>
      <w:r>
        <w:rPr>
          <w:rFonts w:hint="eastAsia" w:ascii="宋体" w:hAnsi="宋体"/>
          <w:sz w:val="24"/>
        </w:rPr>
        <w:t>东风股份创立于1983年12月，并于2012年2月16日成功在上海证券交易所主板发行并上市，经过多年的发展，公司已成为国内烟标印刷</w:t>
      </w:r>
      <w:r>
        <w:rPr>
          <w:rFonts w:hint="eastAsia" w:ascii="宋体" w:hAnsi="宋体"/>
          <w:sz w:val="24"/>
          <w:lang w:eastAsia="zh-CN"/>
        </w:rPr>
        <w:t>行业</w:t>
      </w:r>
      <w:r>
        <w:rPr>
          <w:rFonts w:hint="eastAsia" w:ascii="宋体" w:hAnsi="宋体"/>
          <w:sz w:val="24"/>
        </w:rPr>
        <w:t>的</w:t>
      </w:r>
      <w:r>
        <w:rPr>
          <w:rFonts w:hint="eastAsia" w:ascii="宋体" w:hAnsi="宋体"/>
          <w:sz w:val="24"/>
          <w:lang w:eastAsia="zh-CN"/>
        </w:rPr>
        <w:t>领先</w:t>
      </w:r>
      <w:r>
        <w:rPr>
          <w:rFonts w:hint="eastAsia" w:ascii="宋体" w:hAnsi="宋体"/>
          <w:sz w:val="24"/>
        </w:rPr>
        <w:t>企业之一。</w:t>
      </w:r>
      <w:r>
        <w:rPr>
          <w:rFonts w:hint="eastAsia" w:ascii="宋体" w:hAnsi="宋体" w:cs="宋体"/>
          <w:sz w:val="24"/>
          <w:szCs w:val="24"/>
        </w:rPr>
        <w:t>公司历来十分重视</w:t>
      </w:r>
      <w:r>
        <w:rPr>
          <w:rFonts w:hint="eastAsia" w:ascii="宋体" w:hAnsi="宋体" w:cs="宋体"/>
          <w:sz w:val="24"/>
          <w:szCs w:val="24"/>
          <w:lang w:eastAsia="zh-CN"/>
        </w:rPr>
        <w:t>对</w:t>
      </w:r>
      <w:r>
        <w:rPr>
          <w:rFonts w:hint="eastAsia" w:ascii="宋体" w:hAnsi="宋体" w:cs="宋体"/>
          <w:sz w:val="24"/>
          <w:szCs w:val="24"/>
        </w:rPr>
        <w:t>投资者的回报，股东回报率相对较高，在行业内也处于领先水平，在兼顾公司可持续发展的同时，实行持续、</w:t>
      </w:r>
      <w:r>
        <w:rPr>
          <w:rFonts w:hint="eastAsia" w:ascii="宋体" w:hAnsi="宋体" w:cs="宋体"/>
          <w:sz w:val="24"/>
          <w:szCs w:val="24"/>
          <w:lang w:eastAsia="zh-CN"/>
        </w:rPr>
        <w:t>积极</w:t>
      </w:r>
      <w:r>
        <w:rPr>
          <w:rFonts w:hint="eastAsia" w:ascii="宋体" w:hAnsi="宋体" w:cs="宋体"/>
          <w:sz w:val="24"/>
          <w:szCs w:val="24"/>
        </w:rPr>
        <w:t>的</w:t>
      </w:r>
      <w:r>
        <w:rPr>
          <w:rFonts w:hint="eastAsia" w:ascii="宋体" w:hAnsi="宋体" w:cs="宋体"/>
          <w:sz w:val="24"/>
          <w:szCs w:val="24"/>
          <w:lang w:eastAsia="zh-CN"/>
        </w:rPr>
        <w:t>现金分红</w:t>
      </w:r>
      <w:r>
        <w:rPr>
          <w:rFonts w:hint="eastAsia" w:ascii="宋体" w:hAnsi="宋体" w:cs="宋体"/>
          <w:sz w:val="24"/>
          <w:szCs w:val="24"/>
        </w:rPr>
        <w:t>政策，自上市以来累计分配现金红利33.97亿元，是IPO募集资金净额6.93亿元的4.9倍。</w:t>
      </w:r>
      <w:r>
        <w:rPr>
          <w:rFonts w:hint="eastAsia" w:ascii="宋体" w:hAnsi="宋体" w:cs="宋体"/>
          <w:sz w:val="24"/>
          <w:szCs w:val="24"/>
          <w:lang w:val="en-US" w:eastAsia="zh-CN"/>
        </w:rPr>
        <w:t>未来，公司也将持续回报广大股东，希望广大股东共同见证东风的发展！</w:t>
      </w:r>
    </w:p>
    <w:p>
      <w:pPr>
        <w:spacing w:line="360" w:lineRule="auto"/>
        <w:ind w:firstLine="480"/>
        <w:rPr>
          <w:rFonts w:hint="default" w:ascii="宋体" w:hAnsi="宋体" w:eastAsia="宋体" w:cs="宋体"/>
          <w:sz w:val="24"/>
          <w:szCs w:val="24"/>
          <w:lang w:val="en-US" w:eastAsia="zh-CN"/>
        </w:rPr>
      </w:pPr>
      <w:r>
        <w:rPr>
          <w:rFonts w:hint="eastAsia" w:ascii="宋体" w:hAnsi="宋体"/>
          <w:sz w:val="24"/>
        </w:rPr>
        <w:t>近年来公司在原有烟标主业的基础上，积极寻求战略转型，不断延伸发展、布局包括医药</w:t>
      </w:r>
      <w:r>
        <w:rPr>
          <w:rFonts w:hint="eastAsia" w:ascii="宋体" w:hAnsi="宋体"/>
          <w:sz w:val="24"/>
          <w:lang w:val="en-US" w:eastAsia="zh-CN"/>
        </w:rPr>
        <w:t>I类</w:t>
      </w:r>
      <w:r>
        <w:rPr>
          <w:rFonts w:hint="eastAsia" w:ascii="宋体" w:hAnsi="宋体"/>
          <w:sz w:val="24"/>
        </w:rPr>
        <w:t>包装、</w:t>
      </w:r>
      <w:r>
        <w:rPr>
          <w:rFonts w:hint="eastAsia" w:ascii="宋体" w:hAnsi="宋体"/>
          <w:sz w:val="24"/>
          <w:lang w:val="en-US" w:eastAsia="zh-CN"/>
        </w:rPr>
        <w:t>辅材、医疗器械、各类</w:t>
      </w:r>
      <w:r>
        <w:rPr>
          <w:rFonts w:hint="eastAsia" w:ascii="宋体" w:hAnsi="宋体"/>
          <w:sz w:val="24"/>
        </w:rPr>
        <w:t>新型材料</w:t>
      </w:r>
      <w:r>
        <w:rPr>
          <w:rFonts w:hint="eastAsia" w:ascii="宋体" w:hAnsi="宋体"/>
          <w:sz w:val="24"/>
          <w:lang w:eastAsia="zh-CN"/>
        </w:rPr>
        <w:t>（</w:t>
      </w:r>
      <w:r>
        <w:rPr>
          <w:rFonts w:hint="eastAsia" w:ascii="宋体" w:hAnsi="宋体"/>
          <w:sz w:val="24"/>
          <w:lang w:val="en-US" w:eastAsia="zh-CN"/>
        </w:rPr>
        <w:t>含锂电相关</w:t>
      </w:r>
      <w:r>
        <w:rPr>
          <w:rFonts w:hint="eastAsia" w:ascii="宋体" w:hAnsi="宋体"/>
          <w:sz w:val="24"/>
          <w:lang w:eastAsia="zh-CN"/>
        </w:rPr>
        <w:t>）、</w:t>
      </w:r>
      <w:r>
        <w:rPr>
          <w:rFonts w:hint="eastAsia" w:ascii="宋体" w:hAnsi="宋体"/>
          <w:sz w:val="24"/>
        </w:rPr>
        <w:t>新型烟草</w:t>
      </w:r>
      <w:r>
        <w:rPr>
          <w:rFonts w:hint="eastAsia" w:ascii="宋体" w:hAnsi="宋体"/>
          <w:sz w:val="24"/>
          <w:lang w:eastAsia="zh-CN"/>
        </w:rPr>
        <w:t>（</w:t>
      </w:r>
      <w:r>
        <w:rPr>
          <w:rFonts w:hint="eastAsia" w:ascii="宋体" w:hAnsi="宋体"/>
          <w:sz w:val="24"/>
          <w:lang w:val="en-US" w:eastAsia="zh-CN"/>
        </w:rPr>
        <w:t>HNB、雾化、PLA滤嘴</w:t>
      </w:r>
      <w:r>
        <w:rPr>
          <w:rFonts w:hint="eastAsia" w:ascii="宋体" w:hAnsi="宋体"/>
          <w:sz w:val="24"/>
          <w:lang w:eastAsia="zh-CN"/>
        </w:rPr>
        <w:t>）</w:t>
      </w:r>
      <w:r>
        <w:rPr>
          <w:rFonts w:hint="eastAsia" w:ascii="宋体" w:hAnsi="宋体"/>
          <w:sz w:val="24"/>
        </w:rPr>
        <w:t>、消费品投资等在内的</w:t>
      </w:r>
      <w:r>
        <w:rPr>
          <w:rFonts w:hint="eastAsia" w:ascii="宋体" w:hAnsi="宋体"/>
          <w:sz w:val="24"/>
          <w:lang w:val="en-US" w:eastAsia="zh-CN"/>
        </w:rPr>
        <w:t>综合型集团架构</w:t>
      </w:r>
      <w:r>
        <w:rPr>
          <w:rFonts w:hint="eastAsia" w:ascii="宋体" w:hAnsi="宋体"/>
          <w:sz w:val="24"/>
          <w:lang w:eastAsia="zh-CN"/>
        </w:rPr>
        <w:t>。</w:t>
      </w:r>
      <w:r>
        <w:rPr>
          <w:rFonts w:hint="eastAsia" w:ascii="宋体" w:hAnsi="宋体" w:cs="宋体"/>
          <w:sz w:val="24"/>
          <w:szCs w:val="24"/>
        </w:rPr>
        <w:t>通过公司现有的产业链优势、规模生产优势、管理协同优势等，积极推进新</w:t>
      </w:r>
      <w:r>
        <w:rPr>
          <w:rFonts w:hint="eastAsia" w:ascii="宋体" w:hAnsi="宋体" w:cs="宋体"/>
          <w:sz w:val="24"/>
          <w:szCs w:val="24"/>
          <w:lang w:eastAsia="zh-CN"/>
        </w:rPr>
        <w:t>产业板块</w:t>
      </w:r>
      <w:r>
        <w:rPr>
          <w:rFonts w:hint="eastAsia" w:ascii="宋体" w:hAnsi="宋体" w:cs="宋体"/>
          <w:sz w:val="24"/>
          <w:szCs w:val="24"/>
        </w:rPr>
        <w:t>的稳步发展，未来公司也将沿着更优质的赛道广域布局，加快公司战略转型。</w:t>
      </w:r>
      <w:r>
        <w:rPr>
          <w:rFonts w:hint="eastAsia" w:ascii="宋体" w:hAnsi="宋体" w:cs="宋体"/>
          <w:sz w:val="24"/>
          <w:szCs w:val="24"/>
          <w:lang w:val="en-US" w:eastAsia="zh-CN"/>
        </w:rPr>
        <w:t>2022年，根据集团的战略部署，公司将加速向高景气赛道转型，不断提升公司的竞争优势，更好的回报广大股东！</w:t>
      </w: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r>
        <w:rPr>
          <w:rFonts w:hint="eastAsia" w:ascii="宋体" w:hAnsi="宋体" w:cs="宋体"/>
          <w:b/>
          <w:bCs/>
          <w:sz w:val="24"/>
          <w:szCs w:val="24"/>
        </w:rPr>
        <w:t>问题1：</w:t>
      </w:r>
      <w:r>
        <w:rPr>
          <w:rFonts w:hint="eastAsia" w:ascii="宋体" w:hAnsi="宋体" w:cs="宋体"/>
          <w:b/>
          <w:sz w:val="24"/>
          <w:szCs w:val="24"/>
        </w:rPr>
        <w:t>请介绍一下公司医药包装业务的</w:t>
      </w:r>
      <w:r>
        <w:rPr>
          <w:rFonts w:hint="eastAsia" w:ascii="宋体" w:hAnsi="宋体" w:cs="宋体"/>
          <w:b/>
          <w:sz w:val="24"/>
          <w:szCs w:val="24"/>
          <w:lang w:eastAsia="zh-CN"/>
        </w:rPr>
        <w:t>发展情况</w:t>
      </w:r>
      <w:r>
        <w:rPr>
          <w:rFonts w:hint="eastAsia" w:ascii="宋体" w:hAnsi="宋体" w:cs="宋体"/>
          <w:b/>
          <w:bCs/>
          <w:sz w:val="24"/>
          <w:szCs w:val="24"/>
        </w:rPr>
        <w:t>；</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公司在持续巩固烟标主业领先优势的同时快速</w:t>
      </w:r>
      <w:r>
        <w:rPr>
          <w:rFonts w:hint="eastAsia" w:ascii="宋体" w:hAnsi="宋体" w:cs="宋体"/>
          <w:sz w:val="24"/>
          <w:szCs w:val="24"/>
          <w:lang w:val="en-US" w:eastAsia="zh-CN"/>
        </w:rPr>
        <w:t>投资</w:t>
      </w:r>
      <w:r>
        <w:rPr>
          <w:rFonts w:hint="eastAsia" w:ascii="宋体" w:hAnsi="宋体" w:cs="宋体"/>
          <w:sz w:val="24"/>
          <w:szCs w:val="24"/>
        </w:rPr>
        <w:t>I类医药包装、药用辅材、医疗器械产业板块</w:t>
      </w:r>
      <w:r>
        <w:rPr>
          <w:rFonts w:hint="eastAsia" w:ascii="宋体" w:hAnsi="宋体" w:cs="宋体"/>
          <w:sz w:val="24"/>
          <w:szCs w:val="24"/>
          <w:lang w:eastAsia="zh-CN"/>
        </w:rPr>
        <w:t>，</w:t>
      </w:r>
      <w:r>
        <w:rPr>
          <w:rFonts w:hint="eastAsia" w:ascii="宋体" w:hAnsi="宋体" w:cs="宋体"/>
          <w:sz w:val="24"/>
          <w:szCs w:val="24"/>
        </w:rPr>
        <w:t>通过外延式并购积极培育新的利润增长点。目前，公司已成功并购贵州千叶、重庆首键、常州华健、福鑫华康四家I类药包材企业，产业布局初现雏形。公司积极推进对并购标的的</w:t>
      </w:r>
      <w:r>
        <w:rPr>
          <w:rFonts w:hint="eastAsia" w:ascii="宋体" w:hAnsi="宋体" w:cs="宋体"/>
          <w:sz w:val="24"/>
          <w:szCs w:val="24"/>
          <w:lang w:val="en-US" w:eastAsia="zh-CN"/>
        </w:rPr>
        <w:t>客户</w:t>
      </w:r>
      <w:r>
        <w:rPr>
          <w:rFonts w:hint="eastAsia" w:ascii="宋体" w:hAnsi="宋体" w:cs="宋体"/>
          <w:sz w:val="24"/>
          <w:szCs w:val="24"/>
        </w:rPr>
        <w:t>协同</w:t>
      </w:r>
      <w:r>
        <w:rPr>
          <w:rFonts w:hint="eastAsia" w:ascii="宋体" w:hAnsi="宋体" w:cs="宋体"/>
          <w:sz w:val="24"/>
          <w:szCs w:val="24"/>
          <w:lang w:eastAsia="zh-CN"/>
        </w:rPr>
        <w:t>、</w:t>
      </w:r>
      <w:r>
        <w:rPr>
          <w:rFonts w:hint="eastAsia" w:ascii="宋体" w:hAnsi="宋体" w:cs="宋体"/>
          <w:sz w:val="24"/>
          <w:szCs w:val="24"/>
          <w:lang w:val="en-US" w:eastAsia="zh-CN"/>
        </w:rPr>
        <w:t>管理协同、资金协同</w:t>
      </w:r>
      <w:r>
        <w:rPr>
          <w:rFonts w:hint="eastAsia" w:ascii="宋体" w:hAnsi="宋体" w:cs="宋体"/>
          <w:sz w:val="24"/>
          <w:szCs w:val="24"/>
        </w:rPr>
        <w:t>整合与提升，并成立全资子公司上海东峰医药包装科技有限公司统筹医药包装业务板块的整体布局与发展，积极打造“东峰药包”作为公司医药大健康的品牌</w:t>
      </w:r>
      <w:r>
        <w:rPr>
          <w:rFonts w:hint="eastAsia" w:ascii="宋体" w:hAnsi="宋体" w:cs="宋体"/>
          <w:sz w:val="24"/>
          <w:szCs w:val="24"/>
          <w:lang w:eastAsia="zh-CN"/>
        </w:rPr>
        <w:t>，</w:t>
      </w:r>
      <w:r>
        <w:rPr>
          <w:rFonts w:hint="eastAsia" w:ascii="宋体" w:hAnsi="宋体" w:cs="宋体"/>
          <w:sz w:val="24"/>
          <w:szCs w:val="24"/>
          <w:lang w:val="en-US" w:eastAsia="zh-CN"/>
        </w:rPr>
        <w:t>为各大药企提供“一站式采购服务”</w:t>
      </w:r>
      <w:r>
        <w:rPr>
          <w:rFonts w:hint="eastAsia" w:ascii="宋体" w:hAnsi="宋体" w:cs="宋体"/>
          <w:sz w:val="24"/>
          <w:szCs w:val="24"/>
        </w:rPr>
        <w:t>。公司将加速转型，在I类医药包装、药用辅材、医疗器械产业板块持续发力，目前根据集团的投资规划，所有药包材子公司均已经申请投资配额，将全面扩产扩规模拿地建厂，不断提升生产规模，优化产品结构，改善客户结构。</w:t>
      </w:r>
      <w:r>
        <w:rPr>
          <w:rFonts w:hint="eastAsia" w:ascii="宋体" w:hAnsi="宋体" w:cs="宋体"/>
          <w:sz w:val="24"/>
          <w:szCs w:val="24"/>
          <w:lang w:val="en-US" w:eastAsia="zh-CN"/>
        </w:rPr>
        <w:t>目前与</w:t>
      </w:r>
      <w:r>
        <w:rPr>
          <w:rFonts w:ascii="宋体" w:hAnsi="宋体" w:eastAsia="宋体" w:cs="宋体"/>
          <w:sz w:val="24"/>
          <w:szCs w:val="24"/>
        </w:rPr>
        <w:t>阿斯利康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费森尤斯卡比</w:t>
      </w:r>
      <w:r>
        <w:rPr>
          <w:rFonts w:hint="eastAsia" w:ascii="宋体" w:hAnsi="宋体" w:cs="宋体"/>
          <w:sz w:val="24"/>
          <w:szCs w:val="24"/>
          <w:lang w:eastAsia="zh-CN"/>
        </w:rPr>
        <w:t>、</w:t>
      </w:r>
      <w:r>
        <w:rPr>
          <w:rFonts w:ascii="宋体" w:hAnsi="宋体" w:eastAsia="宋体" w:cs="宋体"/>
          <w:sz w:val="24"/>
          <w:szCs w:val="24"/>
        </w:rPr>
        <w:t>赛诺菲的业务合作已提供样品并试机通过</w:t>
      </w:r>
      <w:r>
        <w:rPr>
          <w:rFonts w:hint="eastAsia" w:ascii="宋体" w:hAnsi="宋体" w:eastAsia="宋体" w:cs="宋体"/>
          <w:sz w:val="24"/>
          <w:szCs w:val="24"/>
          <w:lang w:eastAsia="zh-CN"/>
        </w:rPr>
        <w:t>，</w:t>
      </w:r>
      <w:r>
        <w:rPr>
          <w:rFonts w:ascii="宋体" w:hAnsi="宋体" w:eastAsia="宋体" w:cs="宋体"/>
          <w:sz w:val="24"/>
          <w:szCs w:val="24"/>
        </w:rPr>
        <w:t>与拜耳的业务合作也已完成供应商前期建档等程序。</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医药包装行业</w:t>
      </w:r>
      <w:r>
        <w:rPr>
          <w:rFonts w:hint="eastAsia" w:ascii="宋体" w:hAnsi="宋体" w:cs="宋体"/>
          <w:sz w:val="24"/>
          <w:szCs w:val="24"/>
          <w:lang w:eastAsia="zh-CN"/>
        </w:rPr>
        <w:t>之前</w:t>
      </w:r>
      <w:r>
        <w:rPr>
          <w:rFonts w:hint="eastAsia" w:ascii="宋体" w:hAnsi="宋体" w:cs="宋体"/>
          <w:sz w:val="24"/>
          <w:szCs w:val="24"/>
        </w:rPr>
        <w:t>比较分散</w:t>
      </w:r>
      <w:r>
        <w:rPr>
          <w:rFonts w:hint="eastAsia" w:ascii="宋体" w:hAnsi="宋体" w:cs="宋体"/>
          <w:sz w:val="24"/>
          <w:szCs w:val="24"/>
          <w:lang w:eastAsia="zh-CN"/>
        </w:rPr>
        <w:t>、集中度不高</w:t>
      </w:r>
      <w:r>
        <w:rPr>
          <w:rFonts w:hint="eastAsia" w:ascii="宋体" w:hAnsi="宋体" w:cs="宋体"/>
          <w:sz w:val="24"/>
          <w:szCs w:val="24"/>
        </w:rPr>
        <w:t>,在关联审评政策的推动下,药包材行业内领先企业有望进一步巩固竞争优势,得到更好的发展。因关联审评政策的实施,医药企业不会轻易更换药包材供应商,也更注重药包材的质量而不是单拼价格。医药行业实施带量采购后,药包材的单一客户单一品种的订单量大幅提升,有利于提高产能利用率、提升设备OEE效率,从而带来药包材供应商产能的优化与提升。未来公司将把“东峰药包”打造成平台型全资子公司，把医药包装板块培育成公司支柱板块之一。公司也会循序渐进，结合发展情况在行业内进一步实施并购与整合。根据公司此前发布的《医药包装产业五年发展战略规划（2020年-2024年）》，公司未来的目标是力争成为中国医药包装领域综合性的龙头生产企业。</w:t>
      </w:r>
    </w:p>
    <w:p>
      <w:pPr>
        <w:spacing w:line="360" w:lineRule="auto"/>
        <w:ind w:firstLine="480" w:firstLineChars="200"/>
        <w:rPr>
          <w:rFonts w:hint="eastAsia" w:ascii="宋体" w:hAnsi="宋体"/>
          <w:sz w:val="24"/>
        </w:rPr>
      </w:pPr>
      <w:r>
        <w:rPr>
          <w:rFonts w:hint="eastAsia" w:ascii="宋体" w:hAnsi="宋体"/>
          <w:sz w:val="24"/>
        </w:rPr>
        <w:t>近期，公司已披露控股子公司福鑫华康拟投资1.2亿元，在江苏省泰兴市虹桥工业园区内取得项目用地并投资建设药品用高端阻隔类薄膜硬片生产项目。通过该项目的实施，将助力福鑫华康实现扩产扩规模，进一步增强竞争优势，提升整体竞争实力。</w:t>
      </w:r>
    </w:p>
    <w:p>
      <w:pPr>
        <w:spacing w:line="360" w:lineRule="auto"/>
        <w:ind w:firstLine="480"/>
        <w:rPr>
          <w:rFonts w:ascii="宋体" w:hAnsi="宋体" w:cs="宋体"/>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问题2：公司作为传统烟草包装企业的代表，目前在新型烟草方面的布局情况如何；</w:t>
      </w:r>
    </w:p>
    <w:p>
      <w:pPr>
        <w:spacing w:line="360" w:lineRule="auto"/>
        <w:ind w:firstLine="480"/>
        <w:rPr>
          <w:rFonts w:hint="eastAsia" w:ascii="宋体" w:hAnsi="宋体" w:cs="宋体"/>
          <w:sz w:val="24"/>
          <w:szCs w:val="24"/>
        </w:rPr>
      </w:pPr>
      <w:r>
        <w:rPr>
          <w:rFonts w:hint="eastAsia" w:ascii="宋体" w:hAnsi="宋体" w:cs="宋体"/>
          <w:sz w:val="24"/>
          <w:szCs w:val="24"/>
        </w:rPr>
        <w:t>在新型烟草业务方面，公司持续关注国家监管政策并已在前期做好战略布局。此前公司已投资布局了深圳佳品健怡科技有限公司（品牌：FreeM）、深圳市绿新丰科技有限公司、云南喜科科技有限公司（品牌：CIGOO喜科）、深圳美众联科技有限公司</w:t>
      </w:r>
      <w:r>
        <w:rPr>
          <w:rFonts w:hint="eastAsia" w:ascii="宋体" w:hAnsi="宋体" w:cs="宋体"/>
          <w:sz w:val="24"/>
          <w:szCs w:val="24"/>
          <w:lang w:eastAsia="zh-CN"/>
        </w:rPr>
        <w:t>、</w:t>
      </w:r>
      <w:r>
        <w:rPr>
          <w:rFonts w:hint="eastAsia" w:ascii="宋体" w:hAnsi="宋体" w:cs="宋体"/>
          <w:sz w:val="24"/>
          <w:szCs w:val="24"/>
        </w:rPr>
        <w:t>深圳市智叶生物科技有限公司（品牌：Soyee小叶</w:t>
      </w:r>
      <w:r>
        <w:rPr>
          <w:rFonts w:hint="eastAsia" w:ascii="宋体" w:hAnsi="宋体" w:cs="宋体"/>
          <w:sz w:val="24"/>
          <w:szCs w:val="24"/>
          <w:lang w:eastAsia="zh-CN"/>
        </w:rPr>
        <w:t>，包括</w:t>
      </w:r>
      <w:r>
        <w:rPr>
          <w:rFonts w:hint="eastAsia" w:ascii="宋体" w:hAnsi="宋体" w:cs="宋体"/>
          <w:sz w:val="24"/>
          <w:szCs w:val="24"/>
        </w:rPr>
        <w:t>小叶品牌雾化烟及PLA滤嘴</w:t>
      </w:r>
      <w:r>
        <w:rPr>
          <w:rFonts w:hint="eastAsia" w:ascii="宋体" w:hAnsi="宋体" w:cs="宋体"/>
          <w:sz w:val="24"/>
          <w:szCs w:val="24"/>
          <w:lang w:eastAsia="zh-CN"/>
        </w:rPr>
        <w:t>）</w:t>
      </w:r>
      <w:r>
        <w:rPr>
          <w:rFonts w:hint="eastAsia" w:ascii="宋体" w:hAnsi="宋体" w:cs="宋体"/>
          <w:sz w:val="24"/>
          <w:szCs w:val="24"/>
        </w:rPr>
        <w:t>等</w:t>
      </w:r>
      <w:r>
        <w:rPr>
          <w:rFonts w:hint="eastAsia" w:ascii="宋体" w:hAnsi="宋体" w:cs="宋体"/>
          <w:sz w:val="24"/>
          <w:szCs w:val="24"/>
          <w:lang w:eastAsia="zh-CN"/>
        </w:rPr>
        <w:t>行业内领先企业</w:t>
      </w:r>
      <w:r>
        <w:rPr>
          <w:rFonts w:hint="eastAsia" w:ascii="宋体" w:hAnsi="宋体" w:cs="宋体"/>
          <w:sz w:val="24"/>
          <w:szCs w:val="24"/>
        </w:rPr>
        <w:t>。同时，公司也成立了新型烟草事业部，不断研发、布局含HNB在内的新型烟草，从基材、调香研发到生产、销售等进行全产业链布局。</w:t>
      </w:r>
    </w:p>
    <w:p>
      <w:pPr>
        <w:spacing w:line="360" w:lineRule="auto"/>
        <w:ind w:firstLine="480"/>
        <w:rPr>
          <w:rFonts w:ascii="宋体" w:hAnsi="宋体" w:cs="宋体"/>
          <w:sz w:val="24"/>
          <w:szCs w:val="24"/>
        </w:rPr>
      </w:pPr>
      <w:r>
        <w:rPr>
          <w:rFonts w:hint="eastAsia" w:ascii="宋体" w:hAnsi="宋体" w:cs="宋体"/>
          <w:sz w:val="24"/>
          <w:szCs w:val="24"/>
        </w:rPr>
        <w:t>Soyee小叶主营产品包含加热不燃烧式本草电子烟和雾化式电子烟，自研电子烟PLA（即聚乳酸，是以玉米、木薯等植物淀粉为原材料制成，具有生物降解性的绿色环保高分子材料，被广泛应用于生物制药领域，是当前最新锐的电子雾化烟安全过滤材料）过滤嘴是Soyee</w:t>
      </w:r>
      <w:r>
        <w:rPr>
          <w:rFonts w:hint="eastAsia" w:ascii="宋体" w:hAnsi="宋体" w:cs="宋体"/>
          <w:sz w:val="24"/>
          <w:szCs w:val="24"/>
          <w:lang w:eastAsia="zh-CN"/>
        </w:rPr>
        <w:t>小叶</w:t>
      </w:r>
      <w:r>
        <w:rPr>
          <w:rFonts w:hint="eastAsia" w:ascii="宋体" w:hAnsi="宋体" w:cs="宋体"/>
          <w:sz w:val="24"/>
          <w:szCs w:val="24"/>
        </w:rPr>
        <w:t>核心技术之一。</w:t>
      </w:r>
    </w:p>
    <w:p>
      <w:pPr>
        <w:spacing w:line="360" w:lineRule="auto"/>
        <w:ind w:firstLine="480"/>
        <w:rPr>
          <w:rFonts w:ascii="宋体" w:hAnsi="宋体" w:cs="宋体"/>
          <w:sz w:val="24"/>
          <w:szCs w:val="24"/>
        </w:rPr>
      </w:pPr>
      <w:r>
        <w:rPr>
          <w:rFonts w:hint="eastAsia" w:ascii="宋体" w:hAnsi="宋体" w:cs="宋体"/>
          <w:sz w:val="24"/>
          <w:szCs w:val="24"/>
        </w:rPr>
        <w:t>公司布局涵盖滤嘴、HNB、雾化的研发、生产、销售进行全产业链布局。随着监管政策的落地，在政策引导之下，公司基于多年来和下游烟草行业的良好合作关系，会在法律法规及监管部门的政策框架下制定相应的发展战略，持续关注并探索进一步优化在电子烟相关业务板块的发展。</w:t>
      </w:r>
    </w:p>
    <w:p>
      <w:pPr>
        <w:spacing w:line="360" w:lineRule="auto"/>
        <w:ind w:firstLine="482" w:firstLineChars="200"/>
        <w:rPr>
          <w:rFonts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问题3：请介绍一下公司膜业务的经营情况；</w:t>
      </w:r>
    </w:p>
    <w:p>
      <w:pPr>
        <w:spacing w:line="360" w:lineRule="auto"/>
        <w:ind w:firstLine="480"/>
        <w:rPr>
          <w:rFonts w:hint="eastAsia" w:ascii="宋体" w:hAnsi="宋体" w:cs="宋体"/>
          <w:sz w:val="24"/>
          <w:szCs w:val="24"/>
          <w:lang w:val="en-US" w:eastAsia="zh-CN"/>
        </w:rPr>
      </w:pPr>
      <w:r>
        <w:rPr>
          <w:rFonts w:hint="eastAsia" w:ascii="宋体" w:hAnsi="宋体" w:cs="宋体"/>
          <w:sz w:val="24"/>
          <w:szCs w:val="24"/>
          <w:lang w:val="en-US" w:eastAsia="zh-CN"/>
        </w:rPr>
        <w:t>根据</w:t>
      </w:r>
      <w:r>
        <w:rPr>
          <w:rFonts w:hint="eastAsia" w:ascii="宋体" w:hAnsi="宋体" w:cs="宋体"/>
          <w:sz w:val="24"/>
          <w:szCs w:val="24"/>
        </w:rPr>
        <w:t>公司</w:t>
      </w:r>
      <w:r>
        <w:rPr>
          <w:rFonts w:hint="eastAsia" w:ascii="宋体" w:hAnsi="宋体" w:cs="宋体"/>
          <w:sz w:val="24"/>
          <w:szCs w:val="24"/>
          <w:lang w:val="en-US" w:eastAsia="zh-CN"/>
        </w:rPr>
        <w:t>战略，</w:t>
      </w:r>
      <w:r>
        <w:rPr>
          <w:rFonts w:hint="eastAsia" w:ascii="宋体" w:hAnsi="宋体" w:cs="宋体"/>
          <w:sz w:val="24"/>
          <w:szCs w:val="24"/>
        </w:rPr>
        <w:t>广东鑫瑞新材料科技有限公司</w:t>
      </w:r>
      <w:r>
        <w:rPr>
          <w:rFonts w:hint="eastAsia" w:ascii="宋体" w:hAnsi="宋体" w:cs="宋体"/>
          <w:sz w:val="24"/>
          <w:szCs w:val="24"/>
          <w:lang w:val="en-US" w:eastAsia="zh-CN"/>
        </w:rPr>
        <w:t>拟打造成为集团新材料的牵头企业，公司产品涵盖</w:t>
      </w:r>
      <w:r>
        <w:rPr>
          <w:rFonts w:hint="eastAsia" w:ascii="宋体" w:hAnsi="宋体" w:cs="宋体"/>
          <w:sz w:val="24"/>
          <w:szCs w:val="24"/>
        </w:rPr>
        <w:t>PE膜、镀氧化铝膜及镀铝膜、PVA涂布膜、蓝色绝缘胶带、铝塑膜</w:t>
      </w:r>
      <w:r>
        <w:rPr>
          <w:rFonts w:hint="eastAsia" w:ascii="宋体" w:hAnsi="宋体" w:cs="宋体"/>
          <w:sz w:val="24"/>
          <w:szCs w:val="24"/>
          <w:lang w:val="en-US" w:eastAsia="zh-CN"/>
        </w:rPr>
        <w:t>等</w:t>
      </w:r>
      <w:r>
        <w:rPr>
          <w:rFonts w:hint="eastAsia" w:ascii="宋体" w:hAnsi="宋体" w:cs="宋体"/>
          <w:sz w:val="24"/>
          <w:szCs w:val="24"/>
        </w:rPr>
        <w:t>。公司依托全资子公司广东鑫瑞新材料科技有限公司为核心平台，打造具备高技术门槛、高成长性特征的高端膜类新材料平台公司，是公司发展战略的核心内容之一。</w:t>
      </w:r>
    </w:p>
    <w:p>
      <w:pPr>
        <w:spacing w:line="360" w:lineRule="auto"/>
        <w:ind w:firstLine="480"/>
        <w:rPr>
          <w:rFonts w:hint="eastAsia" w:ascii="宋体" w:hAnsi="宋体" w:cs="宋体"/>
          <w:sz w:val="24"/>
          <w:szCs w:val="24"/>
        </w:rPr>
      </w:pPr>
      <w:r>
        <w:rPr>
          <w:rFonts w:hint="eastAsia" w:ascii="宋体" w:hAnsi="宋体" w:cs="宋体"/>
          <w:sz w:val="24"/>
          <w:szCs w:val="24"/>
        </w:rPr>
        <w:t>在赛道选择方面，公司会结合战略转型的规划布局高附加值的医药包材I类包装业务、锂电池隔膜保护膜业务等，主要产品包括I类药包材、PVA高阻隔涂布膜、锂电池电芯外包铝塑膜保护膜、锂电池隔膜支撑保护膜等。</w:t>
      </w:r>
    </w:p>
    <w:p>
      <w:pPr>
        <w:spacing w:line="360" w:lineRule="auto"/>
        <w:ind w:firstLine="480"/>
        <w:rPr>
          <w:rFonts w:hint="eastAsia" w:ascii="宋体" w:hAnsi="宋体" w:cs="宋体"/>
          <w:sz w:val="24"/>
          <w:szCs w:val="24"/>
        </w:rPr>
      </w:pPr>
      <w:r>
        <w:rPr>
          <w:rFonts w:hint="eastAsia" w:ascii="宋体" w:hAnsi="宋体" w:cs="宋体"/>
          <w:sz w:val="24"/>
          <w:szCs w:val="24"/>
          <w:lang w:eastAsia="zh-CN"/>
        </w:rPr>
        <w:t>随着公司全资子公司鑫瑞科技增资</w:t>
      </w:r>
      <w:r>
        <w:rPr>
          <w:rFonts w:hint="eastAsia" w:ascii="宋体" w:hAnsi="宋体" w:cs="宋体"/>
          <w:sz w:val="24"/>
          <w:szCs w:val="24"/>
          <w:lang w:val="en-US" w:eastAsia="zh-CN"/>
        </w:rPr>
        <w:t>深圳市博盛新材料有限公司并</w:t>
      </w:r>
      <w:r>
        <w:rPr>
          <w:rFonts w:hint="eastAsia" w:ascii="宋体" w:hAnsi="宋体" w:cs="宋体"/>
          <w:sz w:val="24"/>
          <w:szCs w:val="24"/>
        </w:rPr>
        <w:t>签署《</w:t>
      </w:r>
      <w:r>
        <w:rPr>
          <w:rFonts w:hint="eastAsia" w:ascii="宋体" w:hAnsi="宋体" w:cs="宋体"/>
          <w:sz w:val="24"/>
          <w:szCs w:val="24"/>
          <w:lang w:eastAsia="zh-CN"/>
        </w:rPr>
        <w:t>战略合作协议</w:t>
      </w:r>
      <w:r>
        <w:rPr>
          <w:rFonts w:hint="eastAsia" w:ascii="宋体" w:hAnsi="宋体" w:cs="宋体"/>
          <w:sz w:val="24"/>
          <w:szCs w:val="24"/>
        </w:rPr>
        <w:t>》，</w:t>
      </w:r>
      <w:r>
        <w:rPr>
          <w:rFonts w:hint="eastAsia" w:ascii="宋体" w:hAnsi="宋体" w:cs="宋体"/>
          <w:sz w:val="24"/>
          <w:szCs w:val="24"/>
          <w:lang w:eastAsia="zh-CN"/>
        </w:rPr>
        <w:t>鑫瑞科技与博盛新材料将</w:t>
      </w:r>
      <w:r>
        <w:rPr>
          <w:rFonts w:hint="eastAsia" w:ascii="宋体" w:hAnsi="宋体" w:eastAsia="宋体" w:cs="宋体"/>
          <w:sz w:val="24"/>
          <w:szCs w:val="24"/>
          <w:lang w:val="en-US" w:eastAsia="zh-CN"/>
        </w:rPr>
        <w:t>在各类电池材料、隔膜材料、特种高分子膜、导热材料、隔热材料等各项新材料的研发、生产与工艺方面，建立多层次、全方位的长期战略合作伙伴共赢关系，</w:t>
      </w:r>
      <w:r>
        <w:rPr>
          <w:rFonts w:hint="eastAsia" w:ascii="宋体" w:hAnsi="宋体" w:eastAsia="宋体" w:cs="宋体"/>
          <w:sz w:val="24"/>
          <w:szCs w:val="24"/>
          <w:highlight w:val="none"/>
          <w:lang w:eastAsia="zh-CN"/>
        </w:rPr>
        <w:t>进一步优化公司在膜类新型材料领域的产业布局</w:t>
      </w:r>
      <w:r>
        <w:rPr>
          <w:rFonts w:hint="eastAsia" w:ascii="宋体" w:hAnsi="宋体" w:cs="宋体"/>
          <w:sz w:val="24"/>
          <w:szCs w:val="24"/>
          <w:highlight w:val="none"/>
          <w:lang w:eastAsia="zh-CN"/>
        </w:rPr>
        <w:t>，</w:t>
      </w:r>
      <w:r>
        <w:rPr>
          <w:rFonts w:hint="eastAsia" w:ascii="宋体" w:hAnsi="宋体" w:cs="宋体"/>
          <w:sz w:val="24"/>
          <w:szCs w:val="24"/>
          <w:lang w:val="en-US" w:eastAsia="zh-CN"/>
        </w:rPr>
        <w:t>此次投资系落实公司在新能源材料板块的战略实施。</w:t>
      </w:r>
    </w:p>
    <w:p>
      <w:pPr>
        <w:spacing w:line="360" w:lineRule="auto"/>
        <w:ind w:firstLine="480"/>
        <w:rPr>
          <w:rFonts w:ascii="宋体" w:hAnsi="宋体" w:cs="宋体"/>
          <w:sz w:val="24"/>
          <w:szCs w:val="24"/>
        </w:rPr>
      </w:pPr>
      <w:r>
        <w:rPr>
          <w:rFonts w:hint="eastAsia" w:ascii="宋体" w:hAnsi="宋体" w:cs="宋体"/>
          <w:sz w:val="24"/>
          <w:szCs w:val="24"/>
        </w:rPr>
        <w:t>未来，高端医药包装、高端食品包装等领域，及锂电池产品延伸出来的膜品类产业机会都是公司发力和转型的战略重点。公司将在积极提升技改水平的同时，努力拓展新的客户与市场，通过公司现有的产业链优势、规模生产优势、管理协同优势等，在保证原有业务稳健经营的同时，推进新业务</w:t>
      </w:r>
      <w:r>
        <w:rPr>
          <w:rFonts w:hint="eastAsia" w:ascii="宋体" w:hAnsi="宋体" w:cs="宋体"/>
          <w:sz w:val="24"/>
          <w:szCs w:val="24"/>
          <w:lang w:eastAsia="zh-CN"/>
        </w:rPr>
        <w:t>板块</w:t>
      </w:r>
      <w:r>
        <w:rPr>
          <w:rFonts w:hint="eastAsia" w:ascii="宋体" w:hAnsi="宋体" w:cs="宋体"/>
          <w:sz w:val="24"/>
          <w:szCs w:val="24"/>
        </w:rPr>
        <w:t>的</w:t>
      </w:r>
      <w:r>
        <w:rPr>
          <w:rFonts w:hint="eastAsia" w:ascii="宋体" w:hAnsi="宋体" w:cs="宋体"/>
          <w:sz w:val="24"/>
          <w:szCs w:val="24"/>
          <w:lang w:eastAsia="zh-CN"/>
        </w:rPr>
        <w:t>提速</w:t>
      </w:r>
      <w:r>
        <w:rPr>
          <w:rFonts w:hint="eastAsia" w:ascii="宋体" w:hAnsi="宋体" w:cs="宋体"/>
          <w:sz w:val="24"/>
          <w:szCs w:val="24"/>
        </w:rPr>
        <w:t>发展。</w:t>
      </w:r>
    </w:p>
    <w:p>
      <w:pPr>
        <w:spacing w:line="360" w:lineRule="auto"/>
        <w:ind w:firstLine="480"/>
        <w:rPr>
          <w:rFonts w:ascii="宋体" w:hAnsi="宋体"/>
          <w:sz w:val="24"/>
        </w:rPr>
      </w:pPr>
    </w:p>
    <w:p>
      <w:pPr>
        <w:spacing w:line="360" w:lineRule="auto"/>
        <w:ind w:firstLine="480"/>
        <w:rPr>
          <w:rFonts w:ascii="宋体" w:hAnsi="宋体" w:cs="宋体"/>
          <w:b/>
          <w:sz w:val="24"/>
          <w:szCs w:val="24"/>
        </w:rPr>
      </w:pPr>
      <w:r>
        <w:rPr>
          <w:rFonts w:hint="eastAsia" w:ascii="宋体" w:hAnsi="宋体" w:cs="宋体"/>
          <w:b/>
          <w:sz w:val="24"/>
          <w:szCs w:val="24"/>
        </w:rPr>
        <w:t>问题4：请介绍一下公司与天图投资合作的消费投资基金</w:t>
      </w:r>
      <w:r>
        <w:rPr>
          <w:rFonts w:hint="eastAsia" w:ascii="宋体" w:hAnsi="宋体" w:cs="宋体"/>
          <w:b/>
          <w:sz w:val="24"/>
          <w:szCs w:val="24"/>
          <w:lang w:eastAsia="zh-CN"/>
        </w:rPr>
        <w:t>的</w:t>
      </w:r>
      <w:r>
        <w:rPr>
          <w:rFonts w:hint="eastAsia" w:ascii="宋体" w:hAnsi="宋体" w:cs="宋体"/>
          <w:b/>
          <w:sz w:val="24"/>
          <w:szCs w:val="24"/>
        </w:rPr>
        <w:t>情况；</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公司与天图投资及相关方合作设立的消费投资基金采用双GP（普通合伙人）的管理模式，公司也是GP之一，在投委会中也有委派委员。公司总共对消费投资基金的出资是4亿元。公司消费投资基金自2017年开始逐步产生投资收益，一直持续至最近报告期，已经投资多个新快消优质标的。消费投资基金所投资的大部分项目目前均处于高速成长阶段，其中成长较快的有三顿半咖啡、气味图书馆、钟薛高</w:t>
      </w:r>
      <w:r>
        <w:rPr>
          <w:rFonts w:hint="eastAsia" w:ascii="宋体" w:hAnsi="宋体" w:cs="宋体"/>
          <w:sz w:val="24"/>
          <w:lang w:eastAsia="zh-CN"/>
        </w:rPr>
        <w:t>、</w:t>
      </w:r>
      <w:r>
        <w:rPr>
          <w:rFonts w:hint="eastAsia" w:ascii="宋体" w:hAnsi="宋体" w:cstheme="minorBidi"/>
          <w:b w:val="0"/>
          <w:bCs w:val="0"/>
          <w:i w:val="0"/>
          <w:iCs w:val="0"/>
          <w:caps w:val="0"/>
          <w:spacing w:val="0"/>
          <w:sz w:val="24"/>
          <w:szCs w:val="24"/>
          <w:shd w:val="clear"/>
          <w:lang w:val="en-US" w:eastAsia="zh-CN"/>
        </w:rPr>
        <w:t>茶颜悦色、</w:t>
      </w:r>
      <w:r>
        <w:rPr>
          <w:rFonts w:hint="eastAsia" w:ascii="宋体" w:hAnsi="宋体" w:eastAsia="宋体"/>
          <w:sz w:val="24"/>
          <w:lang w:eastAsia="zh-CN"/>
        </w:rPr>
        <w:t>预制菜品牌“</w:t>
      </w:r>
      <w:r>
        <w:rPr>
          <w:rFonts w:hint="eastAsia" w:ascii="宋体" w:hAnsi="宋体" w:eastAsia="宋体" w:cstheme="minorBidi"/>
          <w:b w:val="0"/>
          <w:bCs w:val="0"/>
          <w:i w:val="0"/>
          <w:iCs w:val="0"/>
          <w:caps w:val="0"/>
          <w:spacing w:val="0"/>
          <w:sz w:val="24"/>
          <w:szCs w:val="24"/>
          <w:shd w:val="clear"/>
        </w:rPr>
        <w:t>寻味狮</w:t>
      </w:r>
      <w:r>
        <w:rPr>
          <w:rFonts w:hint="eastAsia" w:ascii="宋体" w:hAnsi="宋体" w:eastAsia="宋体" w:cstheme="minorBidi"/>
          <w:b w:val="0"/>
          <w:bCs w:val="0"/>
          <w:i w:val="0"/>
          <w:iCs w:val="0"/>
          <w:caps w:val="0"/>
          <w:spacing w:val="0"/>
          <w:sz w:val="24"/>
          <w:szCs w:val="24"/>
          <w:shd w:val="clear"/>
          <w:lang w:eastAsia="zh-CN"/>
        </w:rPr>
        <w:t>”</w:t>
      </w:r>
      <w:r>
        <w:rPr>
          <w:rFonts w:hint="eastAsia" w:ascii="宋体" w:hAnsi="宋体" w:cstheme="minorBidi"/>
          <w:b w:val="0"/>
          <w:bCs w:val="0"/>
          <w:i w:val="0"/>
          <w:iCs w:val="0"/>
          <w:caps w:val="0"/>
          <w:spacing w:val="0"/>
          <w:sz w:val="24"/>
          <w:szCs w:val="24"/>
          <w:shd w:val="clear"/>
          <w:lang w:val="en-US" w:eastAsia="zh-CN"/>
        </w:rPr>
        <w:t>等</w:t>
      </w:r>
      <w:r>
        <w:rPr>
          <w:rFonts w:hint="eastAsia" w:ascii="宋体" w:hAnsi="宋体" w:cs="宋体"/>
          <w:sz w:val="24"/>
        </w:rPr>
        <w:t>。之后消费投资基金也将进入退出期，会有相应的投资收益，目前奈雪的茶已上市、百果园也在筹划上市，加上其他项目估值的提升，投资收益</w:t>
      </w:r>
      <w:r>
        <w:rPr>
          <w:rFonts w:hint="eastAsia" w:ascii="宋体" w:hAnsi="宋体" w:cs="宋体"/>
          <w:sz w:val="24"/>
          <w:lang w:val="en-US" w:eastAsia="zh-CN"/>
        </w:rPr>
        <w:t>未来</w:t>
      </w:r>
      <w:r>
        <w:rPr>
          <w:rFonts w:hint="eastAsia" w:ascii="宋体" w:hAnsi="宋体" w:cs="宋体"/>
          <w:sz w:val="24"/>
        </w:rPr>
        <w:t>是持续</w:t>
      </w:r>
      <w:r>
        <w:rPr>
          <w:rFonts w:hint="eastAsia" w:ascii="宋体" w:hAnsi="宋体" w:cs="宋体"/>
          <w:sz w:val="24"/>
          <w:lang w:val="en-US" w:eastAsia="zh-CN"/>
        </w:rPr>
        <w:t>贡献</w:t>
      </w:r>
      <w:r>
        <w:rPr>
          <w:rFonts w:hint="eastAsia" w:ascii="宋体" w:hAnsi="宋体" w:cs="宋体"/>
          <w:sz w:val="24"/>
        </w:rPr>
        <w:t>的。</w:t>
      </w:r>
      <w:r>
        <w:rPr>
          <w:rFonts w:hint="eastAsia" w:ascii="宋体" w:hAnsi="宋体" w:cs="宋体"/>
          <w:sz w:val="24"/>
          <w:lang w:val="en-US" w:eastAsia="zh-CN"/>
        </w:rPr>
        <w:t>收回投资后，公司拟将资金投向更高景气度的I类药包材、辅材、医疗器械、各类新材料（新能源）及新型烟草等赛道，全面提升公司竞争力。</w:t>
      </w:r>
    </w:p>
    <w:p>
      <w:pPr>
        <w:spacing w:line="360" w:lineRule="auto"/>
        <w:ind w:firstLine="480"/>
        <w:rPr>
          <w:rFonts w:ascii="宋体" w:hAnsi="宋体"/>
          <w:sz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问题5：公司</w:t>
      </w:r>
      <w:r>
        <w:rPr>
          <w:rFonts w:hint="eastAsia" w:ascii="宋体" w:hAnsi="宋体" w:cs="宋体"/>
          <w:b/>
          <w:sz w:val="24"/>
          <w:szCs w:val="24"/>
          <w:lang w:eastAsia="zh-CN"/>
        </w:rPr>
        <w:t>大包装产业板块</w:t>
      </w:r>
      <w:r>
        <w:rPr>
          <w:rFonts w:hint="eastAsia" w:ascii="宋体" w:hAnsi="宋体" w:cs="宋体"/>
          <w:b/>
          <w:sz w:val="24"/>
          <w:szCs w:val="24"/>
        </w:rPr>
        <w:t>还会往产业链上游延伸吗；</w:t>
      </w:r>
    </w:p>
    <w:p>
      <w:pPr>
        <w:spacing w:line="360" w:lineRule="auto"/>
        <w:ind w:firstLine="480"/>
        <w:rPr>
          <w:rFonts w:hint="eastAsia" w:ascii="宋体" w:hAnsi="宋体" w:cs="宋体"/>
          <w:sz w:val="24"/>
          <w:szCs w:val="24"/>
        </w:rPr>
      </w:pPr>
      <w:r>
        <w:rPr>
          <w:rFonts w:hint="eastAsia" w:ascii="宋体" w:hAnsi="宋体" w:cs="宋体"/>
          <w:sz w:val="24"/>
          <w:szCs w:val="24"/>
        </w:rPr>
        <w:t>公司已建立起覆盖纸品、基膜、油墨、涂料、电化铝、镭射膜、镭射转移纸、印刷包装设计与生产的全产业链条，成为行业内产业链最完整的印刷包装企业之一。从产品设计、纸品膜品加工、油墨制造到制版、印刷、烫金、模切与成品质检，公司已形成统一的专业印刷包装制造体系及生产流程闭环，多环节的成本管控，能够有效降低生产成本，具备较强的成本竞争优势。</w:t>
      </w:r>
    </w:p>
    <w:p>
      <w:pPr>
        <w:spacing w:line="360" w:lineRule="auto"/>
        <w:ind w:firstLine="480"/>
        <w:rPr>
          <w:rFonts w:hint="eastAsia" w:ascii="宋体" w:hAnsi="宋体" w:cs="宋体"/>
          <w:sz w:val="24"/>
          <w:szCs w:val="24"/>
        </w:rPr>
      </w:pPr>
      <w:r>
        <w:rPr>
          <w:rFonts w:hint="eastAsia" w:ascii="宋体" w:hAnsi="宋体" w:cs="宋体"/>
          <w:sz w:val="24"/>
          <w:szCs w:val="24"/>
        </w:rPr>
        <w:t>数字印刷是未来公司在产业链上游进行布局的一个重要环节，目前布局的重点是研发数字墨水，已与北京化工大学合作组建联合研发中心开展LED</w:t>
      </w:r>
      <w:r>
        <w:rPr>
          <w:rFonts w:hint="eastAsia" w:ascii="宋体" w:hAnsi="宋体" w:cs="宋体"/>
          <w:sz w:val="24"/>
          <w:szCs w:val="24"/>
          <w:lang w:val="en-US" w:eastAsia="zh-CN"/>
        </w:rPr>
        <w:t xml:space="preserve"> </w:t>
      </w:r>
      <w:r>
        <w:rPr>
          <w:rFonts w:hint="eastAsia" w:ascii="宋体" w:hAnsi="宋体" w:cs="宋体"/>
          <w:sz w:val="24"/>
          <w:szCs w:val="24"/>
        </w:rPr>
        <w:t>UV喷墨油墨的研发、另与北京印刷学院合作组建数字印刷油墨测试开发中心，研发用于二维码赋码的LED</w:t>
      </w:r>
      <w:r>
        <w:rPr>
          <w:rFonts w:hint="eastAsia" w:ascii="宋体" w:hAnsi="宋体" w:cs="宋体"/>
          <w:sz w:val="24"/>
          <w:szCs w:val="24"/>
          <w:lang w:val="en-US" w:eastAsia="zh-CN"/>
        </w:rPr>
        <w:t xml:space="preserve"> </w:t>
      </w:r>
      <w:r>
        <w:rPr>
          <w:rFonts w:hint="eastAsia" w:ascii="宋体" w:hAnsi="宋体" w:cs="宋体"/>
          <w:sz w:val="24"/>
          <w:szCs w:val="24"/>
        </w:rPr>
        <w:t>UV喷墨油墨，目前已得到有效推广；另外适用于OnePass彩色喷印的LED</w:t>
      </w:r>
      <w:r>
        <w:rPr>
          <w:rFonts w:hint="eastAsia" w:ascii="宋体" w:hAnsi="宋体" w:cs="宋体"/>
          <w:sz w:val="24"/>
          <w:szCs w:val="24"/>
          <w:lang w:val="en-US" w:eastAsia="zh-CN"/>
        </w:rPr>
        <w:t xml:space="preserve"> </w:t>
      </w:r>
      <w:r>
        <w:rPr>
          <w:rFonts w:hint="eastAsia" w:ascii="宋体" w:hAnsi="宋体" w:cs="宋体"/>
          <w:sz w:val="24"/>
          <w:szCs w:val="24"/>
        </w:rPr>
        <w:t>UV油墨打印样品在</w:t>
      </w:r>
      <w:r>
        <w:rPr>
          <w:rFonts w:hint="eastAsia" w:ascii="宋体" w:hAnsi="宋体" w:cs="宋体"/>
          <w:sz w:val="24"/>
          <w:szCs w:val="24"/>
          <w:lang w:eastAsia="zh-CN"/>
        </w:rPr>
        <w:t>去年</w:t>
      </w:r>
      <w:r>
        <w:rPr>
          <w:rFonts w:hint="eastAsia" w:ascii="宋体" w:hAnsi="宋体" w:cs="宋体"/>
          <w:sz w:val="24"/>
          <w:szCs w:val="24"/>
        </w:rPr>
        <w:t>上海举办的全印展中成功展出，一经展出即获得众多数字印刷设备商的关注与行业内强烈的反响。此外，公司系珠海天威新材料股份有限公司的参股股东，持有天威新材5.99%的股份，天威新材主营业务聚焦数码喷印领域，专业从事数码喷印功能性材料的研发、生产和销售，也是公司在数字印刷领域的又一重要布局。</w:t>
      </w:r>
    </w:p>
    <w:p>
      <w:pPr>
        <w:spacing w:line="360" w:lineRule="auto"/>
        <w:ind w:firstLine="480"/>
        <w:rPr>
          <w:rFonts w:hint="eastAsia" w:ascii="宋体" w:hAnsi="宋体" w:cs="宋体"/>
          <w:sz w:val="24"/>
          <w:szCs w:val="24"/>
        </w:rPr>
      </w:pPr>
      <w:r>
        <w:rPr>
          <w:rFonts w:hint="eastAsia" w:ascii="宋体" w:hAnsi="宋体" w:cs="宋体"/>
          <w:sz w:val="24"/>
          <w:szCs w:val="24"/>
        </w:rPr>
        <w:t>公司还通过设立集团研发中心把以前集团内部分散的研发团队、人员集合起来，目前设立了四个分中心：</w:t>
      </w:r>
    </w:p>
    <w:p>
      <w:pPr>
        <w:spacing w:line="360" w:lineRule="auto"/>
        <w:ind w:firstLine="480"/>
        <w:rPr>
          <w:rFonts w:hint="eastAsia" w:ascii="宋体" w:hAnsi="宋体" w:cs="宋体"/>
          <w:sz w:val="24"/>
          <w:szCs w:val="24"/>
        </w:rPr>
      </w:pPr>
      <w:r>
        <w:rPr>
          <w:rFonts w:hint="eastAsia" w:ascii="宋体" w:hAnsi="宋体" w:cs="宋体"/>
          <w:sz w:val="24"/>
          <w:szCs w:val="24"/>
        </w:rPr>
        <w:t>1、数字印刷分中心：公司目前推出的LED</w:t>
      </w:r>
      <w:r>
        <w:rPr>
          <w:rFonts w:hint="eastAsia" w:ascii="宋体" w:hAnsi="宋体" w:cs="宋体"/>
          <w:sz w:val="24"/>
          <w:szCs w:val="24"/>
          <w:lang w:val="en-US" w:eastAsia="zh-CN"/>
        </w:rPr>
        <w:t xml:space="preserve"> </w:t>
      </w:r>
      <w:r>
        <w:rPr>
          <w:rFonts w:hint="eastAsia" w:ascii="宋体" w:hAnsi="宋体" w:cs="宋体"/>
          <w:sz w:val="24"/>
          <w:szCs w:val="24"/>
        </w:rPr>
        <w:t>UV油墨产品在参展后得到广泛的认可；</w:t>
      </w:r>
    </w:p>
    <w:p>
      <w:pPr>
        <w:spacing w:line="360" w:lineRule="auto"/>
        <w:ind w:firstLine="480"/>
        <w:rPr>
          <w:rFonts w:hint="eastAsia" w:ascii="宋体" w:hAnsi="宋体" w:cs="宋体"/>
          <w:sz w:val="24"/>
          <w:szCs w:val="24"/>
        </w:rPr>
      </w:pPr>
      <w:r>
        <w:rPr>
          <w:rFonts w:hint="eastAsia" w:ascii="宋体" w:hAnsi="宋体" w:cs="宋体"/>
          <w:sz w:val="24"/>
          <w:szCs w:val="24"/>
        </w:rPr>
        <w:t>2、智能制造分中心：针对硬件与软件（配套系统）进行建设，是集团内部实施智能制造的牵头部门；</w:t>
      </w:r>
    </w:p>
    <w:p>
      <w:pPr>
        <w:spacing w:line="360" w:lineRule="auto"/>
        <w:ind w:firstLine="480"/>
        <w:rPr>
          <w:rFonts w:hint="eastAsia" w:ascii="宋体" w:hAnsi="宋体" w:cs="宋体"/>
          <w:sz w:val="24"/>
          <w:szCs w:val="24"/>
        </w:rPr>
      </w:pPr>
      <w:r>
        <w:rPr>
          <w:rFonts w:hint="eastAsia" w:ascii="宋体" w:hAnsi="宋体" w:cs="宋体"/>
          <w:sz w:val="24"/>
          <w:szCs w:val="24"/>
        </w:rPr>
        <w:t>3、新型材料与智能包装分中心：目前主要以生物降解、改性为主要的研发方向；</w:t>
      </w:r>
    </w:p>
    <w:p>
      <w:pPr>
        <w:spacing w:line="360" w:lineRule="auto"/>
        <w:ind w:firstLine="480"/>
        <w:rPr>
          <w:rFonts w:hint="eastAsia" w:ascii="宋体" w:hAnsi="宋体" w:cs="宋体"/>
          <w:sz w:val="24"/>
          <w:szCs w:val="24"/>
        </w:rPr>
      </w:pPr>
      <w:r>
        <w:rPr>
          <w:rFonts w:hint="eastAsia" w:ascii="宋体" w:hAnsi="宋体" w:cs="宋体"/>
          <w:sz w:val="24"/>
          <w:szCs w:val="24"/>
        </w:rPr>
        <w:t>4、项目管理分中心：负责专利申报、项目立项等相关工作。</w:t>
      </w:r>
    </w:p>
    <w:p>
      <w:pPr>
        <w:spacing w:line="360" w:lineRule="auto"/>
        <w:ind w:firstLine="480"/>
        <w:rPr>
          <w:rFonts w:hint="eastAsia" w:ascii="宋体" w:hAnsi="宋体" w:cs="宋体"/>
          <w:sz w:val="24"/>
          <w:szCs w:val="24"/>
        </w:rPr>
      </w:pPr>
      <w:r>
        <w:rPr>
          <w:rFonts w:hint="eastAsia" w:ascii="宋体" w:hAnsi="宋体" w:cs="宋体"/>
          <w:sz w:val="24"/>
          <w:szCs w:val="24"/>
          <w:lang w:eastAsia="zh-CN"/>
        </w:rPr>
        <w:t>公司</w:t>
      </w:r>
      <w:r>
        <w:rPr>
          <w:rFonts w:hint="eastAsia" w:ascii="宋体" w:hAnsi="宋体" w:cs="宋体"/>
          <w:sz w:val="24"/>
          <w:szCs w:val="24"/>
        </w:rPr>
        <w:t>持续</w:t>
      </w:r>
      <w:r>
        <w:rPr>
          <w:rFonts w:hint="eastAsia" w:ascii="宋体" w:hAnsi="宋体" w:cs="宋体"/>
          <w:sz w:val="24"/>
          <w:szCs w:val="24"/>
          <w:lang w:eastAsia="zh-CN"/>
        </w:rPr>
        <w:t>推进的研发工作，进一步</w:t>
      </w:r>
      <w:r>
        <w:rPr>
          <w:rFonts w:hint="eastAsia" w:ascii="宋体" w:hAnsi="宋体" w:cs="宋体"/>
          <w:sz w:val="24"/>
          <w:szCs w:val="24"/>
        </w:rPr>
        <w:t>提升</w:t>
      </w:r>
      <w:r>
        <w:rPr>
          <w:rFonts w:hint="eastAsia" w:ascii="宋体" w:hAnsi="宋体" w:cs="宋体"/>
          <w:sz w:val="24"/>
          <w:szCs w:val="24"/>
          <w:lang w:eastAsia="zh-CN"/>
        </w:rPr>
        <w:t>了</w:t>
      </w:r>
      <w:r>
        <w:rPr>
          <w:rFonts w:hint="eastAsia" w:ascii="宋体" w:hAnsi="宋体" w:cs="宋体"/>
          <w:sz w:val="24"/>
          <w:szCs w:val="24"/>
        </w:rPr>
        <w:t>公司整体的技术实力，也为拓展产业链环节奠定了基础。</w:t>
      </w:r>
      <w:r>
        <w:rPr>
          <w:rFonts w:hint="eastAsia" w:ascii="宋体" w:hAnsi="宋体" w:cs="宋体"/>
          <w:sz w:val="24"/>
          <w:szCs w:val="24"/>
          <w:lang w:eastAsia="zh-CN"/>
        </w:rPr>
        <w:t>此外，</w:t>
      </w:r>
      <w:r>
        <w:rPr>
          <w:rFonts w:hint="eastAsia" w:ascii="宋体" w:hAnsi="宋体" w:cs="宋体"/>
          <w:sz w:val="24"/>
          <w:szCs w:val="24"/>
        </w:rPr>
        <w:t>公司非公开发行股票也已完成，募集资金投资项目的实施将提高公司的综合竞争力、持续经营能力和抗风险能力，促进公司业务规模进一步扩大，进行全产业链</w:t>
      </w:r>
      <w:r>
        <w:rPr>
          <w:rFonts w:hint="eastAsia" w:ascii="宋体" w:hAnsi="宋体" w:cs="宋体"/>
          <w:sz w:val="24"/>
          <w:szCs w:val="24"/>
          <w:lang w:eastAsia="zh-CN"/>
        </w:rPr>
        <w:t>深度</w:t>
      </w:r>
      <w:r>
        <w:rPr>
          <w:rFonts w:hint="eastAsia" w:ascii="宋体" w:hAnsi="宋体" w:cs="宋体"/>
          <w:sz w:val="24"/>
          <w:szCs w:val="24"/>
        </w:rPr>
        <w:t>延伸。</w:t>
      </w:r>
    </w:p>
    <w:p>
      <w:pPr>
        <w:spacing w:line="360" w:lineRule="auto"/>
        <w:ind w:firstLine="480"/>
        <w:rPr>
          <w:rFonts w:hint="eastAsia" w:ascii="宋体" w:hAnsi="宋体" w:cs="宋体"/>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问题6：公司未来</w:t>
      </w:r>
      <w:r>
        <w:rPr>
          <w:rFonts w:hint="eastAsia" w:ascii="宋体" w:hAnsi="宋体" w:cs="宋体"/>
          <w:b/>
          <w:sz w:val="24"/>
          <w:szCs w:val="24"/>
          <w:lang w:val="en-US" w:eastAsia="zh-CN"/>
        </w:rPr>
        <w:t>的战略是如何规划的，</w:t>
      </w:r>
      <w:r>
        <w:rPr>
          <w:rFonts w:hint="eastAsia" w:ascii="宋体" w:hAnsi="宋体" w:cs="宋体"/>
          <w:b/>
          <w:sz w:val="24"/>
          <w:szCs w:val="24"/>
        </w:rPr>
        <w:t>会考虑引入战略投资者吗；</w:t>
      </w:r>
    </w:p>
    <w:p>
      <w:pPr>
        <w:spacing w:line="360" w:lineRule="auto"/>
        <w:ind w:firstLine="480"/>
        <w:rPr>
          <w:rFonts w:hint="default" w:ascii="宋体" w:hAnsi="宋体" w:cs="宋体"/>
          <w:sz w:val="24"/>
          <w:lang w:val="en-US" w:eastAsia="zh-CN"/>
        </w:rPr>
      </w:pPr>
      <w:r>
        <w:rPr>
          <w:rFonts w:hint="eastAsia" w:ascii="宋体" w:hAnsi="宋体" w:eastAsia="宋体"/>
          <w:sz w:val="24"/>
          <w:lang w:val="en-US" w:eastAsia="zh-CN"/>
        </w:rPr>
        <w:t>根据</w:t>
      </w:r>
      <w:r>
        <w:rPr>
          <w:rFonts w:hint="eastAsia" w:ascii="宋体" w:hAnsi="宋体" w:cs="宋体"/>
          <w:sz w:val="24"/>
        </w:rPr>
        <w:t>公司</w:t>
      </w:r>
      <w:r>
        <w:rPr>
          <w:rFonts w:hint="eastAsia" w:ascii="宋体" w:hAnsi="宋体" w:cs="宋体"/>
          <w:sz w:val="24"/>
          <w:lang w:val="en-US" w:eastAsia="zh-CN"/>
        </w:rPr>
        <w:t>战略，公司拟打造三大核心竞争优势：其一，大包装战略，公司在不断深耕烟标业务的同时，快速投资、布局高成长性的I类药包材、辅材、医疗器械等赛道；其二、新材料平台，公司拟将加大对全资子公司</w:t>
      </w:r>
      <w:r>
        <w:rPr>
          <w:rFonts w:hint="eastAsia" w:ascii="宋体" w:hAnsi="宋体" w:cs="宋体"/>
          <w:sz w:val="24"/>
        </w:rPr>
        <w:t>广东鑫瑞新材料科技有限公司</w:t>
      </w:r>
      <w:r>
        <w:rPr>
          <w:rFonts w:hint="eastAsia" w:ascii="宋体" w:hAnsi="宋体" w:cs="宋体"/>
          <w:sz w:val="24"/>
          <w:lang w:eastAsia="zh-CN"/>
        </w:rPr>
        <w:t>的</w:t>
      </w:r>
      <w:r>
        <w:rPr>
          <w:rFonts w:hint="eastAsia" w:ascii="宋体" w:hAnsi="宋体" w:cs="宋体"/>
          <w:sz w:val="24"/>
          <w:lang w:val="en-US" w:eastAsia="zh-CN"/>
        </w:rPr>
        <w:t>投资，将其打造成为集团新材料的牵头企业</w:t>
      </w:r>
      <w:r>
        <w:rPr>
          <w:rFonts w:hint="eastAsia" w:ascii="宋体" w:hAnsi="宋体"/>
          <w:sz w:val="24"/>
          <w:lang w:val="en-US" w:eastAsia="zh-CN"/>
        </w:rPr>
        <w:t>，加速公司向高景气、高估值水平赛道转型；其三、完整的新型烟草赛道布局，</w:t>
      </w:r>
      <w:r>
        <w:rPr>
          <w:rFonts w:hint="eastAsia" w:ascii="宋体" w:hAnsi="宋体" w:cs="宋体"/>
          <w:sz w:val="24"/>
          <w:szCs w:val="24"/>
        </w:rPr>
        <w:t>已投资布局了深圳佳品健怡科技有限公司（品牌：FreeM）、深圳市绿新丰科技有限公司、云南喜科科技有限公司（品牌：CIGOO喜科）、深圳美众联科技有限公司</w:t>
      </w:r>
      <w:r>
        <w:rPr>
          <w:rFonts w:hint="eastAsia" w:ascii="宋体" w:hAnsi="宋体" w:cs="宋体"/>
          <w:sz w:val="24"/>
          <w:szCs w:val="24"/>
          <w:lang w:eastAsia="zh-CN"/>
        </w:rPr>
        <w:t>、</w:t>
      </w:r>
      <w:r>
        <w:rPr>
          <w:rFonts w:hint="eastAsia" w:ascii="宋体" w:hAnsi="宋体" w:cs="宋体"/>
          <w:sz w:val="24"/>
          <w:szCs w:val="24"/>
        </w:rPr>
        <w:t>深圳市智叶生物科技有限公司（品牌：Soyee小叶）</w:t>
      </w:r>
      <w:r>
        <w:rPr>
          <w:rFonts w:hint="eastAsia" w:ascii="宋体" w:hAnsi="宋体" w:cs="宋体"/>
          <w:sz w:val="24"/>
          <w:szCs w:val="24"/>
          <w:lang w:eastAsia="zh-CN"/>
        </w:rPr>
        <w:t>等企业，</w:t>
      </w:r>
      <w:r>
        <w:rPr>
          <w:rFonts w:hint="eastAsia" w:ascii="宋体" w:hAnsi="宋体" w:cs="宋体"/>
          <w:sz w:val="24"/>
          <w:szCs w:val="24"/>
        </w:rPr>
        <w:t>公司布局含HNB</w:t>
      </w:r>
      <w:r>
        <w:rPr>
          <w:rFonts w:hint="eastAsia" w:ascii="宋体" w:hAnsi="宋体" w:cs="宋体"/>
          <w:sz w:val="24"/>
          <w:szCs w:val="24"/>
          <w:lang w:eastAsia="zh-CN"/>
        </w:rPr>
        <w:t>、</w:t>
      </w:r>
      <w:r>
        <w:rPr>
          <w:rFonts w:hint="eastAsia" w:ascii="宋体" w:hAnsi="宋体" w:cs="宋体"/>
          <w:sz w:val="24"/>
          <w:szCs w:val="24"/>
          <w:lang w:val="en-US" w:eastAsia="zh-CN"/>
        </w:rPr>
        <w:t>雾化、PLA滤嘴</w:t>
      </w:r>
      <w:r>
        <w:rPr>
          <w:rFonts w:hint="eastAsia" w:ascii="宋体" w:hAnsi="宋体" w:cs="宋体"/>
          <w:sz w:val="24"/>
          <w:szCs w:val="24"/>
        </w:rPr>
        <w:t>在内的新型烟草，</w:t>
      </w:r>
      <w:r>
        <w:rPr>
          <w:rFonts w:hint="eastAsia" w:ascii="宋体" w:hAnsi="宋体" w:cs="宋体"/>
          <w:sz w:val="24"/>
          <w:szCs w:val="24"/>
          <w:lang w:val="en-US" w:eastAsia="zh-CN"/>
        </w:rPr>
        <w:t>且累积了非常广域的知识产权，</w:t>
      </w:r>
      <w:r>
        <w:rPr>
          <w:rFonts w:hint="eastAsia" w:ascii="宋体" w:hAnsi="宋体" w:cs="宋体"/>
          <w:sz w:val="24"/>
          <w:szCs w:val="24"/>
        </w:rPr>
        <w:t>从基材、调香研发到生产、销售等进行全产业链布局。</w:t>
      </w:r>
    </w:p>
    <w:p>
      <w:pPr>
        <w:spacing w:line="360" w:lineRule="auto"/>
        <w:ind w:firstLine="480"/>
        <w:rPr>
          <w:rFonts w:hint="eastAsia" w:ascii="宋体" w:hAnsi="宋体" w:cs="宋体"/>
          <w:sz w:val="24"/>
          <w:szCs w:val="24"/>
        </w:rPr>
      </w:pPr>
      <w:r>
        <w:rPr>
          <w:rFonts w:hint="eastAsia" w:ascii="宋体" w:hAnsi="宋体" w:cs="宋体"/>
          <w:sz w:val="24"/>
          <w:szCs w:val="24"/>
        </w:rPr>
        <w:t>公司自上市以来股权结构相对比较</w:t>
      </w:r>
      <w:r>
        <w:rPr>
          <w:rFonts w:hint="eastAsia" w:ascii="宋体" w:hAnsi="宋体" w:cs="宋体"/>
          <w:sz w:val="24"/>
          <w:szCs w:val="24"/>
          <w:lang w:eastAsia="zh-CN"/>
        </w:rPr>
        <w:t>简单</w:t>
      </w:r>
      <w:r>
        <w:rPr>
          <w:rFonts w:hint="eastAsia" w:ascii="宋体" w:hAnsi="宋体" w:cs="宋体"/>
          <w:sz w:val="24"/>
          <w:szCs w:val="24"/>
        </w:rPr>
        <w:t>，</w:t>
      </w:r>
      <w:r>
        <w:rPr>
          <w:rFonts w:hint="eastAsia" w:ascii="宋体" w:hAnsi="宋体" w:cs="宋体"/>
          <w:sz w:val="24"/>
          <w:szCs w:val="24"/>
          <w:lang w:val="en-US" w:eastAsia="zh-CN"/>
        </w:rPr>
        <w:t>2021年，</w:t>
      </w:r>
      <w:r>
        <w:rPr>
          <w:rFonts w:hint="eastAsia" w:ascii="宋体" w:hAnsi="宋体" w:cs="宋体"/>
          <w:sz w:val="24"/>
          <w:szCs w:val="24"/>
        </w:rPr>
        <w:t>公司通过非公开发行股票项目已成功引入了华夏基金、国泰基金、国泰君安、里昂资产、银河证券、UBS AG、JP MORGAN等知名机构投资者。随着机构投资者的战略入股，也将进一步优化</w:t>
      </w:r>
      <w:r>
        <w:rPr>
          <w:rFonts w:hint="eastAsia" w:ascii="宋体" w:hAnsi="宋体" w:cs="宋体"/>
          <w:sz w:val="24"/>
          <w:szCs w:val="24"/>
          <w:lang w:eastAsia="zh-CN"/>
        </w:rPr>
        <w:t>公司</w:t>
      </w:r>
      <w:r>
        <w:rPr>
          <w:rFonts w:hint="eastAsia" w:ascii="宋体" w:hAnsi="宋体" w:cs="宋体"/>
          <w:sz w:val="24"/>
          <w:szCs w:val="24"/>
        </w:rPr>
        <w:t>的治理结构，促进公司的可持续发展。</w:t>
      </w:r>
      <w:r>
        <w:rPr>
          <w:rFonts w:hint="eastAsia" w:ascii="宋体" w:hAnsi="宋体" w:cs="宋体"/>
          <w:sz w:val="24"/>
          <w:szCs w:val="24"/>
          <w:lang w:val="en-US" w:eastAsia="zh-CN"/>
        </w:rPr>
        <w:t>同时，公司也非常欢迎认可公司战略转型的战略股东加入。未来，公司也将秉承将公司进一步做大、做强的决心，不断提升公司的盈利能力和估值水平，更好的回报广大投资者！</w:t>
      </w:r>
    </w:p>
    <w:sectPr>
      <w:headerReference r:id="rId3" w:type="default"/>
      <w:pgSz w:w="11906" w:h="16838"/>
      <w:pgMar w:top="1247" w:right="1701" w:bottom="124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drawing>
        <wp:inline distT="0" distB="0" distL="0" distR="0">
          <wp:extent cx="374015" cy="309245"/>
          <wp:effectExtent l="0" t="0" r="6985" b="1460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4015" cy="309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5D9"/>
    <w:rsid w:val="00047DB1"/>
    <w:rsid w:val="00053328"/>
    <w:rsid w:val="000B5DEC"/>
    <w:rsid w:val="000C4692"/>
    <w:rsid w:val="000E522E"/>
    <w:rsid w:val="000E7DD4"/>
    <w:rsid w:val="00103FE5"/>
    <w:rsid w:val="00112AB6"/>
    <w:rsid w:val="00120847"/>
    <w:rsid w:val="00126B56"/>
    <w:rsid w:val="00141AA1"/>
    <w:rsid w:val="00153A31"/>
    <w:rsid w:val="001662B0"/>
    <w:rsid w:val="00172A27"/>
    <w:rsid w:val="001951F2"/>
    <w:rsid w:val="001A2884"/>
    <w:rsid w:val="001A4A5E"/>
    <w:rsid w:val="001A62E1"/>
    <w:rsid w:val="001B23FA"/>
    <w:rsid w:val="001B2D8F"/>
    <w:rsid w:val="001C4AEA"/>
    <w:rsid w:val="001E10A5"/>
    <w:rsid w:val="001E7A80"/>
    <w:rsid w:val="001F18C3"/>
    <w:rsid w:val="00232612"/>
    <w:rsid w:val="00232774"/>
    <w:rsid w:val="00264A53"/>
    <w:rsid w:val="00265F9D"/>
    <w:rsid w:val="002A6C88"/>
    <w:rsid w:val="002B2E3E"/>
    <w:rsid w:val="002B5BDB"/>
    <w:rsid w:val="002C02E8"/>
    <w:rsid w:val="002E7FD1"/>
    <w:rsid w:val="00304696"/>
    <w:rsid w:val="00310835"/>
    <w:rsid w:val="003260A2"/>
    <w:rsid w:val="00372685"/>
    <w:rsid w:val="00376197"/>
    <w:rsid w:val="003F2A37"/>
    <w:rsid w:val="003F5C64"/>
    <w:rsid w:val="004159BB"/>
    <w:rsid w:val="00417A39"/>
    <w:rsid w:val="00422726"/>
    <w:rsid w:val="00445CBF"/>
    <w:rsid w:val="004473B9"/>
    <w:rsid w:val="0047658F"/>
    <w:rsid w:val="004B1A4D"/>
    <w:rsid w:val="004B346A"/>
    <w:rsid w:val="004B6C93"/>
    <w:rsid w:val="004F0967"/>
    <w:rsid w:val="005046AD"/>
    <w:rsid w:val="0050495B"/>
    <w:rsid w:val="005253FD"/>
    <w:rsid w:val="00534E4E"/>
    <w:rsid w:val="00535D5F"/>
    <w:rsid w:val="00553AE2"/>
    <w:rsid w:val="0055760A"/>
    <w:rsid w:val="00583F0D"/>
    <w:rsid w:val="005B7ECA"/>
    <w:rsid w:val="005D592F"/>
    <w:rsid w:val="00615C64"/>
    <w:rsid w:val="00631884"/>
    <w:rsid w:val="006462E7"/>
    <w:rsid w:val="00656471"/>
    <w:rsid w:val="00666D09"/>
    <w:rsid w:val="006753D3"/>
    <w:rsid w:val="00685C7F"/>
    <w:rsid w:val="00686415"/>
    <w:rsid w:val="006A0184"/>
    <w:rsid w:val="006D51C8"/>
    <w:rsid w:val="0070753E"/>
    <w:rsid w:val="00795493"/>
    <w:rsid w:val="007A0825"/>
    <w:rsid w:val="007A44AD"/>
    <w:rsid w:val="007C4C9D"/>
    <w:rsid w:val="00840AA5"/>
    <w:rsid w:val="008554FD"/>
    <w:rsid w:val="00856715"/>
    <w:rsid w:val="008B387A"/>
    <w:rsid w:val="008D0ED9"/>
    <w:rsid w:val="00937AD6"/>
    <w:rsid w:val="009735BF"/>
    <w:rsid w:val="0097381A"/>
    <w:rsid w:val="0098410A"/>
    <w:rsid w:val="009B1F5A"/>
    <w:rsid w:val="009C09B9"/>
    <w:rsid w:val="009C0E9C"/>
    <w:rsid w:val="009C34AC"/>
    <w:rsid w:val="009F4260"/>
    <w:rsid w:val="00A123F3"/>
    <w:rsid w:val="00A16817"/>
    <w:rsid w:val="00A24686"/>
    <w:rsid w:val="00AA0E89"/>
    <w:rsid w:val="00AA4582"/>
    <w:rsid w:val="00AA55BE"/>
    <w:rsid w:val="00AB0CBD"/>
    <w:rsid w:val="00AD3958"/>
    <w:rsid w:val="00AE5E3F"/>
    <w:rsid w:val="00AE6B3C"/>
    <w:rsid w:val="00AF08D8"/>
    <w:rsid w:val="00B210A0"/>
    <w:rsid w:val="00B31839"/>
    <w:rsid w:val="00B54C2A"/>
    <w:rsid w:val="00B873A0"/>
    <w:rsid w:val="00BB2650"/>
    <w:rsid w:val="00BC1A6F"/>
    <w:rsid w:val="00BC2210"/>
    <w:rsid w:val="00BD0E92"/>
    <w:rsid w:val="00BF2FAA"/>
    <w:rsid w:val="00BF3263"/>
    <w:rsid w:val="00C004C4"/>
    <w:rsid w:val="00C14A62"/>
    <w:rsid w:val="00C35374"/>
    <w:rsid w:val="00C509CA"/>
    <w:rsid w:val="00C5660E"/>
    <w:rsid w:val="00C6347E"/>
    <w:rsid w:val="00C8354C"/>
    <w:rsid w:val="00C91D9D"/>
    <w:rsid w:val="00CC22AF"/>
    <w:rsid w:val="00CF12AD"/>
    <w:rsid w:val="00D337C2"/>
    <w:rsid w:val="00D377C8"/>
    <w:rsid w:val="00DA2E03"/>
    <w:rsid w:val="00DF71AE"/>
    <w:rsid w:val="00E234F0"/>
    <w:rsid w:val="00E36B7A"/>
    <w:rsid w:val="00E63DFB"/>
    <w:rsid w:val="00E73A44"/>
    <w:rsid w:val="00E802B5"/>
    <w:rsid w:val="00E8191F"/>
    <w:rsid w:val="00EA7C8D"/>
    <w:rsid w:val="00EB7D05"/>
    <w:rsid w:val="00F003E3"/>
    <w:rsid w:val="00F0107D"/>
    <w:rsid w:val="00F02787"/>
    <w:rsid w:val="00F12636"/>
    <w:rsid w:val="00F15BAE"/>
    <w:rsid w:val="00F32770"/>
    <w:rsid w:val="00F56528"/>
    <w:rsid w:val="00F77BDE"/>
    <w:rsid w:val="00F945FF"/>
    <w:rsid w:val="00F956EC"/>
    <w:rsid w:val="00F97522"/>
    <w:rsid w:val="00FB5EE4"/>
    <w:rsid w:val="00FD7879"/>
    <w:rsid w:val="013D2858"/>
    <w:rsid w:val="01721060"/>
    <w:rsid w:val="01724A8F"/>
    <w:rsid w:val="024D6E23"/>
    <w:rsid w:val="03106892"/>
    <w:rsid w:val="03730A5A"/>
    <w:rsid w:val="04003215"/>
    <w:rsid w:val="04133A6C"/>
    <w:rsid w:val="0427700A"/>
    <w:rsid w:val="042E7C8E"/>
    <w:rsid w:val="044E346C"/>
    <w:rsid w:val="0573664B"/>
    <w:rsid w:val="05A753CA"/>
    <w:rsid w:val="0631111C"/>
    <w:rsid w:val="06793639"/>
    <w:rsid w:val="0760728C"/>
    <w:rsid w:val="08252348"/>
    <w:rsid w:val="086014DB"/>
    <w:rsid w:val="08D003E7"/>
    <w:rsid w:val="08FE4075"/>
    <w:rsid w:val="09135B3A"/>
    <w:rsid w:val="09717BAF"/>
    <w:rsid w:val="09FE67A7"/>
    <w:rsid w:val="0AD574F0"/>
    <w:rsid w:val="0B17144E"/>
    <w:rsid w:val="0BD957E8"/>
    <w:rsid w:val="0C667636"/>
    <w:rsid w:val="0C7B1096"/>
    <w:rsid w:val="0D141AD1"/>
    <w:rsid w:val="0D6046E4"/>
    <w:rsid w:val="0DEB300A"/>
    <w:rsid w:val="0E49585B"/>
    <w:rsid w:val="0F3357DD"/>
    <w:rsid w:val="0F6938D1"/>
    <w:rsid w:val="10DE4C48"/>
    <w:rsid w:val="10E34D2F"/>
    <w:rsid w:val="111F14A2"/>
    <w:rsid w:val="11AB484D"/>
    <w:rsid w:val="11B879CA"/>
    <w:rsid w:val="12F13777"/>
    <w:rsid w:val="133D3ACC"/>
    <w:rsid w:val="13A07D13"/>
    <w:rsid w:val="14D47C1A"/>
    <w:rsid w:val="15867CA0"/>
    <w:rsid w:val="15F16259"/>
    <w:rsid w:val="16521FAD"/>
    <w:rsid w:val="168A3997"/>
    <w:rsid w:val="169F796D"/>
    <w:rsid w:val="16C23066"/>
    <w:rsid w:val="16CE7D40"/>
    <w:rsid w:val="172925E2"/>
    <w:rsid w:val="173363A9"/>
    <w:rsid w:val="1772339F"/>
    <w:rsid w:val="18914C3F"/>
    <w:rsid w:val="189A5020"/>
    <w:rsid w:val="18DD273D"/>
    <w:rsid w:val="194B135B"/>
    <w:rsid w:val="1973121F"/>
    <w:rsid w:val="1B461994"/>
    <w:rsid w:val="1B463995"/>
    <w:rsid w:val="1BA877E0"/>
    <w:rsid w:val="1BF43A0A"/>
    <w:rsid w:val="1C4373D9"/>
    <w:rsid w:val="1C896F7F"/>
    <w:rsid w:val="1C9C52F2"/>
    <w:rsid w:val="1CDD34FA"/>
    <w:rsid w:val="1D8737F7"/>
    <w:rsid w:val="1DCE3119"/>
    <w:rsid w:val="1E2D1559"/>
    <w:rsid w:val="1E425C21"/>
    <w:rsid w:val="1E48117B"/>
    <w:rsid w:val="1EA43D54"/>
    <w:rsid w:val="1EB1087B"/>
    <w:rsid w:val="1EB17192"/>
    <w:rsid w:val="1F1D0E6C"/>
    <w:rsid w:val="1F806BA9"/>
    <w:rsid w:val="1FB00A6C"/>
    <w:rsid w:val="20384594"/>
    <w:rsid w:val="2088394C"/>
    <w:rsid w:val="21A75215"/>
    <w:rsid w:val="21ED53E8"/>
    <w:rsid w:val="22442647"/>
    <w:rsid w:val="22624F25"/>
    <w:rsid w:val="22BC5250"/>
    <w:rsid w:val="241B709D"/>
    <w:rsid w:val="24AC20E1"/>
    <w:rsid w:val="24BA2288"/>
    <w:rsid w:val="24C51E47"/>
    <w:rsid w:val="2589494A"/>
    <w:rsid w:val="25E152B2"/>
    <w:rsid w:val="264B630A"/>
    <w:rsid w:val="2732333B"/>
    <w:rsid w:val="276D0396"/>
    <w:rsid w:val="2780616E"/>
    <w:rsid w:val="289C4CA3"/>
    <w:rsid w:val="289C503B"/>
    <w:rsid w:val="28F13830"/>
    <w:rsid w:val="293952BB"/>
    <w:rsid w:val="29B13924"/>
    <w:rsid w:val="29C06FBC"/>
    <w:rsid w:val="29DA62CC"/>
    <w:rsid w:val="29EF7F65"/>
    <w:rsid w:val="29FD740E"/>
    <w:rsid w:val="2A592E5D"/>
    <w:rsid w:val="2A8C4C03"/>
    <w:rsid w:val="2ABC42C0"/>
    <w:rsid w:val="2B0624FA"/>
    <w:rsid w:val="2B322CED"/>
    <w:rsid w:val="2B6250A9"/>
    <w:rsid w:val="2B805052"/>
    <w:rsid w:val="2C135C60"/>
    <w:rsid w:val="2C3A22AF"/>
    <w:rsid w:val="2D24065E"/>
    <w:rsid w:val="2D73076D"/>
    <w:rsid w:val="2DD22EBE"/>
    <w:rsid w:val="2E110A87"/>
    <w:rsid w:val="2E3707F5"/>
    <w:rsid w:val="2E846A2B"/>
    <w:rsid w:val="2EF819F7"/>
    <w:rsid w:val="2F8A0595"/>
    <w:rsid w:val="2FC21832"/>
    <w:rsid w:val="30164EB0"/>
    <w:rsid w:val="30E62429"/>
    <w:rsid w:val="31DB0B73"/>
    <w:rsid w:val="32786260"/>
    <w:rsid w:val="32E51115"/>
    <w:rsid w:val="32F261F5"/>
    <w:rsid w:val="32FC2ECF"/>
    <w:rsid w:val="334C4297"/>
    <w:rsid w:val="33686767"/>
    <w:rsid w:val="337C6572"/>
    <w:rsid w:val="33845546"/>
    <w:rsid w:val="33895C42"/>
    <w:rsid w:val="33F12147"/>
    <w:rsid w:val="34546DA0"/>
    <w:rsid w:val="3473507F"/>
    <w:rsid w:val="34B92376"/>
    <w:rsid w:val="34CA4677"/>
    <w:rsid w:val="353115DE"/>
    <w:rsid w:val="35323CFF"/>
    <w:rsid w:val="354C7066"/>
    <w:rsid w:val="35D26759"/>
    <w:rsid w:val="362A5BDC"/>
    <w:rsid w:val="362D7FF8"/>
    <w:rsid w:val="362F3ED5"/>
    <w:rsid w:val="365B55EE"/>
    <w:rsid w:val="36B80E7B"/>
    <w:rsid w:val="379A7729"/>
    <w:rsid w:val="3892626E"/>
    <w:rsid w:val="38F3482A"/>
    <w:rsid w:val="391C3CA9"/>
    <w:rsid w:val="39336FDD"/>
    <w:rsid w:val="39852E6A"/>
    <w:rsid w:val="3A0A6D3F"/>
    <w:rsid w:val="3ABE7045"/>
    <w:rsid w:val="3C455785"/>
    <w:rsid w:val="3C533AB2"/>
    <w:rsid w:val="3C883738"/>
    <w:rsid w:val="3CA211A3"/>
    <w:rsid w:val="3CE1014C"/>
    <w:rsid w:val="3CF1727B"/>
    <w:rsid w:val="3D246AF8"/>
    <w:rsid w:val="3D39671F"/>
    <w:rsid w:val="3D71621E"/>
    <w:rsid w:val="3D7528C5"/>
    <w:rsid w:val="3D7535FC"/>
    <w:rsid w:val="3DAC71CD"/>
    <w:rsid w:val="3DF4539F"/>
    <w:rsid w:val="3E5800B6"/>
    <w:rsid w:val="3F9F62C0"/>
    <w:rsid w:val="3FCB6281"/>
    <w:rsid w:val="40445414"/>
    <w:rsid w:val="40483F99"/>
    <w:rsid w:val="4065108C"/>
    <w:rsid w:val="41360CB2"/>
    <w:rsid w:val="42520745"/>
    <w:rsid w:val="427C086D"/>
    <w:rsid w:val="430D66B3"/>
    <w:rsid w:val="435B4B3C"/>
    <w:rsid w:val="439B285E"/>
    <w:rsid w:val="43C716C9"/>
    <w:rsid w:val="44330C34"/>
    <w:rsid w:val="447A08AC"/>
    <w:rsid w:val="448F6618"/>
    <w:rsid w:val="457B2EF8"/>
    <w:rsid w:val="45AE77AD"/>
    <w:rsid w:val="45B52E90"/>
    <w:rsid w:val="45D627F9"/>
    <w:rsid w:val="4601797D"/>
    <w:rsid w:val="47873A78"/>
    <w:rsid w:val="47FA57F7"/>
    <w:rsid w:val="48194790"/>
    <w:rsid w:val="48972F57"/>
    <w:rsid w:val="4906437F"/>
    <w:rsid w:val="49124B6C"/>
    <w:rsid w:val="49583390"/>
    <w:rsid w:val="49AB11D2"/>
    <w:rsid w:val="49C62122"/>
    <w:rsid w:val="4A365EF6"/>
    <w:rsid w:val="4A8A7176"/>
    <w:rsid w:val="4B502977"/>
    <w:rsid w:val="4B6D0E20"/>
    <w:rsid w:val="4C314F11"/>
    <w:rsid w:val="4C4E5785"/>
    <w:rsid w:val="4C543E5A"/>
    <w:rsid w:val="4C7350DA"/>
    <w:rsid w:val="4D9A7EC1"/>
    <w:rsid w:val="4E927308"/>
    <w:rsid w:val="4ED81DB9"/>
    <w:rsid w:val="4F5F5109"/>
    <w:rsid w:val="4FF768ED"/>
    <w:rsid w:val="51802997"/>
    <w:rsid w:val="51A54D50"/>
    <w:rsid w:val="51B44061"/>
    <w:rsid w:val="51D81742"/>
    <w:rsid w:val="5353486A"/>
    <w:rsid w:val="536A42EA"/>
    <w:rsid w:val="54B62AB5"/>
    <w:rsid w:val="55386357"/>
    <w:rsid w:val="55407D01"/>
    <w:rsid w:val="557B3D68"/>
    <w:rsid w:val="558C2B4A"/>
    <w:rsid w:val="55BB1D15"/>
    <w:rsid w:val="55EF71C7"/>
    <w:rsid w:val="56AB7390"/>
    <w:rsid w:val="57B11997"/>
    <w:rsid w:val="57F93D8E"/>
    <w:rsid w:val="582D510D"/>
    <w:rsid w:val="586C5909"/>
    <w:rsid w:val="58C33A6D"/>
    <w:rsid w:val="593478E1"/>
    <w:rsid w:val="5A3B16A5"/>
    <w:rsid w:val="5A8C2C8F"/>
    <w:rsid w:val="5B0F6482"/>
    <w:rsid w:val="5B4A47DA"/>
    <w:rsid w:val="5BB52E0D"/>
    <w:rsid w:val="5C9859E6"/>
    <w:rsid w:val="5CC13A1A"/>
    <w:rsid w:val="5CED63C5"/>
    <w:rsid w:val="5D323EC8"/>
    <w:rsid w:val="5D5D2323"/>
    <w:rsid w:val="5DF41748"/>
    <w:rsid w:val="5E0E0FAC"/>
    <w:rsid w:val="5E2A0A50"/>
    <w:rsid w:val="5E8F3758"/>
    <w:rsid w:val="5FDF1996"/>
    <w:rsid w:val="603668D5"/>
    <w:rsid w:val="60587EDB"/>
    <w:rsid w:val="608155E1"/>
    <w:rsid w:val="60A12BBF"/>
    <w:rsid w:val="60CB6599"/>
    <w:rsid w:val="60CC411D"/>
    <w:rsid w:val="611C3700"/>
    <w:rsid w:val="61947ED9"/>
    <w:rsid w:val="61EB71AE"/>
    <w:rsid w:val="627E55B4"/>
    <w:rsid w:val="63B13AE0"/>
    <w:rsid w:val="64592510"/>
    <w:rsid w:val="64EF1DB6"/>
    <w:rsid w:val="64FA0422"/>
    <w:rsid w:val="651144BD"/>
    <w:rsid w:val="65501F58"/>
    <w:rsid w:val="65AF5048"/>
    <w:rsid w:val="662E246E"/>
    <w:rsid w:val="664631EF"/>
    <w:rsid w:val="66880623"/>
    <w:rsid w:val="66D31729"/>
    <w:rsid w:val="681007C8"/>
    <w:rsid w:val="682555D7"/>
    <w:rsid w:val="68544455"/>
    <w:rsid w:val="68D01A6A"/>
    <w:rsid w:val="69C37F67"/>
    <w:rsid w:val="69E015A7"/>
    <w:rsid w:val="6A6848FC"/>
    <w:rsid w:val="6B9256D5"/>
    <w:rsid w:val="6C084648"/>
    <w:rsid w:val="6C70027C"/>
    <w:rsid w:val="6E075744"/>
    <w:rsid w:val="6E261972"/>
    <w:rsid w:val="6E724C72"/>
    <w:rsid w:val="6E905002"/>
    <w:rsid w:val="6F6915AD"/>
    <w:rsid w:val="6FAE6C7E"/>
    <w:rsid w:val="7126576F"/>
    <w:rsid w:val="71BE1284"/>
    <w:rsid w:val="71F4048F"/>
    <w:rsid w:val="71F64318"/>
    <w:rsid w:val="727E1E8E"/>
    <w:rsid w:val="72C640FB"/>
    <w:rsid w:val="72D805C1"/>
    <w:rsid w:val="72E4708A"/>
    <w:rsid w:val="72EB0D00"/>
    <w:rsid w:val="72F00A33"/>
    <w:rsid w:val="73C80071"/>
    <w:rsid w:val="741065A8"/>
    <w:rsid w:val="74544550"/>
    <w:rsid w:val="74954059"/>
    <w:rsid w:val="74EC6476"/>
    <w:rsid w:val="75241080"/>
    <w:rsid w:val="755E1551"/>
    <w:rsid w:val="757C53FD"/>
    <w:rsid w:val="763027E4"/>
    <w:rsid w:val="763968C4"/>
    <w:rsid w:val="766231F8"/>
    <w:rsid w:val="76D778FE"/>
    <w:rsid w:val="76F25E95"/>
    <w:rsid w:val="78577E98"/>
    <w:rsid w:val="786D2678"/>
    <w:rsid w:val="78801330"/>
    <w:rsid w:val="788259A6"/>
    <w:rsid w:val="78BB7B03"/>
    <w:rsid w:val="78DC1B34"/>
    <w:rsid w:val="793D0379"/>
    <w:rsid w:val="794D3B10"/>
    <w:rsid w:val="7AB14813"/>
    <w:rsid w:val="7B2406CF"/>
    <w:rsid w:val="7BB70346"/>
    <w:rsid w:val="7C142DB9"/>
    <w:rsid w:val="7C2840E4"/>
    <w:rsid w:val="7D642D11"/>
    <w:rsid w:val="7D7862F8"/>
    <w:rsid w:val="7DF80BCF"/>
    <w:rsid w:val="7E96187E"/>
    <w:rsid w:val="7F38506B"/>
    <w:rsid w:val="7F8E205D"/>
    <w:rsid w:val="7FFB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szCs w:val="24"/>
    </w:rPr>
  </w:style>
  <w:style w:type="paragraph" w:styleId="3">
    <w:name w:val="Body Text"/>
    <w:basedOn w:val="1"/>
    <w:qFormat/>
    <w:uiPriority w:val="0"/>
    <w:pPr>
      <w:spacing w:before="50"/>
      <w:ind w:left="120"/>
    </w:pPr>
    <w:rPr>
      <w:rFonts w:ascii="华文仿宋" w:hAnsi="华文仿宋" w:eastAsia="华文仿宋" w:cs="华文仿宋"/>
      <w:sz w:val="28"/>
      <w:szCs w:val="28"/>
    </w:rPr>
  </w:style>
  <w:style w:type="paragraph" w:styleId="4">
    <w:name w:val="Body Text Indent 2"/>
    <w:basedOn w:val="1"/>
    <w:qFormat/>
    <w:uiPriority w:val="0"/>
    <w:pPr>
      <w:spacing w:after="120" w:line="480" w:lineRule="auto"/>
      <w:ind w:left="420" w:leftChars="200"/>
    </w:p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qFormat/>
    <w:uiPriority w:val="0"/>
    <w:rPr>
      <w:sz w:val="21"/>
      <w:szCs w:val="21"/>
    </w:rPr>
  </w:style>
  <w:style w:type="character" w:customStyle="1" w:styleId="12">
    <w:name w:val="批注框文本 Char"/>
    <w:basedOn w:val="10"/>
    <w:link w:val="5"/>
    <w:qFormat/>
    <w:uiPriority w:val="0"/>
    <w:rPr>
      <w:rFonts w:ascii="Calibri" w:hAnsi="Calibri" w:eastAsia="宋体" w:cs="Times New Roman"/>
      <w:kern w:val="2"/>
      <w:sz w:val="18"/>
      <w:szCs w:val="18"/>
    </w:rPr>
  </w:style>
  <w:style w:type="character" w:customStyle="1" w:styleId="13">
    <w:name w:val="页眉 Char"/>
    <w:basedOn w:val="10"/>
    <w:link w:val="7"/>
    <w:qFormat/>
    <w:uiPriority w:val="0"/>
    <w:rPr>
      <w:rFonts w:ascii="Calibri" w:hAnsi="Calibri" w:eastAsia="宋体" w:cs="Times New Roman"/>
      <w:kern w:val="2"/>
      <w:sz w:val="18"/>
      <w:szCs w:val="18"/>
    </w:rPr>
  </w:style>
  <w:style w:type="character" w:customStyle="1" w:styleId="14">
    <w:name w:val="页脚 Char"/>
    <w:basedOn w:val="10"/>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667</Words>
  <Characters>3804</Characters>
  <Lines>31</Lines>
  <Paragraphs>8</Paragraphs>
  <TotalTime>10</TotalTime>
  <ScaleCrop>false</ScaleCrop>
  <LinksUpToDate>false</LinksUpToDate>
  <CharactersWithSpaces>4463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2022-01-13T11:16:00Z</dcterms:created>
  <dc:creator>huangly</dc:creator>
  <cp:lastModifiedBy>huangly</cp:lastModifiedBy>
  <cp:lastPrinted>2017-12-11T07:49:00Z</cp:lastPrinted>
  <dcterms:modified xsi:type="dcterms:W3CDTF">2022-01-14T05:03:31Z</dcterms:modified>
  <dc:title>证券代码：601515         证券简称：东风股份       公告编号：临2016-001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8DE6B1CCC6464CE8BA5309BFFB28F145</vt:lpwstr>
  </property>
</Properties>
</file>