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0D8F" w14:textId="77777777" w:rsidR="004059CA" w:rsidRPr="003C598E" w:rsidRDefault="00A27DCE">
      <w:pPr>
        <w:spacing w:line="360" w:lineRule="auto"/>
        <w:ind w:firstLineChars="0" w:firstLine="0"/>
        <w:rPr>
          <w:rFonts w:ascii="宋体" w:eastAsia="宋体" w:hAnsi="宋体" w:cs="宋体"/>
          <w:szCs w:val="32"/>
        </w:rPr>
      </w:pPr>
      <w:r w:rsidRPr="003C598E">
        <w:rPr>
          <w:rFonts w:ascii="宋体" w:eastAsia="宋体" w:hAnsi="宋体" w:cs="宋体" w:hint="eastAsia"/>
          <w:b/>
          <w:bCs/>
          <w:szCs w:val="32"/>
        </w:rPr>
        <w:t>证券代码：</w:t>
      </w:r>
      <w:r w:rsidRPr="003C598E">
        <w:rPr>
          <w:rFonts w:ascii="宋体" w:eastAsia="宋体" w:hAnsi="宋体" w:cs="宋体" w:hint="eastAsia"/>
          <w:szCs w:val="32"/>
        </w:rPr>
        <w:t>6</w:t>
      </w:r>
      <w:r w:rsidRPr="003C598E">
        <w:rPr>
          <w:rFonts w:ascii="宋体" w:eastAsia="宋体" w:hAnsi="宋体" w:cs="宋体"/>
          <w:szCs w:val="32"/>
        </w:rPr>
        <w:t xml:space="preserve">88156                  </w:t>
      </w:r>
      <w:r w:rsidRPr="003C598E">
        <w:rPr>
          <w:rFonts w:ascii="宋体" w:eastAsia="宋体" w:hAnsi="宋体" w:cs="宋体" w:hint="eastAsia"/>
          <w:b/>
          <w:bCs/>
          <w:szCs w:val="32"/>
        </w:rPr>
        <w:t>证券简称：</w:t>
      </w:r>
      <w:r w:rsidRPr="003C598E">
        <w:rPr>
          <w:rFonts w:ascii="宋体" w:eastAsia="宋体" w:hAnsi="宋体" w:cs="宋体" w:hint="eastAsia"/>
          <w:szCs w:val="32"/>
        </w:rPr>
        <w:t>路德环境</w:t>
      </w:r>
    </w:p>
    <w:p w14:paraId="7CF31A43" w14:textId="77777777" w:rsidR="004059CA" w:rsidRPr="003C598E" w:rsidRDefault="004059CA">
      <w:pPr>
        <w:spacing w:line="360" w:lineRule="auto"/>
        <w:ind w:firstLineChars="0" w:firstLine="0"/>
        <w:rPr>
          <w:rFonts w:ascii="宋体" w:eastAsia="宋体" w:hAnsi="宋体" w:cs="宋体"/>
          <w:szCs w:val="32"/>
        </w:rPr>
      </w:pPr>
    </w:p>
    <w:p w14:paraId="15436B16" w14:textId="77777777" w:rsidR="004059CA" w:rsidRPr="003C598E" w:rsidRDefault="00A27DCE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 w:rsidRPr="003C598E"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路德环境科技股份有限公司</w:t>
      </w:r>
    </w:p>
    <w:p w14:paraId="566FF073" w14:textId="77777777" w:rsidR="004059CA" w:rsidRPr="003C598E" w:rsidRDefault="00A27DCE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 w:rsidRPr="003C598E"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14:paraId="1F68543B" w14:textId="77777777" w:rsidR="004059CA" w:rsidRPr="003C598E" w:rsidRDefault="004059CA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24"/>
          <w:szCs w:val="24"/>
        </w:rPr>
      </w:pPr>
    </w:p>
    <w:p w14:paraId="007416DB" w14:textId="159E9B22" w:rsidR="004059CA" w:rsidRPr="003C598E" w:rsidRDefault="00A27DCE">
      <w:pPr>
        <w:spacing w:line="360" w:lineRule="auto"/>
        <w:ind w:firstLineChars="0" w:firstLine="0"/>
        <w:rPr>
          <w:rFonts w:ascii="宋体" w:eastAsia="宋体" w:hAnsi="宋体" w:cs="宋体"/>
          <w:bCs/>
          <w:iCs/>
          <w:color w:val="000000"/>
          <w:sz w:val="24"/>
          <w:szCs w:val="24"/>
        </w:rPr>
      </w:pPr>
      <w:r w:rsidRPr="003C598E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 xml:space="preserve">                                             编号：L</w:t>
      </w:r>
      <w:r w:rsidRPr="003C598E">
        <w:rPr>
          <w:rFonts w:ascii="宋体" w:eastAsia="宋体" w:hAnsi="宋体" w:cs="宋体"/>
          <w:bCs/>
          <w:iCs/>
          <w:color w:val="000000"/>
          <w:sz w:val="24"/>
          <w:szCs w:val="24"/>
        </w:rPr>
        <w:t>DHJ 2022-0</w:t>
      </w:r>
      <w:r w:rsidR="008833FA">
        <w:rPr>
          <w:rFonts w:ascii="宋体" w:eastAsia="宋体" w:hAnsi="宋体" w:cs="宋体"/>
          <w:bCs/>
          <w:iCs/>
          <w:color w:val="000000"/>
          <w:sz w:val="24"/>
          <w:szCs w:val="24"/>
        </w:rPr>
        <w:t>11</w:t>
      </w:r>
      <w:r w:rsidRPr="003C598E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至0</w:t>
      </w:r>
      <w:r w:rsidR="007858EC">
        <w:rPr>
          <w:rFonts w:ascii="宋体" w:eastAsia="宋体" w:hAnsi="宋体" w:cs="宋体"/>
          <w:bCs/>
          <w:iCs/>
          <w:color w:val="000000"/>
          <w:sz w:val="24"/>
          <w:szCs w:val="24"/>
        </w:rPr>
        <w:t>1</w:t>
      </w:r>
      <w:r w:rsidR="008833FA">
        <w:rPr>
          <w:rFonts w:ascii="宋体" w:eastAsia="宋体" w:hAnsi="宋体" w:cs="宋体"/>
          <w:bCs/>
          <w:iCs/>
          <w:color w:val="000000"/>
          <w:sz w:val="24"/>
          <w:szCs w:val="24"/>
        </w:rPr>
        <w:t>4</w:t>
      </w:r>
      <w:r w:rsidRPr="003C598E">
        <w:rPr>
          <w:rFonts w:ascii="宋体" w:eastAsia="宋体" w:hAnsi="宋体" w:cs="宋体"/>
          <w:bCs/>
          <w:iCs/>
          <w:color w:val="000000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6"/>
      </w:tblGrid>
      <w:tr w:rsidR="004059CA" w:rsidRPr="003C598E" w14:paraId="19D42713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849D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35F51F3A" w14:textId="77777777" w:rsidR="004059CA" w:rsidRPr="003C598E" w:rsidRDefault="004059CA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CF25" w14:textId="708B913B" w:rsidR="004059CA" w:rsidRPr="003C598E" w:rsidRDefault="004945A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1B068C38" w14:textId="77777777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653E08A6" w14:textId="7C813AE8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r w:rsidR="007858EC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17DEAD03" w14:textId="31F11EF1" w:rsidR="004059CA" w:rsidRPr="003C598E" w:rsidRDefault="004B4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现场参观 </w:t>
            </w:r>
            <w:r w:rsidR="00A27DCE"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■电话会议</w:t>
            </w:r>
          </w:p>
          <w:p w14:paraId="54A0045C" w14:textId="77777777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■网络会议 </w:t>
            </w:r>
            <w:r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□其他</w:t>
            </w:r>
          </w:p>
        </w:tc>
      </w:tr>
      <w:tr w:rsidR="004059CA" w:rsidRPr="003C598E" w14:paraId="3EF83B24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BBB8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AFF1" w14:textId="4DEC8C0C" w:rsidR="00DE78D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8833FA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8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  <w:p w14:paraId="35E87205" w14:textId="7EB1711E" w:rsidR="008F7893" w:rsidRDefault="008833FA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8833FA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13:30-15:00</w:t>
            </w:r>
            <w:r w:rsidR="00DE78D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北京旭辉</w:t>
            </w:r>
          </w:p>
          <w:p w14:paraId="5448C441" w14:textId="09DA0CC3" w:rsidR="004059CA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8833FA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8833FA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9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  <w:p w14:paraId="0D2847DF" w14:textId="46DF728F" w:rsidR="008833FA" w:rsidRPr="00DE78DE" w:rsidRDefault="008833FA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8833FA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13: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Pr="008833FA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0-1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Pr="008833FA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 w:rsidRPr="008833FA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：上海秀界</w:t>
            </w:r>
          </w:p>
          <w:p w14:paraId="069DD74B" w14:textId="7C3AE72A" w:rsidR="004059CA" w:rsidRPr="003C598E" w:rsidRDefault="008833FA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30</w:t>
            </w:r>
            <w:r w:rsidR="00DE78D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DE78D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7</w:t>
            </w:r>
            <w:r w:rsidR="00DE78D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="00DE78D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="00DE78D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广发证券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南方基金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招商资管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富国基金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上海恬昱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华宝基金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淳厚基金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深圳奇盛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青榕资管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招银理财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景林资管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多鑫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中信建投基金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中海基金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东吴证券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海保人寿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红土创新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华安基金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中金公司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浦银安盛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源乘投资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域秀资管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大成基金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中邮创业基金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泰信基金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建信理财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富兰克林基金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汇添富基金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中国人保资管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中加基金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创金合信基金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北京成泉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大家资管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君康人寿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长信基金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万和证券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英大保险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泰康资产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招商证券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诚通基金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巴沃资产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华泰资管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申九资产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富安达基金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海南翎展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建信养老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德邦基金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8833F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广发期货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91FCD" w:rsidRP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博远基金</w:t>
            </w:r>
            <w:r w:rsid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91FCD" w:rsidRP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中银基金</w:t>
            </w:r>
            <w:r w:rsid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91FCD" w:rsidRP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恒生前海</w:t>
            </w:r>
          </w:p>
          <w:p w14:paraId="70591E60" w14:textId="33E57A6F" w:rsidR="004059CA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10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  <w:p w14:paraId="550C1EA3" w14:textId="5093BEAA" w:rsidR="009E181B" w:rsidRDefault="00A91FC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30</w:t>
            </w:r>
            <w:r w:rsidR="00DE78D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DE78D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="00DE78D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DE78D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  <w:r w:rsidR="00DE78D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东吴</w:t>
            </w:r>
            <w:r w:rsidR="009E181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证券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、华夏基金</w:t>
            </w:r>
          </w:p>
          <w:p w14:paraId="7D1772C8" w14:textId="420501F7" w:rsidR="00DE78DE" w:rsidRDefault="00DE78D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 w:rsidR="009B2C6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中金公司</w:t>
            </w:r>
          </w:p>
          <w:p w14:paraId="2CDD9430" w14:textId="66EC0743" w:rsidR="00DE78DE" w:rsidRDefault="00DE78DE" w:rsidP="00DE78D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11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  <w:p w14:paraId="5F7923B1" w14:textId="487FA3BA" w:rsidR="00DE78DE" w:rsidRDefault="00D83537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D83537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  <w:r w:rsidRPr="00D83537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-1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Pr="00D83537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:00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安信证券、华泰柏瑞</w:t>
            </w:r>
          </w:p>
          <w:p w14:paraId="49DC6D65" w14:textId="06D14FFD" w:rsidR="00D83537" w:rsidRDefault="00D83537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D83537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 w:rsid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30</w:t>
            </w:r>
            <w:r w:rsidRPr="00D83537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-1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Pr="00D83537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:30</w:t>
            </w:r>
            <w:r w:rsid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：五地投资</w:t>
            </w:r>
          </w:p>
          <w:p w14:paraId="23E90F2F" w14:textId="2AF6000C" w:rsidR="004059CA" w:rsidRPr="003C598E" w:rsidRDefault="00D83537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D83537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Pr="00D83537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  <w:r w:rsidRPr="00D83537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-1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Pr="00D83537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Pr="00D83537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海通证券、</w:t>
            </w:r>
            <w:r w:rsidR="00A91FCD" w:rsidRP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华融自营</w:t>
            </w:r>
            <w:r w:rsid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91FCD" w:rsidRP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财通资管</w:t>
            </w:r>
            <w:r w:rsid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91FCD" w:rsidRPr="00A91FC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绿金投资</w:t>
            </w:r>
          </w:p>
        </w:tc>
      </w:tr>
      <w:tr w:rsidR="004059CA" w:rsidRPr="003C598E" w14:paraId="7EED3720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AF57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时间及地点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82CA" w14:textId="52088326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8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4B4F5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4B4F58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 w:rsidR="004B4F5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月1</w:t>
            </w:r>
            <w:r w:rsidR="004B4F58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="004B4F5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日，公司总部、</w:t>
            </w:r>
            <w:r w:rsidR="000F4EE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网络会议</w:t>
            </w:r>
          </w:p>
        </w:tc>
      </w:tr>
      <w:tr w:rsidR="004059CA" w:rsidRPr="003C598E" w14:paraId="7827B01B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CC38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686F7B73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80A2" w14:textId="2CA06EF3" w:rsidR="000000F5" w:rsidRDefault="000000F5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0000F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董事长、总经理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：季光明（2月9日</w:t>
            </w:r>
            <w:r w:rsidR="005D065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、1</w:t>
            </w:r>
            <w:r w:rsidR="005D065C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 w:rsidR="005D065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  <w:p w14:paraId="17DFD567" w14:textId="4E011E69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董事、</w:t>
            </w:r>
            <w:r w:rsidR="0023310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副总经理兼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董事会秘书：刘菁</w:t>
            </w:r>
          </w:p>
          <w:p w14:paraId="0E2D3A71" w14:textId="276B7C34" w:rsidR="004059CA" w:rsidRPr="003C598E" w:rsidRDefault="00A91FC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证券投资部</w:t>
            </w:r>
            <w:r w:rsidR="00A27DCE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秦夏、俞大奎</w:t>
            </w:r>
          </w:p>
        </w:tc>
      </w:tr>
      <w:tr w:rsidR="004059CA" w:rsidRPr="003C598E" w14:paraId="33AC6B54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E3D9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</w:p>
          <w:p w14:paraId="6880CA94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主要内容介绍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8C4C" w14:textId="692F5AD3" w:rsidR="004059CA" w:rsidRDefault="00A27DCE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公司2</w:t>
            </w:r>
            <w:r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8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日至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A91FC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11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日投资者交流中，主要就以下方面与调研人员进行了沟通：</w:t>
            </w:r>
          </w:p>
          <w:p w14:paraId="58BC4251" w14:textId="6467886D" w:rsidR="00F5541C" w:rsidRPr="00D430B8" w:rsidRDefault="00F5541C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 w:rsidRPr="00D430B8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一、公司是如何从河湖淤泥与工程泥浆业务</w:t>
            </w:r>
            <w:r w:rsidR="00D430B8" w:rsidRPr="00D430B8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转而发力白酒糟资源化利用业务？</w:t>
            </w:r>
          </w:p>
          <w:p w14:paraId="36CB203F" w14:textId="1350CC9A" w:rsidR="00DF587C" w:rsidRPr="00D430B8" w:rsidRDefault="00D430B8" w:rsidP="00C23547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D430B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成立于2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006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Pr="00D430B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，始终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专注于</w:t>
            </w:r>
            <w:r w:rsidRPr="00D430B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高含水废弃物处理与资源化利用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。公司</w:t>
            </w:r>
            <w:r w:rsidRPr="00D430B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起步</w:t>
            </w:r>
            <w:r w:rsidR="00DF587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阶段</w:t>
            </w:r>
            <w:r w:rsidRPr="00D430B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主要是以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无机高含水废弃物-</w:t>
            </w:r>
            <w:r w:rsidRPr="00D430B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河湖淤泥为处理对象，在开展仁怀盐津河水环境治理项目过程中，发现当地酒企酿酒产生的白酒糟如未得到环保处理，会对当地土地、水体造成污染；同时酒糟堆放易发生霉变，产生黄曲霉毒素，存在养殖安全及食品安全隐患。</w:t>
            </w:r>
            <w:r w:rsidR="00DF587C" w:rsidRPr="00DF587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DF587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以此为契机</w:t>
            </w:r>
            <w:r w:rsidR="00DF587C" w:rsidRPr="00DF587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建立起</w:t>
            </w:r>
            <w:r w:rsidR="00DF587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白酒糟资源利用</w:t>
            </w:r>
            <w:r w:rsidR="00DF587C" w:rsidRPr="00DF587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业务板块，一方面可以从源头上控制污染源的产生；另一方面变废为宝，将白酒糟转化为微生物发酵饲料，实现</w:t>
            </w:r>
            <w:r w:rsidR="00DF587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无害化、</w:t>
            </w:r>
            <w:r w:rsidR="00DF587C" w:rsidRPr="00DF587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资源化利用</w:t>
            </w:r>
            <w:r w:rsidR="00DF587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075B151B" w14:textId="36266F74" w:rsidR="004059CA" w:rsidRPr="003C598E" w:rsidRDefault="00F5541C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二</w:t>
            </w:r>
            <w:r w:rsidR="00A27DCE" w:rsidRPr="003C598E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、公司白酒糟</w:t>
            </w:r>
            <w:r w:rsidR="00DD600A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资源化利用业务</w:t>
            </w:r>
            <w:r w:rsidR="00244D0D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核心</w:t>
            </w:r>
            <w:r w:rsidR="00DD600A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技术</w:t>
            </w:r>
            <w:r w:rsidR="008F059B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来源</w:t>
            </w: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，是否有专利保护？</w:t>
            </w:r>
          </w:p>
          <w:p w14:paraId="4C4569F3" w14:textId="7AADC0A0" w:rsidR="004059CA" w:rsidRDefault="00F5541C" w:rsidP="00C23547">
            <w:pPr>
              <w:spacing w:line="360" w:lineRule="auto"/>
              <w:ind w:firstLineChars="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F5541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公司白酒糟资源化利用业务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所依赖的</w:t>
            </w:r>
            <w:r w:rsidR="00DD600A" w:rsidRPr="00DD600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有机糟渣微生物固态发酵技术体系，于2012-2013年与华中农业大学“农业微生物学国家重点实验室”进行联合研发，并申报了发明专利“一种酶解白酒糟高肽饲料及生产方法”。此</w:t>
            </w:r>
            <w:r w:rsidR="00DD600A" w:rsidRPr="00DD600A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后在产业化应用的过程中，公司的研发技术体系以工艺为核心，以自主集成的定制设备系统、自主选育的酵母发酵菌种为基础，以推动技术不断升级、产品不断完善的产学研合作平台为支撑，已构筑起系统的知识产权保护体系，截至目前已获得授权的自主研发专利23项（其中发明专利5项），在申请的专利20余项（其中发明专利10余项）。</w:t>
            </w:r>
          </w:p>
          <w:p w14:paraId="4683DD91" w14:textId="6C29E5A5" w:rsidR="008F059B" w:rsidRDefault="008F059B" w:rsidP="008F059B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三</w:t>
            </w:r>
            <w:r w:rsidRPr="003C598E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传统白酒糟处理方式有哪些</w:t>
            </w:r>
            <w:r w:rsidR="008901E7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公司处理的优势体现在哪里？</w:t>
            </w:r>
          </w:p>
          <w:p w14:paraId="3E00E61A" w14:textId="6C3222C6" w:rsidR="008F059B" w:rsidRDefault="008F059B" w:rsidP="00217D91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白</w:t>
            </w:r>
            <w:r w:rsidRPr="007E2CE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酒糟最早被丢弃和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或直接</w:t>
            </w:r>
            <w:r w:rsidRPr="007E2CE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饲喂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动物</w:t>
            </w:r>
            <w:r w:rsidRPr="007E2CE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，丢弃会污染水体和土壤，而直接饲喂容易导致酒精中毒和黄曲霉毒素污染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，影响食品安全</w:t>
            </w:r>
            <w:r w:rsidRPr="007E2CE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白酒糟处理有环保要求后</w:t>
            </w:r>
            <w:r w:rsidRPr="007E2CE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其</w:t>
            </w:r>
            <w:r w:rsidRPr="007E2CE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主要</w:t>
            </w:r>
            <w:r w:rsidR="00217D9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通过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高温烘干或</w:t>
            </w:r>
            <w:r w:rsidRPr="007E2CE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制成有机肥</w:t>
            </w:r>
            <w:r w:rsidR="00217D9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等粗加工、低附加值方式处理</w:t>
            </w:r>
            <w:r w:rsidRPr="007E2CE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，而将其</w:t>
            </w:r>
            <w:r w:rsidR="00217D9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通过微生物固态</w:t>
            </w:r>
            <w:r w:rsidRPr="007E2CE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发酵制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备</w:t>
            </w:r>
            <w:r w:rsidRPr="007E2CE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成生物发酵饲料是公司的独创资源化方案</w:t>
            </w:r>
            <w:r w:rsidR="00217D9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A009E9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可以</w:t>
            </w:r>
            <w:r w:rsidR="00217D9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实现大体量、规范化处理，真正做到白酒糟的无害化与资源化</w:t>
            </w:r>
            <w:r w:rsidR="00A009E9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利用</w:t>
            </w:r>
            <w:r w:rsidRPr="007E2CE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056123F9" w14:textId="5CED25CD" w:rsidR="008F059B" w:rsidRDefault="00217D91" w:rsidP="008F059B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四</w:t>
            </w:r>
            <w:r w:rsidR="00C23547" w:rsidRPr="003C598E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公司优选酱香型白酒糟制备生物发酵饲料的原因</w:t>
            </w:r>
            <w:r w:rsidR="008901E7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，</w:t>
            </w:r>
            <w:r w:rsidR="00247B86" w:rsidRPr="00247B86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其他香型白酒糟是否</w:t>
            </w:r>
            <w:r w:rsidR="00A4068B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有布局？</w:t>
            </w:r>
          </w:p>
          <w:p w14:paraId="2574F75A" w14:textId="36725209" w:rsidR="008F059B" w:rsidRDefault="00CA48AD" w:rsidP="00733E62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CA48A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公司优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先布局</w:t>
            </w:r>
            <w:r w:rsidRPr="00CA48A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酱香型白酒糟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主要</w:t>
            </w:r>
            <w:r w:rsidR="008901E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原因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：一是</w:t>
            </w:r>
            <w:r w:rsidRPr="00CA48A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酱香型白酒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产地主要集中在赤水河沿岸，且酒糟因环保要求存在一定运输半径，</w:t>
            </w:r>
            <w:r w:rsidRPr="00CA48A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积极在</w:t>
            </w:r>
            <w:r w:rsidRPr="00CA48A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酱香型白酒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集中地布局，</w:t>
            </w:r>
            <w:r w:rsidRPr="00CA48A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就地取材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；二是</w:t>
            </w:r>
            <w:r w:rsidRPr="00CA48A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酱香型白酒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特有的酿造工艺</w:t>
            </w:r>
            <w:r w:rsidR="00733E6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，一年一个生产周期，集中</w:t>
            </w:r>
            <w:r w:rsidR="008901E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丢糟</w:t>
            </w:r>
            <w:r w:rsidR="00733E6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，急需大体量、规范化处理；三是</w:t>
            </w:r>
            <w:r w:rsidR="00733E62" w:rsidRPr="00CA48A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酱香型白酒</w:t>
            </w:r>
            <w:r w:rsidR="00733E6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糟主要成分相较其他香型更便于制备生物发酵饲料。</w:t>
            </w:r>
            <w:r w:rsidR="008901E7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除酱香型白酒糟外，</w:t>
            </w:r>
            <w:r w:rsidR="00733E62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公司也在积极布局浓香型、清香型以及其他香型白酒糟资源化利用。</w:t>
            </w:r>
          </w:p>
          <w:p w14:paraId="05CEECCE" w14:textId="67801444" w:rsidR="00D70ABD" w:rsidRPr="003C598E" w:rsidRDefault="00D70ABD" w:rsidP="00D70ABD">
            <w:pPr>
              <w:spacing w:line="360" w:lineRule="auto"/>
              <w:ind w:firstLine="482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五</w:t>
            </w:r>
            <w:r w:rsidRPr="003C598E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公司主要通过哪些方式采购白酒糟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？</w:t>
            </w:r>
          </w:p>
          <w:p w14:paraId="620B8BBE" w14:textId="6E98937B" w:rsidR="00D70ABD" w:rsidRPr="00D70ABD" w:rsidRDefault="00D70ABD" w:rsidP="00D70ABD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DE1ED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公司向上游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白酒企业</w:t>
            </w:r>
            <w:r w:rsidRPr="00DE1ED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采购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白酒糟</w:t>
            </w:r>
            <w:r w:rsidRPr="00DE1ED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的方式主要有两种：一是与大型酒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企</w:t>
            </w:r>
            <w:r w:rsidRPr="00DE1ED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签订长期采购供货协议，协议约定酒糟价格，酒糟价格根据基准价和调价机制调价，调价机制根据</w:t>
            </w:r>
            <w:r w:rsidRPr="00DE1ED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小麦、高粱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等</w:t>
            </w:r>
            <w:r w:rsidRPr="00DE1ED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的市场售价调整，该长期供货协议有排他条款；二是通过公开招投标，公司每年定期和不定期参与竞标，酒糟价格按照市场行情。</w:t>
            </w:r>
          </w:p>
          <w:p w14:paraId="6D1D97F4" w14:textId="0FD7082D" w:rsidR="008F059B" w:rsidRDefault="00D70ABD" w:rsidP="008F059B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六</w:t>
            </w:r>
            <w:r w:rsidR="008F059B" w:rsidRPr="003C598E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、</w:t>
            </w:r>
            <w:r w:rsidR="008F059B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公司白酒糟生物发酵饲料产品</w:t>
            </w:r>
            <w:r w:rsidR="007052F6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的</w:t>
            </w:r>
            <w:r w:rsidR="008F059B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定位？</w:t>
            </w:r>
          </w:p>
          <w:p w14:paraId="4B1A1EC3" w14:textId="114A8302" w:rsidR="00C23547" w:rsidRPr="008F059B" w:rsidRDefault="00A4068B" w:rsidP="00D70ABD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A4068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公司白酒糟生物发酵饲料的产品</w:t>
            </w:r>
            <w:r w:rsidR="00D70AB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定位为功能性的饲料原料。</w:t>
            </w:r>
            <w:r w:rsidR="00D70ABD" w:rsidRPr="00D70AB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产品既含有粗蛋白、粗脂肪、酸溶蛋白等营养成分，又含有功能性酵母源蛋白、β—葡聚糖、甘露寡糖、核苷酸、活性肽、有益菌、类消化酶等功能性成分，同时矿物质和维生素含量丰富，能够有效缓解各类应激引起的消化功能障碍、提高动物免疫力、促进动物肠道微生态平衡。产品的应用还可以减少抗生素等有害饲料添加剂的使用，获得更加优质安全的动物产品。</w:t>
            </w:r>
          </w:p>
          <w:p w14:paraId="36409198" w14:textId="17C263B4" w:rsidR="00D70ABD" w:rsidRPr="003C598E" w:rsidRDefault="00D70ABD" w:rsidP="00D70ABD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七</w:t>
            </w:r>
            <w:r w:rsidRPr="003C598E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、公司生物发酵饲料作为新型饲料是如何被下游用户接受的？</w:t>
            </w:r>
          </w:p>
          <w:p w14:paraId="661E5759" w14:textId="77777777" w:rsidR="00D70ABD" w:rsidRPr="003C598E" w:rsidRDefault="00D70ABD" w:rsidP="00D70ABD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生物发酵饲料作为新型的功能性饲料原料，之所以被市场和客户广泛接受，主要是基于其不仅含有常规营养物质，还富含功能性成分。在应用端，产品可以替代一部分蛋白类饲料原料，降低饲料成本，实现节粮养殖；促进动物胃肠道健康，提升机体自身免疫力，减少或替代抗生素等药物，符合“禁抗、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减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抗、无抗”养殖要求；同时，提高肉蛋奶品质，保障食品安全。公司通过多年的产品应用推广与宣传，经过客户长期规范的饲喂实验和系统的营养评价、安全评价、性价比分析，最终进入客户的采购目录，目前已经形成了相对稳定的客户群体。</w:t>
            </w:r>
          </w:p>
          <w:p w14:paraId="49CEB9A6" w14:textId="20242D99" w:rsidR="004059CA" w:rsidRPr="003C598E" w:rsidRDefault="004F1159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八、</w:t>
            </w:r>
            <w:r w:rsidR="00A27DCE" w:rsidRPr="003C598E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公司</w:t>
            </w:r>
            <w:r w:rsidR="00295A90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最近几年生物发酵饲料业务快速增长的原因</w:t>
            </w:r>
            <w:r w:rsidR="00FC24A4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1AB4ED93" w14:textId="427E3BD6" w:rsidR="004059CA" w:rsidRDefault="00A27DCE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经过多年市场培育</w:t>
            </w:r>
            <w:r w:rsidR="00C6445A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，公司生物发酵饲料</w:t>
            </w:r>
            <w:r w:rsidR="00E336B9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以高性价比优势</w:t>
            </w:r>
            <w:r w:rsidR="00C6445A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得到市场普遍认可，获得下游客户一致好评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，产品销量2</w:t>
            </w:r>
            <w:r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01</w:t>
            </w:r>
            <w:r w:rsidR="004F1159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7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-</w:t>
            </w:r>
            <w:r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2021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年连续大幅增长</w:t>
            </w:r>
            <w:r w:rsidR="00C6445A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；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加之饲料行业“减抗限抗”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政策红利逐步释放，公司产品供不应求。公司紧抓发展机遇，持续加大</w:t>
            </w:r>
            <w:r w:rsidR="00E336B9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创新力度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E336B9"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不断对技术工艺设备技改优化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，快速释放产能，业务迅猛发展。</w:t>
            </w:r>
          </w:p>
          <w:p w14:paraId="20B87D43" w14:textId="0D012769" w:rsidR="008176EC" w:rsidRPr="00D70ABD" w:rsidRDefault="008176EC" w:rsidP="008176EC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九</w:t>
            </w:r>
            <w:r w:rsidRPr="00D70ABD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公司金沙</w:t>
            </w:r>
            <w:r w:rsidR="00731553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、汇川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年产1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万吨</w:t>
            </w:r>
            <w:r w:rsidR="00731553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、8万吨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生物发酵饲料项目进展如何？</w:t>
            </w:r>
          </w:p>
          <w:p w14:paraId="3D2AD2F2" w14:textId="2F2D12B3" w:rsidR="008176EC" w:rsidRDefault="008176EC" w:rsidP="004F1159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8176E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公司于2021年12月14日完成了路德生物（金沙）工商注册登记并取得了金沙县市场监督管理局颁发的营业执照，12月24日路德生物（金沙）竞得土地使用权，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年2月1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Pr="008176E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路德生物（金沙）开工动土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建设，</w:t>
            </w:r>
            <w:r w:rsidRPr="008176E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预计2022年8月建成投产</w:t>
            </w:r>
            <w:r w:rsidR="0073155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；汇川项目预计2</w:t>
            </w:r>
            <w:r w:rsidR="00731553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 w:rsidR="0073155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年1</w:t>
            </w:r>
            <w:r w:rsidR="00731553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 w:rsidR="0073155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月底建成投产，目前金沙、汇川项目进展顺利。</w:t>
            </w:r>
          </w:p>
          <w:p w14:paraId="2395B57E" w14:textId="11832333" w:rsidR="004F1159" w:rsidRPr="00D70ABD" w:rsidRDefault="00A009E9" w:rsidP="004F1159">
            <w:pPr>
              <w:spacing w:line="360" w:lineRule="auto"/>
              <w:ind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十</w:t>
            </w:r>
            <w:r w:rsidR="004F1159" w:rsidRPr="00D70ABD"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、</w:t>
            </w:r>
            <w:r w:rsidR="004F1159" w:rsidRPr="00D70ABD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国务院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1月2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日</w:t>
            </w:r>
            <w:r w:rsidR="004F1159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提出</w:t>
            </w:r>
            <w:r w:rsidR="004F1159" w:rsidRPr="00D70ABD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发挥赤水河流域酱香型白酒主产区优势，建设全国重要的白酒生产基地</w:t>
            </w:r>
            <w:r w:rsidR="004F1159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公司是否有</w:t>
            </w:r>
            <w:r w:rsidR="00731553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新的产能扩张计划？</w:t>
            </w:r>
          </w:p>
          <w:p w14:paraId="47FC433E" w14:textId="67024FED" w:rsidR="004059CA" w:rsidRPr="004F1159" w:rsidRDefault="00731553" w:rsidP="000D1773">
            <w:pPr>
              <w:spacing w:line="360" w:lineRule="auto"/>
              <w:ind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公司关注到</w:t>
            </w:r>
            <w:r w:rsidRPr="0073155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国务院1月26日提出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的“</w:t>
            </w:r>
            <w:r w:rsidRPr="0073155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发挥赤水河流域酱香型白酒主产区优势，建设全国重要的白酒生产基地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”，可以合理预见未来酱香型白酒扩产增量、酒糟供应量增加，公司将</w:t>
            </w:r>
            <w:r w:rsidR="004A721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抢抓市场机遇，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集中技术、资源和先发优势，加大酱香型白</w:t>
            </w:r>
            <w:r w:rsidR="004A721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酒糟资源化利用布局</w:t>
            </w:r>
            <w:r w:rsidR="008F1CE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4A721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具体的产能扩张计划不方便透露，请投资者以</w:t>
            </w:r>
            <w:r w:rsidR="007052F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相关</w:t>
            </w:r>
            <w:r w:rsidR="004A721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公告为准。</w:t>
            </w:r>
          </w:p>
        </w:tc>
      </w:tr>
      <w:tr w:rsidR="004059CA" w:rsidRPr="003C598E" w14:paraId="60C84119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4C21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8D4A" w14:textId="77777777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4059CA" w:rsidRPr="003C598E" w14:paraId="1D71BD85" w14:textId="77777777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479A" w14:textId="77777777" w:rsidR="004059CA" w:rsidRPr="003C598E" w:rsidRDefault="00A27DCE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D1E3" w14:textId="7DBE273E" w:rsidR="004059CA" w:rsidRPr="003C598E" w:rsidRDefault="00A27DCE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4F1159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4F1159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="007D70F6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 w:rsidRPr="003C598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F8058CE" w14:textId="77777777" w:rsidR="004059CA" w:rsidRPr="003C598E" w:rsidRDefault="004059CA" w:rsidP="00014D0E">
      <w:pPr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</w:p>
    <w:sectPr w:rsidR="004059CA" w:rsidRPr="003C5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1468" w14:textId="77777777" w:rsidR="00AC454B" w:rsidRDefault="00AC454B">
      <w:pPr>
        <w:spacing w:line="240" w:lineRule="auto"/>
        <w:ind w:firstLine="640"/>
      </w:pPr>
      <w:r>
        <w:separator/>
      </w:r>
    </w:p>
  </w:endnote>
  <w:endnote w:type="continuationSeparator" w:id="0">
    <w:p w14:paraId="043DA32F" w14:textId="77777777" w:rsidR="00AC454B" w:rsidRDefault="00AC454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FAEE" w14:textId="77777777" w:rsidR="004059CA" w:rsidRDefault="004059C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3D87" w14:textId="77777777" w:rsidR="004059CA" w:rsidRDefault="004059C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376A" w14:textId="77777777" w:rsidR="004059CA" w:rsidRDefault="004059C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6092" w14:textId="77777777" w:rsidR="00AC454B" w:rsidRDefault="00AC454B">
      <w:pPr>
        <w:spacing w:line="240" w:lineRule="auto"/>
        <w:ind w:firstLine="640"/>
      </w:pPr>
      <w:r>
        <w:separator/>
      </w:r>
    </w:p>
  </w:footnote>
  <w:footnote w:type="continuationSeparator" w:id="0">
    <w:p w14:paraId="38EA5C34" w14:textId="77777777" w:rsidR="00AC454B" w:rsidRDefault="00AC454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BEB3" w14:textId="77777777" w:rsidR="004059CA" w:rsidRDefault="004059C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09E5" w14:textId="77777777" w:rsidR="004059CA" w:rsidRDefault="00A27DCE">
    <w:pPr>
      <w:pBdr>
        <w:bottom w:val="single" w:sz="6" w:space="9" w:color="auto"/>
      </w:pBdr>
      <w:tabs>
        <w:tab w:val="center" w:pos="4153"/>
        <w:tab w:val="right" w:pos="8306"/>
      </w:tabs>
      <w:snapToGrid w:val="0"/>
      <w:ind w:firstLine="360"/>
      <w:rPr>
        <w:rFonts w:ascii="宋体" w:eastAsia="宋体" w:hAnsi="宋体"/>
        <w:sz w:val="24"/>
        <w:szCs w:val="24"/>
      </w:rPr>
    </w:pPr>
    <w:r>
      <w:rPr>
        <w:rFonts w:eastAsia="宋体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BC4001B" wp14:editId="0944E474">
          <wp:simplePos x="0" y="0"/>
          <wp:positionH relativeFrom="column">
            <wp:posOffset>185420</wp:posOffset>
          </wp:positionH>
          <wp:positionV relativeFrom="paragraph">
            <wp:posOffset>55245</wp:posOffset>
          </wp:positionV>
          <wp:extent cx="1272540" cy="396240"/>
          <wp:effectExtent l="0" t="0" r="3810" b="381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4" t="38632" r="65826" b="55653"/>
                  <a:stretch>
                    <a:fillRect/>
                  </a:stretch>
                </pic:blipFill>
                <pic:spPr>
                  <a:xfrm>
                    <a:off x="0" y="0"/>
                    <a:ext cx="12725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 w:hint="eastAsia"/>
        <w:sz w:val="24"/>
        <w:szCs w:val="24"/>
      </w:rPr>
      <w:t xml:space="preserve"> </w:t>
    </w:r>
    <w:r>
      <w:rPr>
        <w:rFonts w:ascii="宋体" w:eastAsia="宋体" w:hAnsi="宋体"/>
        <w:sz w:val="24"/>
        <w:szCs w:val="24"/>
      </w:rPr>
      <w:t xml:space="preserve">                           </w:t>
    </w:r>
    <w:r>
      <w:rPr>
        <w:rFonts w:ascii="宋体" w:eastAsia="宋体" w:hAnsi="宋体"/>
        <w:sz w:val="24"/>
        <w:szCs w:val="24"/>
      </w:rPr>
      <w:tab/>
      <w:t xml:space="preserve">              </w:t>
    </w:r>
    <w:r>
      <w:rPr>
        <w:rFonts w:ascii="宋体" w:eastAsia="宋体" w:hAnsi="宋体" w:hint="eastAsia"/>
        <w:b/>
        <w:bCs/>
        <w:sz w:val="24"/>
        <w:szCs w:val="24"/>
      </w:rPr>
      <w:t>路德环境科技股份有限公司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C932" w14:textId="77777777" w:rsidR="004059CA" w:rsidRDefault="004059C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D9A"/>
    <w:rsid w:val="000000F5"/>
    <w:rsid w:val="000058FA"/>
    <w:rsid w:val="0001028C"/>
    <w:rsid w:val="00014D0E"/>
    <w:rsid w:val="00015549"/>
    <w:rsid w:val="00030BDD"/>
    <w:rsid w:val="0007793E"/>
    <w:rsid w:val="00080953"/>
    <w:rsid w:val="0009624B"/>
    <w:rsid w:val="000C3A73"/>
    <w:rsid w:val="000D1773"/>
    <w:rsid w:val="000D3D23"/>
    <w:rsid w:val="000F4EE6"/>
    <w:rsid w:val="001113FD"/>
    <w:rsid w:val="001451B0"/>
    <w:rsid w:val="00194A00"/>
    <w:rsid w:val="00196D19"/>
    <w:rsid w:val="001A1204"/>
    <w:rsid w:val="001B06EA"/>
    <w:rsid w:val="001B6604"/>
    <w:rsid w:val="001E04C8"/>
    <w:rsid w:val="0020303E"/>
    <w:rsid w:val="002131C4"/>
    <w:rsid w:val="00217D91"/>
    <w:rsid w:val="0023310B"/>
    <w:rsid w:val="00244D0D"/>
    <w:rsid w:val="00247B86"/>
    <w:rsid w:val="00267D50"/>
    <w:rsid w:val="00274B53"/>
    <w:rsid w:val="00295A90"/>
    <w:rsid w:val="00296750"/>
    <w:rsid w:val="002D2FE5"/>
    <w:rsid w:val="002D4861"/>
    <w:rsid w:val="002D6753"/>
    <w:rsid w:val="002E1590"/>
    <w:rsid w:val="002E16EF"/>
    <w:rsid w:val="002F6860"/>
    <w:rsid w:val="003224B6"/>
    <w:rsid w:val="00324B1E"/>
    <w:rsid w:val="00334CCB"/>
    <w:rsid w:val="0036518B"/>
    <w:rsid w:val="003746B3"/>
    <w:rsid w:val="00375731"/>
    <w:rsid w:val="003A0C72"/>
    <w:rsid w:val="003A24AF"/>
    <w:rsid w:val="003A5AD7"/>
    <w:rsid w:val="003C2D9A"/>
    <w:rsid w:val="003C598E"/>
    <w:rsid w:val="004059CA"/>
    <w:rsid w:val="00414930"/>
    <w:rsid w:val="00422681"/>
    <w:rsid w:val="004650B2"/>
    <w:rsid w:val="00470F96"/>
    <w:rsid w:val="004945A9"/>
    <w:rsid w:val="00496619"/>
    <w:rsid w:val="004A7213"/>
    <w:rsid w:val="004B4F58"/>
    <w:rsid w:val="004D07E0"/>
    <w:rsid w:val="004F1159"/>
    <w:rsid w:val="004F2CB8"/>
    <w:rsid w:val="005171E9"/>
    <w:rsid w:val="00524B01"/>
    <w:rsid w:val="00534363"/>
    <w:rsid w:val="00542FF6"/>
    <w:rsid w:val="00554EDF"/>
    <w:rsid w:val="0058706E"/>
    <w:rsid w:val="005D065C"/>
    <w:rsid w:val="005E28F5"/>
    <w:rsid w:val="005F2FB2"/>
    <w:rsid w:val="00620A2D"/>
    <w:rsid w:val="0064031E"/>
    <w:rsid w:val="00640E1B"/>
    <w:rsid w:val="00650F8B"/>
    <w:rsid w:val="006623AE"/>
    <w:rsid w:val="00665F60"/>
    <w:rsid w:val="006E6793"/>
    <w:rsid w:val="006F1D90"/>
    <w:rsid w:val="006F549C"/>
    <w:rsid w:val="007052F6"/>
    <w:rsid w:val="00722553"/>
    <w:rsid w:val="00731553"/>
    <w:rsid w:val="007338A8"/>
    <w:rsid w:val="00733E62"/>
    <w:rsid w:val="0074572E"/>
    <w:rsid w:val="007858EC"/>
    <w:rsid w:val="007B07A6"/>
    <w:rsid w:val="007D70F6"/>
    <w:rsid w:val="007E0552"/>
    <w:rsid w:val="007E2CE3"/>
    <w:rsid w:val="007F1D39"/>
    <w:rsid w:val="0080002B"/>
    <w:rsid w:val="008176EC"/>
    <w:rsid w:val="008223C5"/>
    <w:rsid w:val="008275FF"/>
    <w:rsid w:val="008833FA"/>
    <w:rsid w:val="008901E7"/>
    <w:rsid w:val="0089313F"/>
    <w:rsid w:val="008A1AE8"/>
    <w:rsid w:val="008D0253"/>
    <w:rsid w:val="008F059B"/>
    <w:rsid w:val="008F1CE1"/>
    <w:rsid w:val="008F7893"/>
    <w:rsid w:val="009052A7"/>
    <w:rsid w:val="00912F0D"/>
    <w:rsid w:val="0092086D"/>
    <w:rsid w:val="009229EA"/>
    <w:rsid w:val="00925AB1"/>
    <w:rsid w:val="00961B0D"/>
    <w:rsid w:val="009A5FA7"/>
    <w:rsid w:val="009B2C63"/>
    <w:rsid w:val="009B70E4"/>
    <w:rsid w:val="009C4DC4"/>
    <w:rsid w:val="009D460C"/>
    <w:rsid w:val="009D4F6E"/>
    <w:rsid w:val="009E181B"/>
    <w:rsid w:val="009E31DB"/>
    <w:rsid w:val="009F58D1"/>
    <w:rsid w:val="00A009E9"/>
    <w:rsid w:val="00A27DCE"/>
    <w:rsid w:val="00A4068B"/>
    <w:rsid w:val="00A91FCD"/>
    <w:rsid w:val="00AB6A0E"/>
    <w:rsid w:val="00AB71F7"/>
    <w:rsid w:val="00AC0BBC"/>
    <w:rsid w:val="00AC454B"/>
    <w:rsid w:val="00AC64B5"/>
    <w:rsid w:val="00B4521D"/>
    <w:rsid w:val="00B50EBB"/>
    <w:rsid w:val="00BA6A36"/>
    <w:rsid w:val="00BB0996"/>
    <w:rsid w:val="00BC1BB0"/>
    <w:rsid w:val="00BD30EB"/>
    <w:rsid w:val="00C10E97"/>
    <w:rsid w:val="00C12658"/>
    <w:rsid w:val="00C23547"/>
    <w:rsid w:val="00C2717C"/>
    <w:rsid w:val="00C55537"/>
    <w:rsid w:val="00C61FA2"/>
    <w:rsid w:val="00C6445A"/>
    <w:rsid w:val="00C67E95"/>
    <w:rsid w:val="00C77DC4"/>
    <w:rsid w:val="00CA48AD"/>
    <w:rsid w:val="00CE0CC0"/>
    <w:rsid w:val="00CF08CA"/>
    <w:rsid w:val="00CF6727"/>
    <w:rsid w:val="00D26E6B"/>
    <w:rsid w:val="00D40680"/>
    <w:rsid w:val="00D429BC"/>
    <w:rsid w:val="00D430B8"/>
    <w:rsid w:val="00D43AF4"/>
    <w:rsid w:val="00D548E4"/>
    <w:rsid w:val="00D66713"/>
    <w:rsid w:val="00D70ABD"/>
    <w:rsid w:val="00D815F4"/>
    <w:rsid w:val="00D83537"/>
    <w:rsid w:val="00DA0FBA"/>
    <w:rsid w:val="00DA6FDE"/>
    <w:rsid w:val="00DD600A"/>
    <w:rsid w:val="00DE1ED4"/>
    <w:rsid w:val="00DE5EC5"/>
    <w:rsid w:val="00DE78DE"/>
    <w:rsid w:val="00DF587C"/>
    <w:rsid w:val="00E037BA"/>
    <w:rsid w:val="00E0700B"/>
    <w:rsid w:val="00E20E3B"/>
    <w:rsid w:val="00E336B9"/>
    <w:rsid w:val="00E41C2F"/>
    <w:rsid w:val="00E80627"/>
    <w:rsid w:val="00E905FB"/>
    <w:rsid w:val="00F26E20"/>
    <w:rsid w:val="00F36CAF"/>
    <w:rsid w:val="00F5279C"/>
    <w:rsid w:val="00F5287A"/>
    <w:rsid w:val="00F5541C"/>
    <w:rsid w:val="00F57A1F"/>
    <w:rsid w:val="00F64591"/>
    <w:rsid w:val="00F849BB"/>
    <w:rsid w:val="00F9036D"/>
    <w:rsid w:val="00FC14EE"/>
    <w:rsid w:val="00FC24A4"/>
    <w:rsid w:val="00FE5826"/>
    <w:rsid w:val="55CF2DF6"/>
    <w:rsid w:val="5DD16269"/>
    <w:rsid w:val="628404D4"/>
    <w:rsid w:val="72F5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BCBF6"/>
  <w15:docId w15:val="{B08089FA-5833-4559-A79A-811D201E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0ABD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kern w:val="2"/>
      <w:sz w:val="32"/>
    </w:rPr>
  </w:style>
  <w:style w:type="paragraph" w:styleId="1">
    <w:name w:val="heading 1"/>
    <w:basedOn w:val="a"/>
    <w:next w:val="a"/>
    <w:link w:val="10"/>
    <w:qFormat/>
    <w:rsid w:val="00D70ABD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仿宋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仿宋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D70ABD"/>
    <w:rPr>
      <w:rFonts w:ascii="Times New Roman" w:eastAsia="仿宋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B3700E6-CB72-4ABD-862F-5A38B8221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5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li.jiang</dc:creator>
  <cp:lastModifiedBy>Administrator</cp:lastModifiedBy>
  <cp:revision>97</cp:revision>
  <dcterms:created xsi:type="dcterms:W3CDTF">2022-01-10T06:29:00Z</dcterms:created>
  <dcterms:modified xsi:type="dcterms:W3CDTF">2022-02-12T10:10:00Z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543E0332ED304FB7BF9FD0618CA9A994</vt:lpwstr>
  </property>
</Properties>
</file>