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60C" w:rsidRDefault="001B6EB7">
      <w:pPr>
        <w:spacing w:beforeLines="50" w:before="156" w:afterLines="50" w:after="156" w:line="400" w:lineRule="exact"/>
        <w:jc w:val="center"/>
        <w:rPr>
          <w:rFonts w:ascii="宋体" w:hAnsi="宋体"/>
          <w:b/>
          <w:bCs/>
          <w:iCs/>
          <w:color w:val="FF0000"/>
          <w:sz w:val="28"/>
          <w:szCs w:val="24"/>
        </w:rPr>
      </w:pPr>
      <w:r>
        <w:rPr>
          <w:rFonts w:ascii="宋体" w:hAnsi="宋体" w:hint="eastAsia"/>
          <w:b/>
          <w:bCs/>
          <w:iCs/>
          <w:color w:val="FF0000"/>
          <w:sz w:val="28"/>
          <w:szCs w:val="24"/>
        </w:rPr>
        <w:t>广东原尚</w:t>
      </w:r>
      <w:r>
        <w:rPr>
          <w:rFonts w:ascii="宋体" w:hAnsi="宋体"/>
          <w:b/>
          <w:bCs/>
          <w:iCs/>
          <w:color w:val="FF0000"/>
          <w:sz w:val="28"/>
          <w:szCs w:val="24"/>
        </w:rPr>
        <w:t>物流股份有限公司</w:t>
      </w:r>
    </w:p>
    <w:p w:rsidR="00F0460C" w:rsidRDefault="001B6EB7">
      <w:pPr>
        <w:spacing w:beforeLines="50" w:before="156" w:afterLines="50" w:after="156" w:line="400" w:lineRule="exact"/>
        <w:jc w:val="center"/>
        <w:rPr>
          <w:rFonts w:ascii="宋体" w:hAnsi="宋体"/>
          <w:b/>
          <w:bCs/>
          <w:iCs/>
          <w:color w:val="FF0000"/>
          <w:sz w:val="28"/>
          <w:szCs w:val="24"/>
        </w:rPr>
      </w:pPr>
      <w:r>
        <w:rPr>
          <w:rFonts w:ascii="宋体" w:hAnsi="宋体" w:hint="eastAsia"/>
          <w:b/>
          <w:bCs/>
          <w:iCs/>
          <w:color w:val="FF0000"/>
          <w:sz w:val="28"/>
          <w:szCs w:val="24"/>
        </w:rPr>
        <w:t>投资者关系活动记录表</w:t>
      </w:r>
    </w:p>
    <w:p w:rsidR="00F0460C" w:rsidRDefault="001B6EB7">
      <w:pPr>
        <w:spacing w:line="400" w:lineRule="exact"/>
        <w:rPr>
          <w:rFonts w:ascii="宋体" w:hAnsi="宋体"/>
          <w:bCs/>
          <w:iCs/>
          <w:sz w:val="24"/>
          <w:szCs w:val="24"/>
        </w:rPr>
      </w:pPr>
      <w:r>
        <w:rPr>
          <w:rFonts w:ascii="宋体" w:hAnsi="宋体" w:hint="eastAsia"/>
          <w:bCs/>
          <w:iCs/>
          <w:sz w:val="24"/>
          <w:szCs w:val="24"/>
        </w:rPr>
        <w:t xml:space="preserve">                                              编号：GS</w:t>
      </w:r>
      <w:r>
        <w:rPr>
          <w:rFonts w:ascii="宋体" w:hAnsi="宋体"/>
          <w:bCs/>
          <w:iCs/>
          <w:sz w:val="24"/>
          <w:szCs w:val="24"/>
        </w:rPr>
        <w:t>L</w:t>
      </w:r>
      <w:r>
        <w:rPr>
          <w:rFonts w:ascii="宋体" w:hAnsi="宋体" w:hint="eastAsia"/>
          <w:bCs/>
          <w:iCs/>
          <w:sz w:val="24"/>
          <w:szCs w:val="24"/>
        </w:rPr>
        <w:t>20</w:t>
      </w:r>
      <w:r w:rsidR="0007764E">
        <w:rPr>
          <w:rFonts w:ascii="宋体" w:hAnsi="宋体"/>
          <w:bCs/>
          <w:iCs/>
          <w:sz w:val="24"/>
          <w:szCs w:val="24"/>
        </w:rPr>
        <w:t>2</w:t>
      </w:r>
      <w:r w:rsidR="002976E5">
        <w:rPr>
          <w:rFonts w:ascii="宋体" w:hAnsi="宋体"/>
          <w:bCs/>
          <w:iCs/>
          <w:sz w:val="24"/>
          <w:szCs w:val="24"/>
        </w:rPr>
        <w:t>2</w:t>
      </w:r>
      <w:r>
        <w:rPr>
          <w:rFonts w:ascii="宋体" w:hAnsi="宋体"/>
          <w:bCs/>
          <w:iCs/>
          <w:sz w:val="24"/>
          <w:szCs w:val="24"/>
        </w:rPr>
        <w:t>-00</w:t>
      </w:r>
      <w:r w:rsidR="00C4184D">
        <w:rPr>
          <w:rFonts w:ascii="宋体" w:hAnsi="宋体"/>
          <w:bCs/>
          <w:iCs/>
          <w:sz w:val="24"/>
          <w:szCs w:val="24"/>
        </w:rPr>
        <w:t>1</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6345"/>
      </w:tblGrid>
      <w:tr w:rsidR="00F0460C" w:rsidTr="00FE71B8">
        <w:trPr>
          <w:jc w:val="center"/>
        </w:trPr>
        <w:tc>
          <w:tcPr>
            <w:tcW w:w="1730" w:type="dxa"/>
            <w:shd w:val="clear" w:color="auto" w:fill="auto"/>
          </w:tcPr>
          <w:p w:rsidR="00F0460C" w:rsidRPr="00AF007A" w:rsidRDefault="001B6EB7">
            <w:pPr>
              <w:spacing w:line="480" w:lineRule="atLeast"/>
              <w:rPr>
                <w:rFonts w:ascii="宋体" w:hAnsi="宋体"/>
                <w:b/>
                <w:bCs/>
                <w:iCs/>
                <w:sz w:val="22"/>
                <w:szCs w:val="24"/>
              </w:rPr>
            </w:pPr>
            <w:r w:rsidRPr="00AF007A">
              <w:rPr>
                <w:rFonts w:ascii="宋体" w:hAnsi="宋体" w:hint="eastAsia"/>
                <w:b/>
                <w:bCs/>
                <w:iCs/>
                <w:sz w:val="22"/>
                <w:szCs w:val="24"/>
              </w:rPr>
              <w:t>投资者关系活动类别</w:t>
            </w:r>
          </w:p>
          <w:p w:rsidR="00F0460C" w:rsidRPr="00AF007A" w:rsidRDefault="00F0460C">
            <w:pPr>
              <w:spacing w:line="480" w:lineRule="atLeast"/>
              <w:rPr>
                <w:rFonts w:ascii="宋体" w:hAnsi="宋体"/>
                <w:b/>
                <w:bCs/>
                <w:iCs/>
                <w:sz w:val="22"/>
                <w:szCs w:val="24"/>
              </w:rPr>
            </w:pPr>
          </w:p>
        </w:tc>
        <w:tc>
          <w:tcPr>
            <w:tcW w:w="6345" w:type="dxa"/>
            <w:shd w:val="clear" w:color="auto" w:fill="auto"/>
          </w:tcPr>
          <w:p w:rsidR="00F0460C" w:rsidRPr="00C4184D" w:rsidRDefault="002976E5">
            <w:pPr>
              <w:spacing w:line="480" w:lineRule="atLeast"/>
              <w:rPr>
                <w:rFonts w:ascii="宋体" w:hAnsi="宋体"/>
                <w:bCs/>
                <w:iCs/>
                <w:szCs w:val="24"/>
              </w:rPr>
            </w:pPr>
            <w:r>
              <w:rPr>
                <w:rFonts w:ascii="宋体" w:hAnsi="宋体" w:hint="eastAsia"/>
                <w:bCs/>
                <w:iCs/>
                <w:szCs w:val="24"/>
              </w:rPr>
              <w:t>√</w:t>
            </w:r>
            <w:r w:rsidR="001B6EB7" w:rsidRPr="00C4184D">
              <w:rPr>
                <w:rFonts w:ascii="宋体" w:hAnsi="宋体" w:hint="eastAsia"/>
                <w:szCs w:val="24"/>
              </w:rPr>
              <w:t xml:space="preserve">特定对象调研        </w:t>
            </w:r>
            <w:r w:rsidR="001B6EB7" w:rsidRPr="00C4184D">
              <w:rPr>
                <w:rFonts w:ascii="宋体" w:hAnsi="宋体" w:hint="eastAsia"/>
                <w:bCs/>
                <w:iCs/>
                <w:szCs w:val="24"/>
              </w:rPr>
              <w:t>□</w:t>
            </w:r>
            <w:r w:rsidR="001B6EB7" w:rsidRPr="00C4184D">
              <w:rPr>
                <w:rFonts w:ascii="宋体" w:hAnsi="宋体" w:hint="eastAsia"/>
                <w:szCs w:val="24"/>
              </w:rPr>
              <w:t>分析师会议</w:t>
            </w:r>
          </w:p>
          <w:p w:rsidR="00F0460C" w:rsidRPr="00C4184D" w:rsidRDefault="001B6EB7">
            <w:pPr>
              <w:spacing w:line="480" w:lineRule="atLeast"/>
              <w:rPr>
                <w:rFonts w:ascii="宋体" w:hAnsi="宋体"/>
                <w:bCs/>
                <w:iCs/>
                <w:szCs w:val="24"/>
              </w:rPr>
            </w:pPr>
            <w:r w:rsidRPr="00C4184D">
              <w:rPr>
                <w:rFonts w:ascii="宋体" w:hAnsi="宋体" w:hint="eastAsia"/>
                <w:bCs/>
                <w:iCs/>
                <w:szCs w:val="24"/>
              </w:rPr>
              <w:t>□</w:t>
            </w:r>
            <w:r w:rsidRPr="00C4184D">
              <w:rPr>
                <w:rFonts w:ascii="宋体" w:hAnsi="宋体" w:hint="eastAsia"/>
                <w:szCs w:val="24"/>
              </w:rPr>
              <w:t xml:space="preserve">媒体采访            </w:t>
            </w:r>
            <w:r w:rsidR="002976E5" w:rsidRPr="00C4184D">
              <w:rPr>
                <w:rFonts w:ascii="宋体" w:hAnsi="宋体" w:hint="eastAsia"/>
                <w:bCs/>
                <w:iCs/>
                <w:szCs w:val="24"/>
              </w:rPr>
              <w:t>□</w:t>
            </w:r>
            <w:r w:rsidRPr="00C4184D">
              <w:rPr>
                <w:rFonts w:ascii="宋体" w:hAnsi="宋体" w:hint="eastAsia"/>
                <w:szCs w:val="24"/>
              </w:rPr>
              <w:t>业绩说明会</w:t>
            </w:r>
          </w:p>
          <w:p w:rsidR="00F0460C" w:rsidRPr="00C4184D" w:rsidRDefault="001B6EB7">
            <w:pPr>
              <w:spacing w:line="480" w:lineRule="atLeast"/>
              <w:rPr>
                <w:rFonts w:ascii="宋体" w:hAnsi="宋体"/>
                <w:bCs/>
                <w:iCs/>
                <w:szCs w:val="24"/>
              </w:rPr>
            </w:pPr>
            <w:r w:rsidRPr="00C4184D">
              <w:rPr>
                <w:rFonts w:ascii="宋体" w:hAnsi="宋体" w:hint="eastAsia"/>
                <w:bCs/>
                <w:iCs/>
                <w:szCs w:val="24"/>
              </w:rPr>
              <w:t>□</w:t>
            </w:r>
            <w:r w:rsidRPr="00C4184D">
              <w:rPr>
                <w:rFonts w:ascii="宋体" w:hAnsi="宋体" w:hint="eastAsia"/>
                <w:szCs w:val="24"/>
              </w:rPr>
              <w:t xml:space="preserve">新闻发布会          </w:t>
            </w:r>
            <w:r w:rsidRPr="00C4184D">
              <w:rPr>
                <w:rFonts w:ascii="宋体" w:hAnsi="宋体" w:hint="eastAsia"/>
                <w:bCs/>
                <w:iCs/>
                <w:szCs w:val="24"/>
              </w:rPr>
              <w:t>□</w:t>
            </w:r>
            <w:r w:rsidRPr="00C4184D">
              <w:rPr>
                <w:rFonts w:ascii="宋体" w:hAnsi="宋体" w:hint="eastAsia"/>
                <w:szCs w:val="24"/>
              </w:rPr>
              <w:t>路演活动</w:t>
            </w:r>
          </w:p>
          <w:p w:rsidR="00F0460C" w:rsidRPr="00C4184D" w:rsidRDefault="001B6EB7">
            <w:pPr>
              <w:tabs>
                <w:tab w:val="left" w:pos="3045"/>
                <w:tab w:val="center" w:pos="3199"/>
              </w:tabs>
              <w:spacing w:line="480" w:lineRule="atLeast"/>
              <w:rPr>
                <w:rFonts w:ascii="宋体" w:hAnsi="宋体"/>
                <w:bCs/>
                <w:iCs/>
                <w:szCs w:val="24"/>
              </w:rPr>
            </w:pPr>
            <w:r w:rsidRPr="00C4184D">
              <w:rPr>
                <w:rFonts w:ascii="宋体" w:hAnsi="宋体" w:hint="eastAsia"/>
                <w:bCs/>
                <w:iCs/>
                <w:szCs w:val="24"/>
              </w:rPr>
              <w:t>□</w:t>
            </w:r>
            <w:r w:rsidRPr="00C4184D">
              <w:rPr>
                <w:rFonts w:ascii="宋体" w:hAnsi="宋体" w:hint="eastAsia"/>
                <w:szCs w:val="24"/>
              </w:rPr>
              <w:t>现场参观</w:t>
            </w:r>
            <w:r w:rsidRPr="00C4184D">
              <w:rPr>
                <w:rFonts w:ascii="宋体" w:hAnsi="宋体"/>
                <w:bCs/>
                <w:iCs/>
                <w:szCs w:val="24"/>
              </w:rPr>
              <w:tab/>
            </w:r>
          </w:p>
          <w:p w:rsidR="00F0460C" w:rsidRDefault="001B6EB7">
            <w:pPr>
              <w:tabs>
                <w:tab w:val="center" w:pos="3199"/>
              </w:tabs>
              <w:spacing w:line="480" w:lineRule="atLeast"/>
              <w:rPr>
                <w:rFonts w:ascii="宋体" w:hAnsi="宋体"/>
                <w:bCs/>
                <w:iCs/>
                <w:sz w:val="24"/>
                <w:szCs w:val="24"/>
              </w:rPr>
            </w:pPr>
            <w:r w:rsidRPr="00C4184D">
              <w:rPr>
                <w:rFonts w:ascii="宋体" w:hAnsi="宋体" w:hint="eastAsia"/>
                <w:bCs/>
                <w:iCs/>
                <w:szCs w:val="24"/>
              </w:rPr>
              <w:t>□</w:t>
            </w:r>
            <w:r w:rsidRPr="00C4184D">
              <w:rPr>
                <w:rFonts w:ascii="宋体" w:hAnsi="宋体" w:hint="eastAsia"/>
                <w:szCs w:val="24"/>
              </w:rPr>
              <w:t>其他 （</w:t>
            </w:r>
            <w:proofErr w:type="gramStart"/>
            <w:r w:rsidRPr="00C4184D">
              <w:rPr>
                <w:rFonts w:ascii="宋体" w:hAnsi="宋体" w:hint="eastAsia"/>
                <w:szCs w:val="24"/>
                <w:u w:val="single"/>
              </w:rPr>
              <w:t>请文字</w:t>
            </w:r>
            <w:proofErr w:type="gramEnd"/>
            <w:r w:rsidRPr="00C4184D">
              <w:rPr>
                <w:rFonts w:ascii="宋体" w:hAnsi="宋体" w:hint="eastAsia"/>
                <w:szCs w:val="24"/>
                <w:u w:val="single"/>
              </w:rPr>
              <w:t>说明其他活动内容）</w:t>
            </w:r>
          </w:p>
        </w:tc>
      </w:tr>
      <w:tr w:rsidR="00F0460C" w:rsidTr="0007764E">
        <w:trPr>
          <w:jc w:val="center"/>
        </w:trPr>
        <w:tc>
          <w:tcPr>
            <w:tcW w:w="1730" w:type="dxa"/>
            <w:shd w:val="clear" w:color="auto" w:fill="auto"/>
          </w:tcPr>
          <w:p w:rsidR="00F0460C" w:rsidRPr="00AF007A" w:rsidRDefault="001B6EB7">
            <w:pPr>
              <w:spacing w:line="480" w:lineRule="atLeast"/>
              <w:rPr>
                <w:rFonts w:ascii="宋体" w:hAnsi="宋体"/>
                <w:b/>
                <w:bCs/>
                <w:iCs/>
                <w:sz w:val="22"/>
                <w:szCs w:val="24"/>
              </w:rPr>
            </w:pPr>
            <w:r w:rsidRPr="00AF007A">
              <w:rPr>
                <w:rFonts w:ascii="宋体" w:hAnsi="宋体" w:hint="eastAsia"/>
                <w:b/>
                <w:bCs/>
                <w:iCs/>
                <w:sz w:val="22"/>
                <w:szCs w:val="24"/>
              </w:rPr>
              <w:t>参与单位名称及人员姓名</w:t>
            </w:r>
          </w:p>
        </w:tc>
        <w:tc>
          <w:tcPr>
            <w:tcW w:w="6345" w:type="dxa"/>
            <w:shd w:val="clear" w:color="auto" w:fill="auto"/>
            <w:vAlign w:val="center"/>
          </w:tcPr>
          <w:p w:rsidR="00F0460C" w:rsidRDefault="002976E5" w:rsidP="002976E5">
            <w:pPr>
              <w:spacing w:line="480" w:lineRule="atLeast"/>
              <w:jc w:val="left"/>
              <w:rPr>
                <w:rFonts w:asciiTheme="minorEastAsia" w:eastAsiaTheme="minorEastAsia" w:hAnsiTheme="minorEastAsia"/>
              </w:rPr>
            </w:pPr>
            <w:r w:rsidRPr="00947DE7">
              <w:rPr>
                <w:rFonts w:ascii="宋体" w:hAnsi="宋体" w:hint="eastAsia"/>
                <w:sz w:val="24"/>
                <w:szCs w:val="24"/>
              </w:rPr>
              <w:t>长江证券</w:t>
            </w:r>
            <w:r>
              <w:rPr>
                <w:rFonts w:ascii="宋体" w:hAnsi="宋体" w:hint="eastAsia"/>
                <w:sz w:val="24"/>
                <w:szCs w:val="24"/>
              </w:rPr>
              <w:t>韩轶超、鲁斯嘉</w:t>
            </w:r>
          </w:p>
        </w:tc>
      </w:tr>
      <w:tr w:rsidR="00F0460C" w:rsidTr="0007764E">
        <w:trPr>
          <w:jc w:val="center"/>
        </w:trPr>
        <w:tc>
          <w:tcPr>
            <w:tcW w:w="1730" w:type="dxa"/>
            <w:shd w:val="clear" w:color="auto" w:fill="auto"/>
          </w:tcPr>
          <w:p w:rsidR="00F0460C" w:rsidRPr="00AF007A" w:rsidRDefault="001B6EB7">
            <w:pPr>
              <w:spacing w:line="480" w:lineRule="atLeast"/>
              <w:rPr>
                <w:rFonts w:ascii="宋体" w:hAnsi="宋体"/>
                <w:b/>
                <w:bCs/>
                <w:iCs/>
                <w:sz w:val="22"/>
                <w:szCs w:val="24"/>
              </w:rPr>
            </w:pPr>
            <w:r w:rsidRPr="00AF007A">
              <w:rPr>
                <w:rFonts w:ascii="宋体" w:hAnsi="宋体" w:hint="eastAsia"/>
                <w:b/>
                <w:bCs/>
                <w:iCs/>
                <w:sz w:val="22"/>
                <w:szCs w:val="24"/>
              </w:rPr>
              <w:t>时间</w:t>
            </w:r>
          </w:p>
        </w:tc>
        <w:tc>
          <w:tcPr>
            <w:tcW w:w="6345" w:type="dxa"/>
            <w:shd w:val="clear" w:color="auto" w:fill="auto"/>
            <w:vAlign w:val="center"/>
          </w:tcPr>
          <w:p w:rsidR="00F0460C" w:rsidRPr="002976E5" w:rsidRDefault="001B6EB7" w:rsidP="002976E5">
            <w:pPr>
              <w:spacing w:line="0" w:lineRule="atLeast"/>
              <w:jc w:val="left"/>
              <w:rPr>
                <w:rFonts w:ascii="宋体" w:hAnsi="宋体"/>
                <w:bCs/>
                <w:iCs/>
                <w:sz w:val="24"/>
                <w:szCs w:val="24"/>
              </w:rPr>
            </w:pPr>
            <w:r w:rsidRPr="002976E5">
              <w:rPr>
                <w:rFonts w:ascii="宋体" w:hAnsi="宋体" w:hint="eastAsia"/>
                <w:bCs/>
                <w:iCs/>
                <w:sz w:val="24"/>
                <w:szCs w:val="24"/>
              </w:rPr>
              <w:t>20</w:t>
            </w:r>
            <w:r w:rsidR="00B469A1" w:rsidRPr="002976E5">
              <w:rPr>
                <w:rFonts w:ascii="宋体" w:hAnsi="宋体"/>
                <w:bCs/>
                <w:iCs/>
                <w:sz w:val="24"/>
                <w:szCs w:val="24"/>
              </w:rPr>
              <w:t>2</w:t>
            </w:r>
            <w:r w:rsidR="002976E5" w:rsidRPr="002976E5">
              <w:rPr>
                <w:rFonts w:ascii="宋体" w:hAnsi="宋体"/>
                <w:bCs/>
                <w:iCs/>
                <w:sz w:val="24"/>
                <w:szCs w:val="24"/>
              </w:rPr>
              <w:t>2</w:t>
            </w:r>
            <w:r w:rsidRPr="002976E5">
              <w:rPr>
                <w:rFonts w:ascii="宋体" w:hAnsi="宋体" w:hint="eastAsia"/>
                <w:bCs/>
                <w:iCs/>
                <w:sz w:val="24"/>
                <w:szCs w:val="24"/>
              </w:rPr>
              <w:t>年</w:t>
            </w:r>
            <w:r w:rsidR="002976E5" w:rsidRPr="002976E5">
              <w:rPr>
                <w:rFonts w:ascii="宋体" w:hAnsi="宋体"/>
                <w:bCs/>
                <w:iCs/>
                <w:sz w:val="24"/>
                <w:szCs w:val="24"/>
              </w:rPr>
              <w:t>3</w:t>
            </w:r>
            <w:r w:rsidRPr="002976E5">
              <w:rPr>
                <w:rFonts w:ascii="宋体" w:hAnsi="宋体" w:hint="eastAsia"/>
                <w:bCs/>
                <w:iCs/>
                <w:sz w:val="24"/>
                <w:szCs w:val="24"/>
              </w:rPr>
              <w:t>月</w:t>
            </w:r>
            <w:r w:rsidR="002976E5" w:rsidRPr="002976E5">
              <w:rPr>
                <w:rFonts w:ascii="宋体" w:hAnsi="宋体"/>
                <w:bCs/>
                <w:iCs/>
                <w:sz w:val="24"/>
                <w:szCs w:val="24"/>
              </w:rPr>
              <w:t>21</w:t>
            </w:r>
            <w:r w:rsidRPr="002976E5">
              <w:rPr>
                <w:rFonts w:ascii="宋体" w:hAnsi="宋体" w:hint="eastAsia"/>
                <w:bCs/>
                <w:iCs/>
                <w:sz w:val="24"/>
                <w:szCs w:val="24"/>
              </w:rPr>
              <w:t>日</w:t>
            </w:r>
            <w:r w:rsidR="00C4184D" w:rsidRPr="002976E5">
              <w:rPr>
                <w:rFonts w:ascii="宋体" w:hAnsi="宋体" w:hint="eastAsia"/>
                <w:bCs/>
                <w:iCs/>
                <w:sz w:val="24"/>
                <w:szCs w:val="24"/>
              </w:rPr>
              <w:t>上</w:t>
            </w:r>
            <w:r w:rsidRPr="002976E5">
              <w:rPr>
                <w:rFonts w:ascii="宋体" w:hAnsi="宋体"/>
                <w:bCs/>
                <w:iCs/>
                <w:sz w:val="24"/>
                <w:szCs w:val="24"/>
              </w:rPr>
              <w:t>午</w:t>
            </w:r>
            <w:r w:rsidR="00C4184D" w:rsidRPr="002976E5">
              <w:rPr>
                <w:rFonts w:ascii="宋体" w:hAnsi="宋体"/>
                <w:bCs/>
                <w:iCs/>
                <w:sz w:val="24"/>
                <w:szCs w:val="24"/>
              </w:rPr>
              <w:t>10</w:t>
            </w:r>
            <w:r w:rsidR="00C4184D" w:rsidRPr="002976E5">
              <w:rPr>
                <w:rFonts w:ascii="宋体" w:hAnsi="宋体" w:hint="eastAsia"/>
                <w:bCs/>
                <w:iCs/>
                <w:sz w:val="24"/>
                <w:szCs w:val="24"/>
              </w:rPr>
              <w:t>:</w:t>
            </w:r>
            <w:r w:rsidR="00C4184D" w:rsidRPr="002976E5">
              <w:rPr>
                <w:rFonts w:ascii="宋体" w:hAnsi="宋体"/>
                <w:bCs/>
                <w:iCs/>
                <w:sz w:val="24"/>
                <w:szCs w:val="24"/>
              </w:rPr>
              <w:t>00</w:t>
            </w:r>
            <w:r w:rsidR="0007764E" w:rsidRPr="002976E5">
              <w:rPr>
                <w:rFonts w:ascii="宋体" w:hAnsi="宋体" w:hint="eastAsia"/>
                <w:bCs/>
                <w:iCs/>
                <w:sz w:val="24"/>
                <w:szCs w:val="24"/>
              </w:rPr>
              <w:t>-</w:t>
            </w:r>
            <w:r w:rsidR="0007764E" w:rsidRPr="002976E5">
              <w:rPr>
                <w:rFonts w:ascii="宋体" w:hAnsi="宋体"/>
                <w:bCs/>
                <w:iCs/>
                <w:sz w:val="24"/>
                <w:szCs w:val="24"/>
              </w:rPr>
              <w:t>11</w:t>
            </w:r>
            <w:r w:rsidR="0007764E" w:rsidRPr="002976E5">
              <w:rPr>
                <w:rFonts w:ascii="宋体" w:hAnsi="宋体" w:hint="eastAsia"/>
                <w:bCs/>
                <w:iCs/>
                <w:sz w:val="24"/>
                <w:szCs w:val="24"/>
              </w:rPr>
              <w:t>:0</w:t>
            </w:r>
            <w:r w:rsidR="0007764E" w:rsidRPr="002976E5">
              <w:rPr>
                <w:rFonts w:ascii="宋体" w:hAnsi="宋体"/>
                <w:bCs/>
                <w:iCs/>
                <w:sz w:val="24"/>
                <w:szCs w:val="24"/>
              </w:rPr>
              <w:t>0</w:t>
            </w:r>
          </w:p>
        </w:tc>
      </w:tr>
      <w:tr w:rsidR="00F0460C" w:rsidTr="0007764E">
        <w:trPr>
          <w:jc w:val="center"/>
        </w:trPr>
        <w:tc>
          <w:tcPr>
            <w:tcW w:w="1730" w:type="dxa"/>
            <w:shd w:val="clear" w:color="auto" w:fill="auto"/>
          </w:tcPr>
          <w:p w:rsidR="00F0460C" w:rsidRPr="00AF007A" w:rsidRDefault="001B6EB7">
            <w:pPr>
              <w:spacing w:line="480" w:lineRule="atLeast"/>
              <w:rPr>
                <w:rFonts w:ascii="宋体" w:hAnsi="宋体"/>
                <w:b/>
                <w:bCs/>
                <w:iCs/>
                <w:sz w:val="22"/>
                <w:szCs w:val="24"/>
              </w:rPr>
            </w:pPr>
            <w:r w:rsidRPr="00AF007A">
              <w:rPr>
                <w:rFonts w:ascii="宋体" w:hAnsi="宋体" w:hint="eastAsia"/>
                <w:b/>
                <w:bCs/>
                <w:iCs/>
                <w:sz w:val="22"/>
                <w:szCs w:val="24"/>
              </w:rPr>
              <w:t>地点</w:t>
            </w:r>
          </w:p>
        </w:tc>
        <w:tc>
          <w:tcPr>
            <w:tcW w:w="6345" w:type="dxa"/>
            <w:shd w:val="clear" w:color="auto" w:fill="auto"/>
            <w:vAlign w:val="center"/>
          </w:tcPr>
          <w:p w:rsidR="00F0460C" w:rsidRPr="002976E5" w:rsidRDefault="002976E5" w:rsidP="0007764E">
            <w:pPr>
              <w:spacing w:line="0" w:lineRule="atLeast"/>
              <w:jc w:val="left"/>
              <w:rPr>
                <w:rFonts w:ascii="宋体" w:hAnsi="宋体"/>
                <w:bCs/>
                <w:iCs/>
                <w:sz w:val="24"/>
                <w:szCs w:val="24"/>
              </w:rPr>
            </w:pPr>
            <w:r w:rsidRPr="002976E5">
              <w:rPr>
                <w:rFonts w:hint="eastAsia"/>
                <w:sz w:val="24"/>
              </w:rPr>
              <w:t>广东</w:t>
            </w:r>
            <w:r w:rsidRPr="002976E5">
              <w:rPr>
                <w:sz w:val="24"/>
              </w:rPr>
              <w:t>原尚物流股份有限公司</w:t>
            </w:r>
          </w:p>
        </w:tc>
      </w:tr>
      <w:tr w:rsidR="00F0460C" w:rsidTr="00FE71B8">
        <w:trPr>
          <w:jc w:val="center"/>
        </w:trPr>
        <w:tc>
          <w:tcPr>
            <w:tcW w:w="1730" w:type="dxa"/>
            <w:shd w:val="clear" w:color="auto" w:fill="auto"/>
          </w:tcPr>
          <w:p w:rsidR="00F0460C" w:rsidRPr="00AF007A" w:rsidRDefault="001B6EB7">
            <w:pPr>
              <w:spacing w:line="480" w:lineRule="atLeast"/>
              <w:rPr>
                <w:rFonts w:ascii="宋体" w:hAnsi="宋体"/>
                <w:b/>
                <w:bCs/>
                <w:iCs/>
                <w:sz w:val="22"/>
                <w:szCs w:val="24"/>
              </w:rPr>
            </w:pPr>
            <w:r w:rsidRPr="00AF007A">
              <w:rPr>
                <w:rFonts w:ascii="宋体" w:hAnsi="宋体" w:hint="eastAsia"/>
                <w:b/>
                <w:bCs/>
                <w:iCs/>
                <w:sz w:val="22"/>
                <w:szCs w:val="24"/>
              </w:rPr>
              <w:t>上市公司接待人员姓名</w:t>
            </w:r>
          </w:p>
        </w:tc>
        <w:tc>
          <w:tcPr>
            <w:tcW w:w="6345" w:type="dxa"/>
            <w:shd w:val="clear" w:color="auto" w:fill="auto"/>
          </w:tcPr>
          <w:p w:rsidR="0007764E" w:rsidRPr="002976E5" w:rsidRDefault="0007764E" w:rsidP="002976E5">
            <w:pPr>
              <w:spacing w:line="360" w:lineRule="auto"/>
              <w:rPr>
                <w:rFonts w:ascii="宋体" w:hAnsi="宋体"/>
                <w:bCs/>
                <w:iCs/>
                <w:sz w:val="24"/>
                <w:szCs w:val="24"/>
              </w:rPr>
            </w:pPr>
            <w:r w:rsidRPr="002976E5">
              <w:rPr>
                <w:rFonts w:ascii="宋体" w:hAnsi="宋体" w:hint="eastAsia"/>
                <w:bCs/>
                <w:iCs/>
                <w:sz w:val="24"/>
                <w:szCs w:val="24"/>
              </w:rPr>
              <w:t>董事、</w:t>
            </w:r>
            <w:r w:rsidR="001B6EB7" w:rsidRPr="002976E5">
              <w:rPr>
                <w:rFonts w:ascii="宋体" w:hAnsi="宋体" w:hint="eastAsia"/>
                <w:bCs/>
                <w:iCs/>
                <w:sz w:val="24"/>
                <w:szCs w:val="24"/>
              </w:rPr>
              <w:t>副总</w:t>
            </w:r>
            <w:r w:rsidR="001B6EB7" w:rsidRPr="002976E5">
              <w:rPr>
                <w:rFonts w:ascii="宋体" w:hAnsi="宋体"/>
                <w:bCs/>
                <w:iCs/>
                <w:sz w:val="24"/>
                <w:szCs w:val="24"/>
              </w:rPr>
              <w:t>、</w:t>
            </w:r>
            <w:proofErr w:type="gramStart"/>
            <w:r w:rsidR="001B6EB7" w:rsidRPr="002976E5">
              <w:rPr>
                <w:rFonts w:ascii="宋体" w:hAnsi="宋体" w:hint="eastAsia"/>
                <w:bCs/>
                <w:iCs/>
                <w:sz w:val="24"/>
                <w:szCs w:val="24"/>
              </w:rPr>
              <w:t>董秘兼</w:t>
            </w:r>
            <w:proofErr w:type="gramEnd"/>
            <w:r w:rsidR="001B6EB7" w:rsidRPr="002976E5">
              <w:rPr>
                <w:rFonts w:ascii="宋体" w:hAnsi="宋体"/>
                <w:bCs/>
                <w:iCs/>
                <w:sz w:val="24"/>
                <w:szCs w:val="24"/>
              </w:rPr>
              <w:t>财务总监</w:t>
            </w:r>
            <w:r w:rsidR="002976E5" w:rsidRPr="002976E5">
              <w:rPr>
                <w:rFonts w:ascii="宋体" w:hAnsi="宋体" w:hint="eastAsia"/>
                <w:bCs/>
                <w:iCs/>
                <w:sz w:val="24"/>
                <w:szCs w:val="24"/>
              </w:rPr>
              <w:t xml:space="preserve"> </w:t>
            </w:r>
            <w:r w:rsidR="001B6EB7" w:rsidRPr="002976E5">
              <w:rPr>
                <w:rFonts w:ascii="宋体" w:hAnsi="宋体" w:hint="eastAsia"/>
                <w:bCs/>
                <w:iCs/>
                <w:sz w:val="24"/>
                <w:szCs w:val="24"/>
              </w:rPr>
              <w:t>李</w:t>
            </w:r>
            <w:r w:rsidR="002976E5" w:rsidRPr="002976E5">
              <w:rPr>
                <w:rFonts w:ascii="宋体" w:hAnsi="宋体" w:hint="eastAsia"/>
                <w:bCs/>
                <w:iCs/>
                <w:sz w:val="24"/>
                <w:szCs w:val="24"/>
              </w:rPr>
              <w:t xml:space="preserve"> </w:t>
            </w:r>
            <w:r w:rsidR="001B6EB7" w:rsidRPr="002976E5">
              <w:rPr>
                <w:rFonts w:ascii="宋体" w:hAnsi="宋体" w:hint="eastAsia"/>
                <w:bCs/>
                <w:iCs/>
                <w:sz w:val="24"/>
                <w:szCs w:val="24"/>
              </w:rPr>
              <w:t>运；</w:t>
            </w:r>
          </w:p>
          <w:p w:rsidR="00F0460C" w:rsidRPr="005E245B" w:rsidRDefault="001B6EB7" w:rsidP="002976E5">
            <w:pPr>
              <w:spacing w:line="360" w:lineRule="auto"/>
              <w:rPr>
                <w:rFonts w:ascii="宋体" w:hAnsi="宋体" w:hint="eastAsia"/>
                <w:bCs/>
                <w:iCs/>
                <w:szCs w:val="24"/>
              </w:rPr>
            </w:pPr>
            <w:r w:rsidRPr="002976E5">
              <w:rPr>
                <w:rFonts w:ascii="宋体" w:hAnsi="宋体" w:hint="eastAsia"/>
                <w:bCs/>
                <w:iCs/>
                <w:sz w:val="24"/>
                <w:szCs w:val="24"/>
              </w:rPr>
              <w:t>证券事务代表</w:t>
            </w:r>
            <w:r w:rsidR="002976E5" w:rsidRPr="002976E5">
              <w:rPr>
                <w:rFonts w:ascii="宋体" w:hAnsi="宋体" w:hint="eastAsia"/>
                <w:bCs/>
                <w:iCs/>
                <w:sz w:val="24"/>
                <w:szCs w:val="24"/>
              </w:rPr>
              <w:t xml:space="preserve"> </w:t>
            </w:r>
            <w:r w:rsidR="002976E5" w:rsidRPr="002976E5">
              <w:rPr>
                <w:rFonts w:ascii="宋体" w:hAnsi="宋体"/>
                <w:bCs/>
                <w:iCs/>
                <w:sz w:val="24"/>
                <w:szCs w:val="24"/>
              </w:rPr>
              <w:t xml:space="preserve"> </w:t>
            </w:r>
            <w:r w:rsidRPr="002976E5">
              <w:rPr>
                <w:rFonts w:ascii="宋体" w:hAnsi="宋体"/>
                <w:bCs/>
                <w:iCs/>
                <w:sz w:val="24"/>
                <w:szCs w:val="24"/>
              </w:rPr>
              <w:t>钟情思</w:t>
            </w:r>
          </w:p>
        </w:tc>
      </w:tr>
      <w:tr w:rsidR="00F0460C" w:rsidTr="00FE71B8">
        <w:trPr>
          <w:trHeight w:val="1757"/>
          <w:jc w:val="center"/>
        </w:trPr>
        <w:tc>
          <w:tcPr>
            <w:tcW w:w="1730" w:type="dxa"/>
            <w:shd w:val="clear" w:color="auto" w:fill="auto"/>
            <w:vAlign w:val="center"/>
          </w:tcPr>
          <w:p w:rsidR="00F0460C" w:rsidRPr="00521654" w:rsidRDefault="001B6EB7" w:rsidP="00521654">
            <w:pPr>
              <w:rPr>
                <w:rFonts w:ascii="宋体" w:hAnsi="宋体"/>
                <w:bCs/>
                <w:iCs/>
                <w:szCs w:val="24"/>
              </w:rPr>
            </w:pPr>
            <w:r w:rsidRPr="00521654">
              <w:rPr>
                <w:rFonts w:ascii="宋体" w:hAnsi="宋体" w:hint="eastAsia"/>
                <w:bCs/>
                <w:iCs/>
                <w:szCs w:val="24"/>
              </w:rPr>
              <w:t>投资者关系活动主要内容介绍</w:t>
            </w:r>
          </w:p>
          <w:p w:rsidR="00F0460C" w:rsidRPr="00521654" w:rsidRDefault="00F0460C" w:rsidP="00521654">
            <w:pPr>
              <w:rPr>
                <w:rFonts w:ascii="宋体" w:hAnsi="宋体"/>
                <w:bCs/>
                <w:iCs/>
                <w:szCs w:val="24"/>
              </w:rPr>
            </w:pPr>
          </w:p>
        </w:tc>
        <w:tc>
          <w:tcPr>
            <w:tcW w:w="6345" w:type="dxa"/>
            <w:shd w:val="clear" w:color="auto" w:fill="auto"/>
          </w:tcPr>
          <w:p w:rsidR="002976E5" w:rsidRPr="002976E5" w:rsidRDefault="002976E5" w:rsidP="002976E5">
            <w:pPr>
              <w:spacing w:line="360" w:lineRule="auto"/>
              <w:ind w:firstLineChars="200" w:firstLine="422"/>
              <w:rPr>
                <w:b/>
                <w:szCs w:val="24"/>
              </w:rPr>
            </w:pPr>
            <w:r w:rsidRPr="002976E5">
              <w:rPr>
                <w:b/>
              </w:rPr>
              <w:t>问题</w:t>
            </w:r>
            <w:r w:rsidRPr="002976E5">
              <w:rPr>
                <w:b/>
              </w:rPr>
              <w:t>1</w:t>
            </w:r>
            <w:r w:rsidRPr="002976E5">
              <w:rPr>
                <w:b/>
              </w:rPr>
              <w:t>、</w:t>
            </w:r>
            <w:r w:rsidRPr="002976E5">
              <w:rPr>
                <w:b/>
                <w:szCs w:val="24"/>
              </w:rPr>
              <w:t>公司</w:t>
            </w:r>
            <w:r w:rsidRPr="002976E5">
              <w:rPr>
                <w:b/>
                <w:szCs w:val="24"/>
              </w:rPr>
              <w:t>2021</w:t>
            </w:r>
            <w:r w:rsidRPr="002976E5">
              <w:rPr>
                <w:b/>
                <w:szCs w:val="24"/>
              </w:rPr>
              <w:t>年度的业绩增长情况？公司如何看待传统汽车行业和新能源汽车行业发展对公司的影响？</w:t>
            </w:r>
            <w:r w:rsidRPr="002976E5">
              <w:rPr>
                <w:b/>
                <w:szCs w:val="24"/>
              </w:rPr>
              <w:t xml:space="preserve"> </w:t>
            </w:r>
          </w:p>
          <w:p w:rsidR="002976E5" w:rsidRPr="002976E5" w:rsidRDefault="002976E5" w:rsidP="002976E5">
            <w:pPr>
              <w:shd w:val="clear" w:color="auto" w:fill="FFFFFF"/>
              <w:spacing w:line="360" w:lineRule="auto"/>
              <w:ind w:firstLineChars="200" w:firstLine="420"/>
              <w:rPr>
                <w:szCs w:val="24"/>
              </w:rPr>
            </w:pPr>
            <w:r w:rsidRPr="002976E5">
              <w:rPr>
                <w:szCs w:val="24"/>
              </w:rPr>
              <w:t>回复</w:t>
            </w:r>
            <w:r w:rsidRPr="002976E5">
              <w:rPr>
                <w:rFonts w:hint="eastAsia"/>
                <w:szCs w:val="24"/>
              </w:rPr>
              <w:t>：</w:t>
            </w:r>
            <w:r w:rsidRPr="002976E5">
              <w:rPr>
                <w:szCs w:val="24"/>
              </w:rPr>
              <w:t>2021</w:t>
            </w:r>
            <w:r w:rsidRPr="002976E5">
              <w:rPr>
                <w:szCs w:val="24"/>
              </w:rPr>
              <w:t>年度业绩方面，公司</w:t>
            </w:r>
            <w:r w:rsidRPr="002976E5">
              <w:rPr>
                <w:szCs w:val="24"/>
              </w:rPr>
              <w:t>2021</w:t>
            </w:r>
            <w:r w:rsidRPr="002976E5">
              <w:rPr>
                <w:szCs w:val="24"/>
              </w:rPr>
              <w:t>年度营业收入为</w:t>
            </w:r>
            <w:r w:rsidRPr="002976E5">
              <w:rPr>
                <w:szCs w:val="24"/>
              </w:rPr>
              <w:t>49,017.75</w:t>
            </w:r>
            <w:r w:rsidRPr="002976E5">
              <w:rPr>
                <w:szCs w:val="24"/>
              </w:rPr>
              <w:t>万元，同比增长</w:t>
            </w:r>
            <w:r w:rsidRPr="002976E5">
              <w:rPr>
                <w:szCs w:val="24"/>
              </w:rPr>
              <w:t>6.53%</w:t>
            </w:r>
            <w:r w:rsidRPr="002976E5">
              <w:rPr>
                <w:szCs w:val="24"/>
              </w:rPr>
              <w:t>。其中，公司汽车零部件物流业务收入为</w:t>
            </w:r>
            <w:r w:rsidRPr="002976E5">
              <w:rPr>
                <w:szCs w:val="24"/>
              </w:rPr>
              <w:t>39,588.72</w:t>
            </w:r>
            <w:r w:rsidRPr="002976E5">
              <w:rPr>
                <w:szCs w:val="24"/>
              </w:rPr>
              <w:t>万元，同比下降</w:t>
            </w:r>
            <w:r w:rsidRPr="002976E5">
              <w:rPr>
                <w:szCs w:val="24"/>
              </w:rPr>
              <w:t>1.76%</w:t>
            </w:r>
            <w:r w:rsidRPr="002976E5">
              <w:rPr>
                <w:szCs w:val="24"/>
              </w:rPr>
              <w:t>；非汽车零部件物流业务收入为</w:t>
            </w:r>
            <w:r w:rsidRPr="002976E5">
              <w:rPr>
                <w:szCs w:val="24"/>
              </w:rPr>
              <w:t>9,429.03</w:t>
            </w:r>
            <w:r w:rsidRPr="002976E5">
              <w:rPr>
                <w:szCs w:val="24"/>
              </w:rPr>
              <w:t>万元，同比增长</w:t>
            </w:r>
            <w:r w:rsidRPr="002976E5">
              <w:rPr>
                <w:szCs w:val="24"/>
              </w:rPr>
              <w:t>69.39%</w:t>
            </w:r>
            <w:r w:rsidRPr="002976E5">
              <w:rPr>
                <w:szCs w:val="24"/>
              </w:rPr>
              <w:t>。</w:t>
            </w:r>
            <w:r w:rsidRPr="002976E5">
              <w:rPr>
                <w:szCs w:val="24"/>
              </w:rPr>
              <w:t xml:space="preserve"> </w:t>
            </w:r>
          </w:p>
          <w:p w:rsidR="002976E5" w:rsidRPr="002976E5" w:rsidRDefault="002976E5" w:rsidP="002976E5">
            <w:pPr>
              <w:spacing w:line="360" w:lineRule="auto"/>
              <w:ind w:firstLineChars="200" w:firstLine="420"/>
              <w:rPr>
                <w:szCs w:val="21"/>
              </w:rPr>
            </w:pPr>
            <w:r w:rsidRPr="002976E5">
              <w:rPr>
                <w:szCs w:val="21"/>
              </w:rPr>
              <w:t>公司是专业的汽车零部件供应链物流企业，主要为汽车整机厂及其供应商提供零部件干线运输、配送、仓储、品质检验、流通加工以及包装等全方位、一体化的综合物流服务。新能源汽车物流业务方面，公司</w:t>
            </w:r>
            <w:proofErr w:type="gramStart"/>
            <w:r w:rsidRPr="002976E5">
              <w:rPr>
                <w:szCs w:val="21"/>
              </w:rPr>
              <w:t>与蔚来</w:t>
            </w:r>
            <w:proofErr w:type="gramEnd"/>
            <w:r w:rsidRPr="002976E5">
              <w:rPr>
                <w:szCs w:val="21"/>
              </w:rPr>
              <w:t>汽车达成合作并为其提供物流服务；此外，公司服务的主要汽车品牌均有生产新能源车型。</w:t>
            </w:r>
          </w:p>
          <w:p w:rsidR="002976E5" w:rsidRPr="002976E5" w:rsidRDefault="002976E5" w:rsidP="002976E5">
            <w:pPr>
              <w:shd w:val="clear" w:color="auto" w:fill="FFFFFF"/>
              <w:spacing w:line="360" w:lineRule="auto"/>
              <w:ind w:firstLineChars="200" w:firstLine="420"/>
              <w:rPr>
                <w:rFonts w:hint="eastAsia"/>
                <w:szCs w:val="24"/>
              </w:rPr>
            </w:pPr>
            <w:r w:rsidRPr="002976E5">
              <w:rPr>
                <w:szCs w:val="24"/>
              </w:rPr>
              <w:t>传统汽车行业及新能源汽车行业发展方面，公司认为目前市场处于传统汽车行业与新能源汽车行业并行发展的局面，公司会在目前的业务基础上继续深耕汽车零部件物流，并同时留意新能源汽车</w:t>
            </w:r>
            <w:r w:rsidRPr="002976E5">
              <w:rPr>
                <w:szCs w:val="24"/>
              </w:rPr>
              <w:lastRenderedPageBreak/>
              <w:t>行业的业务机会。</w:t>
            </w:r>
          </w:p>
          <w:p w:rsidR="002976E5" w:rsidRPr="002976E5" w:rsidRDefault="002976E5" w:rsidP="002976E5">
            <w:pPr>
              <w:spacing w:line="360" w:lineRule="auto"/>
              <w:ind w:firstLineChars="200" w:firstLine="422"/>
              <w:rPr>
                <w:b/>
              </w:rPr>
            </w:pPr>
            <w:r w:rsidRPr="002976E5">
              <w:rPr>
                <w:b/>
              </w:rPr>
              <w:t>问题</w:t>
            </w:r>
            <w:r w:rsidRPr="002976E5">
              <w:rPr>
                <w:b/>
              </w:rPr>
              <w:t>2</w:t>
            </w:r>
            <w:r w:rsidRPr="002976E5">
              <w:rPr>
                <w:b/>
              </w:rPr>
              <w:t>、目前全球汽车芯片供给恢复进度？近期广深疫情对公司业务影响情况？</w:t>
            </w:r>
          </w:p>
          <w:p w:rsidR="002976E5" w:rsidRPr="002976E5" w:rsidRDefault="002976E5" w:rsidP="002976E5">
            <w:pPr>
              <w:spacing w:line="360" w:lineRule="auto"/>
              <w:ind w:firstLineChars="200" w:firstLine="420"/>
            </w:pPr>
            <w:r w:rsidRPr="002976E5">
              <w:t>回复</w:t>
            </w:r>
            <w:r w:rsidRPr="002976E5">
              <w:rPr>
                <w:rFonts w:hint="eastAsia"/>
              </w:rPr>
              <w:t>：</w:t>
            </w:r>
            <w:r w:rsidRPr="002976E5">
              <w:t>中国市场汽车芯片供应短缺情况虽然已在逐步缓解，但相对整车和零部件企业的需求和排</w:t>
            </w:r>
            <w:proofErr w:type="gramStart"/>
            <w:r w:rsidRPr="002976E5">
              <w:t>产计划</w:t>
            </w:r>
            <w:proofErr w:type="gramEnd"/>
            <w:r w:rsidRPr="002976E5">
              <w:t>来看，目前仍然还有一定的缺口。在全球市场层面，随着汽车电动化、智能化、网联化发展，汽车芯片市场需求将不断增长，</w:t>
            </w:r>
            <w:r w:rsidRPr="002976E5">
              <w:t>2022</w:t>
            </w:r>
            <w:r w:rsidRPr="002976E5">
              <w:t>年全球汽车芯片依然会保持紧缺状态，只是由大规模</w:t>
            </w:r>
            <w:proofErr w:type="gramStart"/>
            <w:r w:rsidRPr="002976E5">
              <w:t>全面缺芯演变</w:t>
            </w:r>
            <w:proofErr w:type="gramEnd"/>
            <w:r w:rsidRPr="002976E5">
              <w:t>为了结构性缺芯，大大小小的汽车制造商仍然受到不同程度的</w:t>
            </w:r>
            <w:proofErr w:type="gramStart"/>
            <w:r w:rsidRPr="002976E5">
              <w:t>缺芯带来</w:t>
            </w:r>
            <w:proofErr w:type="gramEnd"/>
            <w:r w:rsidRPr="002976E5">
              <w:t>的影响。</w:t>
            </w:r>
          </w:p>
          <w:p w:rsidR="002976E5" w:rsidRPr="002976E5" w:rsidRDefault="002976E5" w:rsidP="002976E5">
            <w:pPr>
              <w:spacing w:line="360" w:lineRule="auto"/>
              <w:ind w:firstLineChars="200" w:firstLine="420"/>
            </w:pPr>
            <w:r w:rsidRPr="002976E5">
              <w:t>当前，整个车市仍受到疫情波动、汽车芯片供应不足等不利因素影响，对此，公司主要客户已不断强化芯片供应统筹协调工作，尽力缓解芯片供应紧张局面，降低对产量的影响。</w:t>
            </w:r>
          </w:p>
          <w:p w:rsidR="002976E5" w:rsidRPr="002976E5" w:rsidRDefault="002976E5" w:rsidP="002976E5">
            <w:pPr>
              <w:spacing w:line="360" w:lineRule="auto"/>
            </w:pPr>
            <w:r w:rsidRPr="002976E5">
              <w:t xml:space="preserve">    </w:t>
            </w:r>
            <w:r w:rsidRPr="002976E5">
              <w:t>近期广东疫情短期内对汽车主机厂的生产造成了一定困难</w:t>
            </w:r>
            <w:r w:rsidRPr="002976E5">
              <w:rPr>
                <w:rFonts w:hint="eastAsia"/>
              </w:rPr>
              <w:t>；</w:t>
            </w:r>
            <w:r w:rsidRPr="002976E5">
              <w:t>目前，随着深圳</w:t>
            </w:r>
            <w:r w:rsidRPr="002976E5">
              <w:rPr>
                <w:rFonts w:hint="eastAsia"/>
              </w:rPr>
              <w:t>及</w:t>
            </w:r>
            <w:r w:rsidRPr="002976E5">
              <w:t>东莞等地区疫情的缓解，后续汽车主机厂将通过调整生产计划等措施缓解相关影响。</w:t>
            </w:r>
          </w:p>
          <w:p w:rsidR="002976E5" w:rsidRPr="002976E5" w:rsidRDefault="002976E5" w:rsidP="002976E5">
            <w:pPr>
              <w:spacing w:line="360" w:lineRule="auto"/>
              <w:ind w:firstLineChars="200" w:firstLine="422"/>
              <w:rPr>
                <w:b/>
              </w:rPr>
            </w:pPr>
            <w:r w:rsidRPr="002976E5">
              <w:rPr>
                <w:b/>
              </w:rPr>
              <w:t>问题</w:t>
            </w:r>
            <w:r w:rsidRPr="002976E5">
              <w:rPr>
                <w:b/>
              </w:rPr>
              <w:t>3</w:t>
            </w:r>
            <w:r w:rsidRPr="002976E5">
              <w:rPr>
                <w:b/>
              </w:rPr>
              <w:t>、请简要介绍下公司深度参与的增城</w:t>
            </w:r>
            <w:r w:rsidRPr="002976E5">
              <w:rPr>
                <w:b/>
              </w:rPr>
              <w:t>PDC</w:t>
            </w:r>
            <w:r w:rsidRPr="002976E5">
              <w:rPr>
                <w:b/>
              </w:rPr>
              <w:t>项目运作模式？</w:t>
            </w:r>
          </w:p>
          <w:p w:rsidR="002976E5" w:rsidRPr="002976E5" w:rsidRDefault="002976E5" w:rsidP="002976E5">
            <w:pPr>
              <w:spacing w:line="360" w:lineRule="auto"/>
              <w:ind w:firstLineChars="200" w:firstLine="420"/>
            </w:pPr>
            <w:r w:rsidRPr="002976E5">
              <w:rPr>
                <w:szCs w:val="21"/>
              </w:rPr>
              <w:t>回复</w:t>
            </w:r>
            <w:r w:rsidRPr="002976E5">
              <w:rPr>
                <w:rFonts w:hint="eastAsia"/>
                <w:szCs w:val="21"/>
              </w:rPr>
              <w:t>：</w:t>
            </w:r>
            <w:r w:rsidRPr="002976E5">
              <w:rPr>
                <w:szCs w:val="21"/>
              </w:rPr>
              <w:t>2020</w:t>
            </w:r>
            <w:r w:rsidRPr="002976E5">
              <w:rPr>
                <w:szCs w:val="21"/>
              </w:rPr>
              <w:t>年</w:t>
            </w:r>
            <w:r w:rsidRPr="002976E5">
              <w:rPr>
                <w:szCs w:val="21"/>
              </w:rPr>
              <w:t>3</w:t>
            </w:r>
            <w:r w:rsidRPr="002976E5">
              <w:rPr>
                <w:szCs w:val="21"/>
              </w:rPr>
              <w:t>月，</w:t>
            </w:r>
            <w:proofErr w:type="gramStart"/>
            <w:r w:rsidRPr="002976E5">
              <w:rPr>
                <w:szCs w:val="21"/>
              </w:rPr>
              <w:t>广汽本田</w:t>
            </w:r>
            <w:proofErr w:type="gramEnd"/>
            <w:r w:rsidRPr="002976E5">
              <w:rPr>
                <w:szCs w:val="21"/>
              </w:rPr>
              <w:t>建设的增城</w:t>
            </w:r>
            <w:r w:rsidRPr="002976E5">
              <w:rPr>
                <w:szCs w:val="21"/>
              </w:rPr>
              <w:t>PDC</w:t>
            </w:r>
            <w:r w:rsidRPr="002976E5">
              <w:rPr>
                <w:szCs w:val="21"/>
              </w:rPr>
              <w:t>（增城零部件物流中心）投入使用，作为增城工厂的集中外仓，集中管理所有外</w:t>
            </w:r>
            <w:proofErr w:type="gramStart"/>
            <w:r w:rsidRPr="002976E5">
              <w:rPr>
                <w:szCs w:val="21"/>
              </w:rPr>
              <w:t>采汽车</w:t>
            </w:r>
            <w:proofErr w:type="gramEnd"/>
            <w:r w:rsidRPr="002976E5">
              <w:rPr>
                <w:szCs w:val="21"/>
              </w:rPr>
              <w:t>零部件，该等零部件相应的物流服务商包括原尚股份、富田日梱、</w:t>
            </w:r>
            <w:proofErr w:type="gramStart"/>
            <w:r w:rsidRPr="002976E5">
              <w:rPr>
                <w:szCs w:val="21"/>
              </w:rPr>
              <w:t>广汽本田</w:t>
            </w:r>
            <w:proofErr w:type="gramEnd"/>
            <w:r w:rsidRPr="002976E5">
              <w:rPr>
                <w:szCs w:val="21"/>
              </w:rPr>
              <w:t>物流等。</w:t>
            </w:r>
            <w:r w:rsidRPr="002976E5">
              <w:rPr>
                <w:rFonts w:hint="eastAsia"/>
                <w:szCs w:val="21"/>
              </w:rPr>
              <w:t>公司</w:t>
            </w:r>
            <w:r w:rsidRPr="002976E5">
              <w:rPr>
                <w:szCs w:val="21"/>
              </w:rPr>
              <w:t>将通过深度参与增城</w:t>
            </w:r>
            <w:r w:rsidRPr="002976E5">
              <w:rPr>
                <w:szCs w:val="21"/>
              </w:rPr>
              <w:t>PDC</w:t>
            </w:r>
            <w:r w:rsidRPr="002976E5">
              <w:rPr>
                <w:szCs w:val="21"/>
              </w:rPr>
              <w:t>的运营可进一步接触更多其他汽车零部件厂商的综合物流业务。</w:t>
            </w:r>
          </w:p>
          <w:p w:rsidR="002976E5" w:rsidRPr="002976E5" w:rsidRDefault="002976E5" w:rsidP="002976E5">
            <w:pPr>
              <w:spacing w:line="360" w:lineRule="auto"/>
              <w:ind w:firstLineChars="200" w:firstLine="422"/>
              <w:rPr>
                <w:b/>
                <w:szCs w:val="21"/>
              </w:rPr>
            </w:pPr>
            <w:r w:rsidRPr="002976E5">
              <w:rPr>
                <w:b/>
              </w:rPr>
              <w:t>问题</w:t>
            </w:r>
            <w:r w:rsidRPr="002976E5">
              <w:rPr>
                <w:b/>
              </w:rPr>
              <w:t>4</w:t>
            </w:r>
            <w:r w:rsidRPr="002976E5">
              <w:rPr>
                <w:b/>
              </w:rPr>
              <w:t>、</w:t>
            </w:r>
            <w:r w:rsidRPr="002976E5">
              <w:rPr>
                <w:b/>
                <w:szCs w:val="21"/>
              </w:rPr>
              <w:t>公司黄埔物流基地改造的情况如何？预计完工投产时间？</w:t>
            </w:r>
          </w:p>
          <w:p w:rsidR="002976E5" w:rsidRPr="002976E5" w:rsidRDefault="002976E5" w:rsidP="002976E5">
            <w:pPr>
              <w:spacing w:line="360" w:lineRule="auto"/>
              <w:ind w:firstLineChars="200" w:firstLine="420"/>
              <w:rPr>
                <w:szCs w:val="21"/>
              </w:rPr>
            </w:pPr>
            <w:r w:rsidRPr="002976E5">
              <w:rPr>
                <w:szCs w:val="21"/>
              </w:rPr>
              <w:t>回复</w:t>
            </w:r>
            <w:r w:rsidRPr="002976E5">
              <w:rPr>
                <w:rFonts w:hint="eastAsia"/>
                <w:szCs w:val="21"/>
              </w:rPr>
              <w:t>：</w:t>
            </w:r>
            <w:r w:rsidRPr="002976E5">
              <w:rPr>
                <w:szCs w:val="21"/>
              </w:rPr>
              <w:t>随着公司业务规模不断扩大，公司于</w:t>
            </w:r>
            <w:r w:rsidRPr="002976E5">
              <w:rPr>
                <w:szCs w:val="21"/>
              </w:rPr>
              <w:t>2008</w:t>
            </w:r>
            <w:r w:rsidRPr="002976E5">
              <w:rPr>
                <w:szCs w:val="21"/>
              </w:rPr>
              <w:t>年建成的位于广州经济技术开发区</w:t>
            </w:r>
            <w:proofErr w:type="gramStart"/>
            <w:r w:rsidRPr="002976E5">
              <w:rPr>
                <w:szCs w:val="21"/>
              </w:rPr>
              <w:t>东众路</w:t>
            </w:r>
            <w:proofErr w:type="gramEnd"/>
            <w:r w:rsidRPr="002976E5">
              <w:rPr>
                <w:szCs w:val="21"/>
              </w:rPr>
              <w:t>25</w:t>
            </w:r>
            <w:r w:rsidRPr="002976E5">
              <w:rPr>
                <w:szCs w:val="21"/>
              </w:rPr>
              <w:t>号建筑面积为</w:t>
            </w:r>
            <w:r w:rsidRPr="002976E5">
              <w:rPr>
                <w:szCs w:val="21"/>
              </w:rPr>
              <w:t>11,365.44</w:t>
            </w:r>
            <w:r w:rsidRPr="002976E5">
              <w:rPr>
                <w:szCs w:val="21"/>
              </w:rPr>
              <w:t>㎡的仓库及办公楼已无法满足公司运作发展的需求，公司决定对原有建筑进行拆除，并在上述地块上新建</w:t>
            </w:r>
            <w:r w:rsidRPr="002976E5">
              <w:rPr>
                <w:szCs w:val="21"/>
              </w:rPr>
              <w:t>38,503</w:t>
            </w:r>
            <w:r w:rsidRPr="002976E5">
              <w:rPr>
                <w:szCs w:val="21"/>
              </w:rPr>
              <w:t>㎡的原尚股份</w:t>
            </w:r>
            <w:proofErr w:type="gramStart"/>
            <w:r w:rsidRPr="002976E5">
              <w:rPr>
                <w:szCs w:val="21"/>
              </w:rPr>
              <w:t>数智中心</w:t>
            </w:r>
            <w:proofErr w:type="gramEnd"/>
            <w:r w:rsidRPr="002976E5">
              <w:rPr>
                <w:szCs w:val="21"/>
              </w:rPr>
              <w:t>项目。</w:t>
            </w:r>
          </w:p>
          <w:p w:rsidR="002976E5" w:rsidRPr="002976E5" w:rsidRDefault="002976E5" w:rsidP="002976E5">
            <w:pPr>
              <w:spacing w:line="360" w:lineRule="auto"/>
              <w:ind w:firstLineChars="150" w:firstLine="315"/>
              <w:rPr>
                <w:szCs w:val="21"/>
              </w:rPr>
            </w:pPr>
            <w:proofErr w:type="gramStart"/>
            <w:r w:rsidRPr="002976E5">
              <w:rPr>
                <w:szCs w:val="21"/>
              </w:rPr>
              <w:t>广汽本田</w:t>
            </w:r>
            <w:proofErr w:type="gramEnd"/>
            <w:r w:rsidRPr="002976E5">
              <w:rPr>
                <w:szCs w:val="21"/>
              </w:rPr>
              <w:t>黄埔工厂、开发区工厂因坐落地黄埔区仓库紧缺，且周</w:t>
            </w:r>
            <w:r w:rsidRPr="002976E5">
              <w:rPr>
                <w:szCs w:val="21"/>
              </w:rPr>
              <w:lastRenderedPageBreak/>
              <w:t>边尚无较大仓库难以满足所有零部件的</w:t>
            </w:r>
            <w:proofErr w:type="gramStart"/>
            <w:r w:rsidRPr="002976E5">
              <w:rPr>
                <w:szCs w:val="21"/>
              </w:rPr>
              <w:t>集中外仓需求</w:t>
            </w:r>
            <w:proofErr w:type="gramEnd"/>
            <w:r w:rsidRPr="002976E5">
              <w:rPr>
                <w:szCs w:val="21"/>
              </w:rPr>
              <w:t>。在生产效率提升、成本管控等趋势下，</w:t>
            </w:r>
            <w:proofErr w:type="gramStart"/>
            <w:r w:rsidRPr="002976E5">
              <w:rPr>
                <w:szCs w:val="21"/>
              </w:rPr>
              <w:t>广汽本田</w:t>
            </w:r>
            <w:proofErr w:type="gramEnd"/>
            <w:r w:rsidRPr="002976E5">
              <w:rPr>
                <w:szCs w:val="21"/>
              </w:rPr>
              <w:t>将在这两个工厂推行与增城工厂相似的</w:t>
            </w:r>
            <w:proofErr w:type="gramStart"/>
            <w:r w:rsidRPr="002976E5">
              <w:rPr>
                <w:szCs w:val="21"/>
              </w:rPr>
              <w:t>集中外仓管理</w:t>
            </w:r>
            <w:proofErr w:type="gramEnd"/>
            <w:r w:rsidRPr="002976E5">
              <w:rPr>
                <w:szCs w:val="21"/>
              </w:rPr>
              <w:t>模式。原尚股份黄埔物流基地位于两个工厂之间，直径均在</w:t>
            </w:r>
            <w:r w:rsidRPr="002976E5">
              <w:rPr>
                <w:szCs w:val="21"/>
              </w:rPr>
              <w:t>10KM</w:t>
            </w:r>
            <w:r w:rsidRPr="002976E5">
              <w:rPr>
                <w:szCs w:val="21"/>
              </w:rPr>
              <w:t>左右。黄埔物流基地项目预计于</w:t>
            </w:r>
            <w:r w:rsidRPr="002976E5">
              <w:rPr>
                <w:szCs w:val="21"/>
              </w:rPr>
              <w:t>2022</w:t>
            </w:r>
            <w:r w:rsidRPr="002976E5">
              <w:rPr>
                <w:szCs w:val="21"/>
              </w:rPr>
              <w:t>年三季度建成投产，公司将通过厂房和物流设施的改造，提高使用面积并实现智能仓储，争取</w:t>
            </w:r>
            <w:proofErr w:type="gramStart"/>
            <w:r w:rsidRPr="002976E5">
              <w:rPr>
                <w:szCs w:val="21"/>
              </w:rPr>
              <w:t>成为广汽本田</w:t>
            </w:r>
            <w:proofErr w:type="gramEnd"/>
            <w:r w:rsidRPr="002976E5">
              <w:rPr>
                <w:szCs w:val="21"/>
              </w:rPr>
              <w:t>在黄埔区的</w:t>
            </w:r>
            <w:proofErr w:type="gramStart"/>
            <w:r w:rsidRPr="002976E5">
              <w:rPr>
                <w:szCs w:val="21"/>
              </w:rPr>
              <w:t>集中外仓中心</w:t>
            </w:r>
            <w:proofErr w:type="gramEnd"/>
            <w:r w:rsidRPr="002976E5">
              <w:rPr>
                <w:szCs w:val="21"/>
              </w:rPr>
              <w:t>，</w:t>
            </w:r>
            <w:proofErr w:type="gramStart"/>
            <w:r w:rsidRPr="002976E5">
              <w:rPr>
                <w:szCs w:val="21"/>
              </w:rPr>
              <w:t>与广汽本田</w:t>
            </w:r>
            <w:proofErr w:type="gramEnd"/>
            <w:r w:rsidRPr="002976E5">
              <w:rPr>
                <w:szCs w:val="21"/>
              </w:rPr>
              <w:t>及其汽车零部件供应商开展更深入合作。</w:t>
            </w:r>
          </w:p>
          <w:p w:rsidR="002976E5" w:rsidRPr="002976E5" w:rsidRDefault="002976E5" w:rsidP="002976E5">
            <w:pPr>
              <w:spacing w:line="360" w:lineRule="auto"/>
              <w:ind w:firstLineChars="200" w:firstLine="422"/>
              <w:rPr>
                <w:b/>
              </w:rPr>
            </w:pPr>
            <w:r w:rsidRPr="002976E5">
              <w:rPr>
                <w:b/>
              </w:rPr>
              <w:t>问题</w:t>
            </w:r>
            <w:r w:rsidRPr="002976E5">
              <w:rPr>
                <w:b/>
              </w:rPr>
              <w:t>5</w:t>
            </w:r>
            <w:r w:rsidRPr="002976E5">
              <w:rPr>
                <w:b/>
              </w:rPr>
              <w:t>、公司在华中、华东和西南地区的发展战略？</w:t>
            </w:r>
          </w:p>
          <w:p w:rsidR="002976E5" w:rsidRPr="002976E5" w:rsidRDefault="002976E5" w:rsidP="002976E5">
            <w:pPr>
              <w:spacing w:line="360" w:lineRule="auto"/>
              <w:ind w:firstLineChars="200" w:firstLine="420"/>
            </w:pPr>
            <w:r w:rsidRPr="002976E5">
              <w:t>回复</w:t>
            </w:r>
            <w:r w:rsidRPr="002976E5">
              <w:rPr>
                <w:rFonts w:hint="eastAsia"/>
              </w:rPr>
              <w:t>：</w:t>
            </w:r>
            <w:r w:rsidRPr="002976E5">
              <w:t>目前，除华南外，公司在华北、东北、华中、华东、西南均拥有自有物流基地，物流网络完善。其中，华中、华东与华南形成</w:t>
            </w:r>
            <w:proofErr w:type="gramStart"/>
            <w:r w:rsidRPr="002976E5">
              <w:t>了广汽本田</w:t>
            </w:r>
            <w:proofErr w:type="gramEnd"/>
            <w:r w:rsidRPr="002976E5">
              <w:t>、广州东本发动机，武汉东风本田为零部件需求端，华东地区、华中地区为零部件供给端的物流三角，充分利用三地的物流网络，并形成稳定的客户群体。公司将充分发挥物流基地的网络优势，从华中、华东、西南地区的民营整车厂商找寻突破口，进入其零部件物流体系，并通过优质服务逐渐获得其认可，成为其长期合作伙伴。</w:t>
            </w:r>
          </w:p>
          <w:p w:rsidR="002976E5" w:rsidRPr="002976E5" w:rsidRDefault="002976E5" w:rsidP="002976E5">
            <w:pPr>
              <w:spacing w:line="360" w:lineRule="auto"/>
              <w:ind w:firstLineChars="200" w:firstLine="422"/>
              <w:rPr>
                <w:b/>
              </w:rPr>
            </w:pPr>
            <w:r w:rsidRPr="002976E5">
              <w:rPr>
                <w:b/>
              </w:rPr>
              <w:t>问题</w:t>
            </w:r>
            <w:r w:rsidRPr="002976E5">
              <w:rPr>
                <w:b/>
              </w:rPr>
              <w:t>6</w:t>
            </w:r>
            <w:r w:rsidRPr="002976E5">
              <w:rPr>
                <w:b/>
              </w:rPr>
              <w:t>、机场国际进出港装卸业务定价方式、营收体量？</w:t>
            </w:r>
            <w:r w:rsidRPr="002976E5">
              <w:rPr>
                <w:b/>
              </w:rPr>
              <w:t xml:space="preserve"> </w:t>
            </w:r>
          </w:p>
          <w:p w:rsidR="002976E5" w:rsidRPr="002976E5" w:rsidRDefault="002976E5" w:rsidP="002976E5">
            <w:pPr>
              <w:spacing w:line="360" w:lineRule="auto"/>
              <w:ind w:firstLineChars="200" w:firstLine="420"/>
              <w:rPr>
                <w:rFonts w:hint="eastAsia"/>
              </w:rPr>
            </w:pPr>
            <w:r w:rsidRPr="002976E5">
              <w:t>回复</w:t>
            </w:r>
            <w:r w:rsidRPr="002976E5">
              <w:rPr>
                <w:rFonts w:hint="eastAsia"/>
              </w:rPr>
              <w:t>：公司机场装卸业务包括白云机场国际进出港业务及深圳机场出港业务。</w:t>
            </w:r>
            <w:r w:rsidRPr="002976E5">
              <w:t>机场国际进出港装卸业务的定价模式是以装卸劳动成本加成为基础的招投标模式。</w:t>
            </w:r>
            <w:r w:rsidRPr="002976E5">
              <w:t>2019</w:t>
            </w:r>
            <w:r w:rsidRPr="002976E5">
              <w:t>年、</w:t>
            </w:r>
            <w:r w:rsidRPr="002976E5">
              <w:t>2020</w:t>
            </w:r>
            <w:r w:rsidRPr="002976E5">
              <w:t>年及</w:t>
            </w:r>
            <w:r w:rsidRPr="002976E5">
              <w:t>2021</w:t>
            </w:r>
            <w:r w:rsidRPr="002976E5">
              <w:t>年</w:t>
            </w:r>
            <w:r w:rsidRPr="002976E5">
              <w:rPr>
                <w:rFonts w:hint="eastAsia"/>
              </w:rPr>
              <w:t>机场</w:t>
            </w:r>
            <w:r w:rsidRPr="002976E5">
              <w:t>项目营业收入分别为</w:t>
            </w:r>
            <w:r w:rsidRPr="002976E5">
              <w:t>0</w:t>
            </w:r>
            <w:r w:rsidRPr="002976E5">
              <w:t>元、</w:t>
            </w:r>
            <w:r w:rsidRPr="002976E5">
              <w:t xml:space="preserve"> 1,038.59</w:t>
            </w:r>
            <w:r w:rsidRPr="002976E5">
              <w:t>万元、</w:t>
            </w:r>
            <w:r w:rsidRPr="002976E5">
              <w:t>2,250</w:t>
            </w:r>
            <w:r w:rsidRPr="002976E5">
              <w:t>万元。</w:t>
            </w:r>
          </w:p>
          <w:p w:rsidR="00F0460C" w:rsidRPr="002976E5" w:rsidRDefault="00F0460C" w:rsidP="00521654">
            <w:pPr>
              <w:rPr>
                <w:rFonts w:ascii="宋体" w:hAnsi="宋体"/>
                <w:bCs/>
                <w:iCs/>
                <w:szCs w:val="24"/>
              </w:rPr>
            </w:pPr>
          </w:p>
        </w:tc>
      </w:tr>
      <w:tr w:rsidR="00F0460C" w:rsidTr="00FE71B8">
        <w:trPr>
          <w:jc w:val="center"/>
        </w:trPr>
        <w:tc>
          <w:tcPr>
            <w:tcW w:w="1730" w:type="dxa"/>
            <w:shd w:val="clear" w:color="auto" w:fill="auto"/>
            <w:vAlign w:val="center"/>
          </w:tcPr>
          <w:p w:rsidR="00F0460C" w:rsidRPr="00AF007A" w:rsidRDefault="001B6EB7">
            <w:pPr>
              <w:spacing w:line="480" w:lineRule="atLeast"/>
              <w:rPr>
                <w:rFonts w:ascii="宋体" w:hAnsi="宋体"/>
                <w:b/>
                <w:bCs/>
                <w:iCs/>
                <w:sz w:val="22"/>
                <w:szCs w:val="24"/>
              </w:rPr>
            </w:pPr>
            <w:r w:rsidRPr="00AF007A">
              <w:rPr>
                <w:rFonts w:ascii="宋体" w:hAnsi="宋体" w:hint="eastAsia"/>
                <w:b/>
                <w:bCs/>
                <w:iCs/>
                <w:sz w:val="22"/>
                <w:szCs w:val="24"/>
              </w:rPr>
              <w:lastRenderedPageBreak/>
              <w:t>附件清单（如有）</w:t>
            </w:r>
          </w:p>
        </w:tc>
        <w:tc>
          <w:tcPr>
            <w:tcW w:w="6345" w:type="dxa"/>
            <w:shd w:val="clear" w:color="auto" w:fill="auto"/>
          </w:tcPr>
          <w:p w:rsidR="00F0460C" w:rsidRDefault="001B6EB7">
            <w:pPr>
              <w:spacing w:line="480" w:lineRule="atLeast"/>
              <w:rPr>
                <w:rFonts w:ascii="宋体" w:hAnsi="宋体"/>
                <w:bCs/>
                <w:iCs/>
                <w:sz w:val="24"/>
                <w:szCs w:val="24"/>
              </w:rPr>
            </w:pPr>
            <w:r>
              <w:rPr>
                <w:rFonts w:ascii="宋体" w:hAnsi="宋体" w:hint="eastAsia"/>
                <w:bCs/>
                <w:iCs/>
                <w:sz w:val="24"/>
                <w:szCs w:val="24"/>
              </w:rPr>
              <w:t>无</w:t>
            </w:r>
          </w:p>
        </w:tc>
      </w:tr>
      <w:tr w:rsidR="00F0460C" w:rsidTr="00FE71B8">
        <w:trPr>
          <w:jc w:val="center"/>
        </w:trPr>
        <w:tc>
          <w:tcPr>
            <w:tcW w:w="1730" w:type="dxa"/>
            <w:shd w:val="clear" w:color="auto" w:fill="auto"/>
            <w:vAlign w:val="center"/>
          </w:tcPr>
          <w:p w:rsidR="00F0460C" w:rsidRPr="00AF007A" w:rsidRDefault="001B6EB7">
            <w:pPr>
              <w:spacing w:line="480" w:lineRule="atLeast"/>
              <w:rPr>
                <w:rFonts w:ascii="宋体" w:hAnsi="宋体"/>
                <w:b/>
                <w:bCs/>
                <w:iCs/>
                <w:sz w:val="22"/>
                <w:szCs w:val="24"/>
              </w:rPr>
            </w:pPr>
            <w:r w:rsidRPr="00AF007A">
              <w:rPr>
                <w:rFonts w:ascii="宋体" w:hAnsi="宋体" w:hint="eastAsia"/>
                <w:b/>
                <w:bCs/>
                <w:iCs/>
                <w:sz w:val="22"/>
                <w:szCs w:val="24"/>
              </w:rPr>
              <w:t>日期</w:t>
            </w:r>
          </w:p>
        </w:tc>
        <w:tc>
          <w:tcPr>
            <w:tcW w:w="6345" w:type="dxa"/>
            <w:shd w:val="clear" w:color="auto" w:fill="auto"/>
          </w:tcPr>
          <w:p w:rsidR="00F0460C" w:rsidRDefault="001B6EB7" w:rsidP="002976E5">
            <w:pPr>
              <w:spacing w:line="480" w:lineRule="atLeast"/>
              <w:rPr>
                <w:rFonts w:ascii="宋体" w:hAnsi="宋体"/>
                <w:bCs/>
                <w:iCs/>
                <w:sz w:val="24"/>
                <w:szCs w:val="24"/>
              </w:rPr>
            </w:pPr>
            <w:r>
              <w:rPr>
                <w:rFonts w:ascii="宋体" w:hAnsi="宋体" w:hint="eastAsia"/>
                <w:bCs/>
                <w:iCs/>
                <w:sz w:val="24"/>
                <w:szCs w:val="24"/>
              </w:rPr>
              <w:t>20</w:t>
            </w:r>
            <w:r w:rsidR="00521654">
              <w:rPr>
                <w:rFonts w:ascii="宋体" w:hAnsi="宋体"/>
                <w:bCs/>
                <w:iCs/>
                <w:sz w:val="24"/>
                <w:szCs w:val="24"/>
              </w:rPr>
              <w:t>2</w:t>
            </w:r>
            <w:r w:rsidR="002976E5">
              <w:rPr>
                <w:rFonts w:ascii="宋体" w:hAnsi="宋体"/>
                <w:bCs/>
                <w:iCs/>
                <w:sz w:val="24"/>
                <w:szCs w:val="24"/>
              </w:rPr>
              <w:t>2</w:t>
            </w:r>
            <w:r>
              <w:rPr>
                <w:rFonts w:ascii="宋体" w:hAnsi="宋体" w:hint="eastAsia"/>
                <w:bCs/>
                <w:iCs/>
                <w:sz w:val="24"/>
                <w:szCs w:val="24"/>
              </w:rPr>
              <w:t>年</w:t>
            </w:r>
            <w:r w:rsidR="002976E5">
              <w:rPr>
                <w:rFonts w:ascii="宋体" w:hAnsi="宋体"/>
                <w:bCs/>
                <w:iCs/>
                <w:sz w:val="24"/>
                <w:szCs w:val="24"/>
              </w:rPr>
              <w:t>3</w:t>
            </w:r>
            <w:r>
              <w:rPr>
                <w:rFonts w:ascii="宋体" w:hAnsi="宋体" w:hint="eastAsia"/>
                <w:bCs/>
                <w:iCs/>
                <w:sz w:val="24"/>
                <w:szCs w:val="24"/>
              </w:rPr>
              <w:t>月</w:t>
            </w:r>
            <w:r w:rsidR="002976E5">
              <w:rPr>
                <w:rFonts w:ascii="宋体" w:hAnsi="宋体"/>
                <w:bCs/>
                <w:iCs/>
                <w:sz w:val="24"/>
                <w:szCs w:val="24"/>
              </w:rPr>
              <w:t>21</w:t>
            </w:r>
            <w:bookmarkStart w:id="0" w:name="_GoBack"/>
            <w:bookmarkEnd w:id="0"/>
            <w:r>
              <w:rPr>
                <w:rFonts w:ascii="宋体" w:hAnsi="宋体" w:hint="eastAsia"/>
                <w:bCs/>
                <w:iCs/>
                <w:sz w:val="24"/>
                <w:szCs w:val="24"/>
              </w:rPr>
              <w:t>日</w:t>
            </w:r>
          </w:p>
        </w:tc>
      </w:tr>
    </w:tbl>
    <w:p w:rsidR="00F0460C" w:rsidRDefault="00F0460C">
      <w:pPr>
        <w:ind w:firstLineChars="200" w:firstLine="480"/>
        <w:rPr>
          <w:sz w:val="24"/>
          <w:szCs w:val="24"/>
        </w:rPr>
      </w:pPr>
    </w:p>
    <w:p w:rsidR="00F0460C" w:rsidRDefault="00F0460C"/>
    <w:p w:rsidR="00F0460C" w:rsidRDefault="00F0460C"/>
    <w:sectPr w:rsidR="00F0460C">
      <w:headerReference w:type="default" r:id="rId9"/>
      <w:pgSz w:w="11907" w:h="1683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557" w:rsidRDefault="00166557">
      <w:r>
        <w:separator/>
      </w:r>
    </w:p>
  </w:endnote>
  <w:endnote w:type="continuationSeparator" w:id="0">
    <w:p w:rsidR="00166557" w:rsidRDefault="00166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557" w:rsidRDefault="00166557">
      <w:r>
        <w:separator/>
      </w:r>
    </w:p>
  </w:footnote>
  <w:footnote w:type="continuationSeparator" w:id="0">
    <w:p w:rsidR="00166557" w:rsidRDefault="001665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60C" w:rsidRDefault="001B6EB7">
    <w:pPr>
      <w:pStyle w:val="a7"/>
      <w:rPr>
        <w:rFonts w:ascii="宋体" w:hAnsi="宋体"/>
        <w:bCs/>
        <w:iCs/>
        <w:sz w:val="21"/>
        <w:szCs w:val="21"/>
      </w:rPr>
    </w:pPr>
    <w:r>
      <w:rPr>
        <w:rFonts w:ascii="宋体" w:hAnsi="宋体" w:hint="eastAsia"/>
        <w:bCs/>
        <w:iCs/>
        <w:sz w:val="21"/>
        <w:szCs w:val="21"/>
      </w:rPr>
      <w:t>证券代码：60</w:t>
    </w:r>
    <w:r>
      <w:rPr>
        <w:rFonts w:ascii="宋体" w:hAnsi="宋体"/>
        <w:bCs/>
        <w:iCs/>
        <w:sz w:val="21"/>
        <w:szCs w:val="21"/>
      </w:rPr>
      <w:t>3</w:t>
    </w:r>
    <w:r>
      <w:rPr>
        <w:rFonts w:ascii="宋体" w:hAnsi="宋体" w:hint="eastAsia"/>
        <w:bCs/>
        <w:iCs/>
        <w:sz w:val="21"/>
        <w:szCs w:val="21"/>
      </w:rPr>
      <w:t>813</w:t>
    </w:r>
    <w:r>
      <w:rPr>
        <w:rFonts w:ascii="宋体" w:hAnsi="宋体"/>
        <w:bCs/>
        <w:iCs/>
        <w:sz w:val="21"/>
        <w:szCs w:val="21"/>
      </w:rPr>
      <w:t xml:space="preserve">                           </w:t>
    </w:r>
    <w:r>
      <w:rPr>
        <w:rFonts w:ascii="宋体" w:hAnsi="宋体" w:hint="eastAsia"/>
        <w:bCs/>
        <w:iCs/>
        <w:sz w:val="21"/>
        <w:szCs w:val="21"/>
      </w:rPr>
      <w:t xml:space="preserve">         证券简称：原尚</w:t>
    </w:r>
    <w:r>
      <w:rPr>
        <w:rFonts w:ascii="宋体" w:hAnsi="宋体"/>
        <w:bCs/>
        <w:iCs/>
        <w:sz w:val="21"/>
        <w:szCs w:val="21"/>
      </w:rPr>
      <w:t>股份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FC3386"/>
    <w:multiLevelType w:val="hybridMultilevel"/>
    <w:tmpl w:val="0BCA8F92"/>
    <w:lvl w:ilvl="0" w:tplc="9642D7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EA57973"/>
    <w:multiLevelType w:val="hybridMultilevel"/>
    <w:tmpl w:val="B7326908"/>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7C4C3549"/>
    <w:multiLevelType w:val="hybridMultilevel"/>
    <w:tmpl w:val="7A50C89C"/>
    <w:lvl w:ilvl="0" w:tplc="5358CC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F18"/>
    <w:rsid w:val="000157FD"/>
    <w:rsid w:val="000245CA"/>
    <w:rsid w:val="000754B4"/>
    <w:rsid w:val="0007764E"/>
    <w:rsid w:val="00080F2B"/>
    <w:rsid w:val="00090B1F"/>
    <w:rsid w:val="000A31DA"/>
    <w:rsid w:val="000A5752"/>
    <w:rsid w:val="000A7E4A"/>
    <w:rsid w:val="000D00C7"/>
    <w:rsid w:val="000D3A79"/>
    <w:rsid w:val="000F18AF"/>
    <w:rsid w:val="001024E5"/>
    <w:rsid w:val="00106147"/>
    <w:rsid w:val="00114D6E"/>
    <w:rsid w:val="00130C40"/>
    <w:rsid w:val="00137993"/>
    <w:rsid w:val="00155B3C"/>
    <w:rsid w:val="00164AE4"/>
    <w:rsid w:val="00166557"/>
    <w:rsid w:val="00174F18"/>
    <w:rsid w:val="00175757"/>
    <w:rsid w:val="00194834"/>
    <w:rsid w:val="001A467E"/>
    <w:rsid w:val="001B6EB7"/>
    <w:rsid w:val="001D6BFE"/>
    <w:rsid w:val="001F04CC"/>
    <w:rsid w:val="001F4DDD"/>
    <w:rsid w:val="00214491"/>
    <w:rsid w:val="002312D7"/>
    <w:rsid w:val="00231727"/>
    <w:rsid w:val="00232BC1"/>
    <w:rsid w:val="0025317F"/>
    <w:rsid w:val="00273315"/>
    <w:rsid w:val="002976E5"/>
    <w:rsid w:val="002B5745"/>
    <w:rsid w:val="002D1265"/>
    <w:rsid w:val="002D200D"/>
    <w:rsid w:val="002D7DA7"/>
    <w:rsid w:val="003063E5"/>
    <w:rsid w:val="0035062B"/>
    <w:rsid w:val="003542D7"/>
    <w:rsid w:val="00371229"/>
    <w:rsid w:val="00395D4D"/>
    <w:rsid w:val="003E7D85"/>
    <w:rsid w:val="003F4018"/>
    <w:rsid w:val="00465489"/>
    <w:rsid w:val="00474FCD"/>
    <w:rsid w:val="0047613C"/>
    <w:rsid w:val="004933DD"/>
    <w:rsid w:val="00495234"/>
    <w:rsid w:val="00497936"/>
    <w:rsid w:val="004B5764"/>
    <w:rsid w:val="004C1FA0"/>
    <w:rsid w:val="004C698B"/>
    <w:rsid w:val="004E2B0F"/>
    <w:rsid w:val="004F7CD7"/>
    <w:rsid w:val="00521654"/>
    <w:rsid w:val="00532CF0"/>
    <w:rsid w:val="00550366"/>
    <w:rsid w:val="00570004"/>
    <w:rsid w:val="005821BB"/>
    <w:rsid w:val="005A53BA"/>
    <w:rsid w:val="005C5403"/>
    <w:rsid w:val="005E245B"/>
    <w:rsid w:val="005F359B"/>
    <w:rsid w:val="00612EFB"/>
    <w:rsid w:val="0061358F"/>
    <w:rsid w:val="00642CF8"/>
    <w:rsid w:val="00684FFB"/>
    <w:rsid w:val="00686ADF"/>
    <w:rsid w:val="006870FD"/>
    <w:rsid w:val="006C2175"/>
    <w:rsid w:val="006D524A"/>
    <w:rsid w:val="006F5D79"/>
    <w:rsid w:val="0072048B"/>
    <w:rsid w:val="007C57FF"/>
    <w:rsid w:val="007D2B6B"/>
    <w:rsid w:val="007D371E"/>
    <w:rsid w:val="007E334D"/>
    <w:rsid w:val="007E6C40"/>
    <w:rsid w:val="00817A24"/>
    <w:rsid w:val="00821EFA"/>
    <w:rsid w:val="008403C3"/>
    <w:rsid w:val="008622BA"/>
    <w:rsid w:val="00877D67"/>
    <w:rsid w:val="008865DC"/>
    <w:rsid w:val="008A0B53"/>
    <w:rsid w:val="008A7858"/>
    <w:rsid w:val="0090042E"/>
    <w:rsid w:val="00901BC6"/>
    <w:rsid w:val="00907334"/>
    <w:rsid w:val="009119E4"/>
    <w:rsid w:val="00923FA7"/>
    <w:rsid w:val="0093497B"/>
    <w:rsid w:val="00947DE7"/>
    <w:rsid w:val="0098031D"/>
    <w:rsid w:val="0099128B"/>
    <w:rsid w:val="009B52CC"/>
    <w:rsid w:val="009F28EC"/>
    <w:rsid w:val="00A1617C"/>
    <w:rsid w:val="00A51181"/>
    <w:rsid w:val="00A767D4"/>
    <w:rsid w:val="00A8341B"/>
    <w:rsid w:val="00AD039E"/>
    <w:rsid w:val="00AE4E56"/>
    <w:rsid w:val="00AF007A"/>
    <w:rsid w:val="00B241D3"/>
    <w:rsid w:val="00B352B6"/>
    <w:rsid w:val="00B469A1"/>
    <w:rsid w:val="00B504EB"/>
    <w:rsid w:val="00B5472E"/>
    <w:rsid w:val="00BA1952"/>
    <w:rsid w:val="00BD096D"/>
    <w:rsid w:val="00BF0C27"/>
    <w:rsid w:val="00C17D24"/>
    <w:rsid w:val="00C4184D"/>
    <w:rsid w:val="00C44543"/>
    <w:rsid w:val="00C50940"/>
    <w:rsid w:val="00C56033"/>
    <w:rsid w:val="00C73448"/>
    <w:rsid w:val="00C73756"/>
    <w:rsid w:val="00C84344"/>
    <w:rsid w:val="00CB7B99"/>
    <w:rsid w:val="00CC384A"/>
    <w:rsid w:val="00CD74DE"/>
    <w:rsid w:val="00D336F2"/>
    <w:rsid w:val="00D70F87"/>
    <w:rsid w:val="00D96D7C"/>
    <w:rsid w:val="00DA1244"/>
    <w:rsid w:val="00DA214C"/>
    <w:rsid w:val="00DC3BE2"/>
    <w:rsid w:val="00DF0471"/>
    <w:rsid w:val="00DF4543"/>
    <w:rsid w:val="00E0677D"/>
    <w:rsid w:val="00E109A7"/>
    <w:rsid w:val="00E23FD0"/>
    <w:rsid w:val="00E40C1C"/>
    <w:rsid w:val="00E44458"/>
    <w:rsid w:val="00E50677"/>
    <w:rsid w:val="00E52047"/>
    <w:rsid w:val="00E763EC"/>
    <w:rsid w:val="00E80118"/>
    <w:rsid w:val="00ED0FC2"/>
    <w:rsid w:val="00EF2C4F"/>
    <w:rsid w:val="00F0460C"/>
    <w:rsid w:val="00F173A2"/>
    <w:rsid w:val="00F2542C"/>
    <w:rsid w:val="00F30B51"/>
    <w:rsid w:val="00F54E81"/>
    <w:rsid w:val="00F737B7"/>
    <w:rsid w:val="00F83012"/>
    <w:rsid w:val="00FC1517"/>
    <w:rsid w:val="00FC29B2"/>
    <w:rsid w:val="00FC51E6"/>
    <w:rsid w:val="00FD3B33"/>
    <w:rsid w:val="00FD68D8"/>
    <w:rsid w:val="00FE1FAD"/>
    <w:rsid w:val="00FE71B8"/>
    <w:rsid w:val="00FF1193"/>
    <w:rsid w:val="47C003E5"/>
    <w:rsid w:val="6B7A13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6B02ED-46AA-42DA-BE7E-7D5A7DF9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Pr>
      <w:b/>
      <w:bCs/>
    </w:rPr>
  </w:style>
  <w:style w:type="paragraph" w:styleId="a4">
    <w:name w:val="annotation text"/>
    <w:basedOn w:val="a"/>
    <w:link w:val="Char0"/>
    <w:uiPriority w:val="99"/>
    <w:semiHidden/>
    <w:unhideWhenUsed/>
    <w:pPr>
      <w:jc w:val="left"/>
    </w:pPr>
  </w:style>
  <w:style w:type="paragraph" w:styleId="a5">
    <w:name w:val="Balloon Text"/>
    <w:basedOn w:val="a"/>
    <w:link w:val="Char1"/>
    <w:uiPriority w:val="99"/>
    <w:unhideWhenUsed/>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9">
    <w:name w:val="annotation reference"/>
    <w:basedOn w:val="a0"/>
    <w:uiPriority w:val="99"/>
    <w:semiHidden/>
    <w:unhideWhenUsed/>
    <w:rPr>
      <w:sz w:val="21"/>
      <w:szCs w:val="21"/>
    </w:rPr>
  </w:style>
  <w:style w:type="character" w:customStyle="1" w:styleId="Char3">
    <w:name w:val="页眉 Char"/>
    <w:basedOn w:val="a0"/>
    <w:link w:val="a7"/>
    <w:uiPriority w:val="99"/>
    <w:rPr>
      <w:rFonts w:ascii="Times New Roman" w:eastAsia="宋体" w:hAnsi="Times New Roman" w:cs="Times New Roman"/>
      <w:sz w:val="18"/>
      <w:szCs w:val="18"/>
    </w:rPr>
  </w:style>
  <w:style w:type="character" w:customStyle="1" w:styleId="Char2">
    <w:name w:val="页脚 Char"/>
    <w:basedOn w:val="a0"/>
    <w:link w:val="a6"/>
    <w:uiPriority w:val="99"/>
    <w:rPr>
      <w:rFonts w:ascii="Times New Roman" w:hAnsi="Times New Roman"/>
      <w:kern w:val="2"/>
      <w:sz w:val="18"/>
      <w:szCs w:val="18"/>
    </w:rPr>
  </w:style>
  <w:style w:type="paragraph" w:styleId="aa">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Char1">
    <w:name w:val="批注框文本 Char"/>
    <w:basedOn w:val="a0"/>
    <w:link w:val="a5"/>
    <w:uiPriority w:val="99"/>
    <w:semiHidden/>
    <w:qFormat/>
    <w:rPr>
      <w:rFonts w:ascii="Times New Roman" w:hAnsi="Times New Roman"/>
      <w:kern w:val="2"/>
      <w:sz w:val="18"/>
      <w:szCs w:val="18"/>
    </w:rPr>
  </w:style>
  <w:style w:type="character" w:customStyle="1" w:styleId="Char0">
    <w:name w:val="批注文字 Char"/>
    <w:basedOn w:val="a0"/>
    <w:link w:val="a4"/>
    <w:uiPriority w:val="99"/>
    <w:semiHidden/>
    <w:rPr>
      <w:rFonts w:ascii="Times New Roman" w:hAnsi="Times New Roman"/>
      <w:kern w:val="2"/>
      <w:sz w:val="21"/>
    </w:rPr>
  </w:style>
  <w:style w:type="character" w:customStyle="1" w:styleId="Char">
    <w:name w:val="批注主题 Char"/>
    <w:basedOn w:val="Char0"/>
    <w:link w:val="a3"/>
    <w:uiPriority w:val="99"/>
    <w:semiHidden/>
    <w:rPr>
      <w:rFonts w:ascii="Times New Roman" w:hAnsi="Times New Roman"/>
      <w:b/>
      <w:bCs/>
      <w:kern w:val="2"/>
      <w:sz w:val="21"/>
    </w:rPr>
  </w:style>
  <w:style w:type="paragraph" w:styleId="HTML">
    <w:name w:val="HTML Preformatted"/>
    <w:basedOn w:val="a"/>
    <w:link w:val="HTMLChar"/>
    <w:uiPriority w:val="99"/>
    <w:semiHidden/>
    <w:unhideWhenUsed/>
    <w:rsid w:val="005216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521654"/>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6262">
      <w:bodyDiv w:val="1"/>
      <w:marLeft w:val="0"/>
      <w:marRight w:val="0"/>
      <w:marTop w:val="0"/>
      <w:marBottom w:val="0"/>
      <w:divBdr>
        <w:top w:val="none" w:sz="0" w:space="0" w:color="auto"/>
        <w:left w:val="none" w:sz="0" w:space="0" w:color="auto"/>
        <w:bottom w:val="none" w:sz="0" w:space="0" w:color="auto"/>
        <w:right w:val="none" w:sz="0" w:space="0" w:color="auto"/>
      </w:divBdr>
    </w:div>
    <w:div w:id="819031109">
      <w:bodyDiv w:val="1"/>
      <w:marLeft w:val="0"/>
      <w:marRight w:val="0"/>
      <w:marTop w:val="0"/>
      <w:marBottom w:val="0"/>
      <w:divBdr>
        <w:top w:val="none" w:sz="0" w:space="0" w:color="auto"/>
        <w:left w:val="none" w:sz="0" w:space="0" w:color="auto"/>
        <w:bottom w:val="none" w:sz="0" w:space="0" w:color="auto"/>
        <w:right w:val="none" w:sz="0" w:space="0" w:color="auto"/>
      </w:divBdr>
    </w:div>
    <w:div w:id="842091598">
      <w:bodyDiv w:val="1"/>
      <w:marLeft w:val="0"/>
      <w:marRight w:val="0"/>
      <w:marTop w:val="0"/>
      <w:marBottom w:val="0"/>
      <w:divBdr>
        <w:top w:val="none" w:sz="0" w:space="0" w:color="auto"/>
        <w:left w:val="none" w:sz="0" w:space="0" w:color="auto"/>
        <w:bottom w:val="none" w:sz="0" w:space="0" w:color="auto"/>
        <w:right w:val="none" w:sz="0" w:space="0" w:color="auto"/>
      </w:divBdr>
    </w:div>
    <w:div w:id="1435444308">
      <w:bodyDiv w:val="1"/>
      <w:marLeft w:val="0"/>
      <w:marRight w:val="0"/>
      <w:marTop w:val="0"/>
      <w:marBottom w:val="0"/>
      <w:divBdr>
        <w:top w:val="none" w:sz="0" w:space="0" w:color="auto"/>
        <w:left w:val="none" w:sz="0" w:space="0" w:color="auto"/>
        <w:bottom w:val="none" w:sz="0" w:space="0" w:color="auto"/>
        <w:right w:val="none" w:sz="0" w:space="0" w:color="auto"/>
      </w:divBdr>
    </w:div>
    <w:div w:id="1600216161">
      <w:bodyDiv w:val="1"/>
      <w:marLeft w:val="0"/>
      <w:marRight w:val="0"/>
      <w:marTop w:val="0"/>
      <w:marBottom w:val="0"/>
      <w:divBdr>
        <w:top w:val="none" w:sz="0" w:space="0" w:color="auto"/>
        <w:left w:val="none" w:sz="0" w:space="0" w:color="auto"/>
        <w:bottom w:val="none" w:sz="0" w:space="0" w:color="auto"/>
        <w:right w:val="none" w:sz="0" w:space="0" w:color="auto"/>
      </w:divBdr>
    </w:div>
    <w:div w:id="1796678958">
      <w:bodyDiv w:val="1"/>
      <w:marLeft w:val="0"/>
      <w:marRight w:val="0"/>
      <w:marTop w:val="0"/>
      <w:marBottom w:val="0"/>
      <w:divBdr>
        <w:top w:val="none" w:sz="0" w:space="0" w:color="auto"/>
        <w:left w:val="none" w:sz="0" w:space="0" w:color="auto"/>
        <w:bottom w:val="none" w:sz="0" w:space="0" w:color="auto"/>
        <w:right w:val="none" w:sz="0" w:space="0" w:color="auto"/>
      </w:divBdr>
    </w:div>
    <w:div w:id="2117023628">
      <w:bodyDiv w:val="1"/>
      <w:marLeft w:val="0"/>
      <w:marRight w:val="0"/>
      <w:marTop w:val="0"/>
      <w:marBottom w:val="0"/>
      <w:divBdr>
        <w:top w:val="none" w:sz="0" w:space="0" w:color="auto"/>
        <w:left w:val="none" w:sz="0" w:space="0" w:color="auto"/>
        <w:bottom w:val="none" w:sz="0" w:space="0" w:color="auto"/>
        <w:right w:val="none" w:sz="0" w:space="0" w:color="auto"/>
      </w:divBdr>
    </w:div>
    <w:div w:id="2130124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625077-6FF6-4408-AED2-C5951E3DD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305</Words>
  <Characters>1744</Characters>
  <Application>Microsoft Office Word</Application>
  <DocSecurity>0</DocSecurity>
  <Lines>14</Lines>
  <Paragraphs>4</Paragraphs>
  <ScaleCrop>false</ScaleCrop>
  <Company>Microsoft</Company>
  <LinksUpToDate>false</LinksUpToDate>
  <CharactersWithSpaces>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钟情思</cp:lastModifiedBy>
  <cp:revision>23</cp:revision>
  <cp:lastPrinted>2021-05-10T05:02:00Z</cp:lastPrinted>
  <dcterms:created xsi:type="dcterms:W3CDTF">2018-05-09T04:08:00Z</dcterms:created>
  <dcterms:modified xsi:type="dcterms:W3CDTF">2022-03-21T07:45:00Z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