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FF206" w14:textId="61964FAD" w:rsidR="009A49E3" w:rsidRDefault="0093415C" w:rsidP="0093415C">
      <w:pPr>
        <w:snapToGrid w:val="0"/>
        <w:jc w:val="center"/>
        <w:rPr>
          <w:rStyle w:val="NormalCharacter"/>
          <w:rFonts w:ascii="微软雅黑" w:eastAsia="微软雅黑" w:hAnsi="微软雅黑"/>
          <w:b/>
          <w:sz w:val="28"/>
          <w:szCs w:val="28"/>
        </w:rPr>
      </w:pPr>
      <w:r>
        <w:rPr>
          <w:rStyle w:val="NormalCharacter"/>
          <w:rFonts w:ascii="宋体" w:hAnsi="宋体"/>
          <w:color w:val="000000"/>
          <w:sz w:val="24"/>
        </w:rPr>
        <w:t>证券代码：600379</w:t>
      </w:r>
      <w:r>
        <w:rPr>
          <w:rStyle w:val="NormalCharacter"/>
          <w:rFonts w:ascii="宋体" w:hAnsi="宋体"/>
          <w:color w:val="000000"/>
          <w:sz w:val="24"/>
        </w:rPr>
        <w:tab/>
      </w:r>
      <w:r>
        <w:rPr>
          <w:rStyle w:val="NormalCharacter"/>
          <w:rFonts w:ascii="宋体" w:hAnsi="宋体"/>
          <w:color w:val="000000"/>
          <w:sz w:val="24"/>
        </w:rPr>
        <w:tab/>
        <w:t xml:space="preserve">                                  证券简称：宝光股份</w:t>
      </w:r>
    </w:p>
    <w:p w14:paraId="6D849410" w14:textId="77777777" w:rsidR="009A49E3" w:rsidRDefault="009A49E3">
      <w:pPr>
        <w:snapToGrid w:val="0"/>
        <w:jc w:val="center"/>
        <w:rPr>
          <w:rStyle w:val="NormalCharacter"/>
          <w:rFonts w:ascii="微软雅黑" w:eastAsia="微软雅黑" w:hAnsi="微软雅黑"/>
          <w:b/>
          <w:sz w:val="28"/>
          <w:szCs w:val="28"/>
        </w:rPr>
      </w:pPr>
    </w:p>
    <w:p w14:paraId="12311962" w14:textId="77777777" w:rsidR="009A49E3" w:rsidRDefault="009D7ACA">
      <w:pPr>
        <w:snapToGrid w:val="0"/>
        <w:jc w:val="center"/>
        <w:rPr>
          <w:rStyle w:val="NormalCharacter"/>
          <w:rFonts w:ascii="宋体" w:hAnsi="宋体"/>
          <w:b/>
          <w:sz w:val="36"/>
          <w:szCs w:val="36"/>
        </w:rPr>
      </w:pPr>
      <w:r w:rsidRPr="0006085F">
        <w:rPr>
          <w:rStyle w:val="NormalCharacter"/>
          <w:rFonts w:ascii="宋体" w:hAnsi="宋体"/>
          <w:b/>
          <w:sz w:val="36"/>
          <w:szCs w:val="36"/>
        </w:rPr>
        <w:t>陕西宝光真空电器股份有限公司</w:t>
      </w:r>
    </w:p>
    <w:p w14:paraId="00A789EA" w14:textId="1E86514A" w:rsidR="009A49E3" w:rsidRDefault="00871FD7" w:rsidP="0006085F">
      <w:pPr>
        <w:snapToGrid w:val="0"/>
        <w:spacing w:after="156"/>
        <w:jc w:val="center"/>
        <w:rPr>
          <w:rStyle w:val="NormalCharacter"/>
          <w:rFonts w:ascii="宋体" w:hAnsi="宋体"/>
          <w:b/>
          <w:sz w:val="36"/>
          <w:szCs w:val="36"/>
        </w:rPr>
      </w:pPr>
      <w:r>
        <w:rPr>
          <w:rStyle w:val="NormalCharacter"/>
          <w:rFonts w:ascii="宋体" w:hAnsi="宋体"/>
          <w:b/>
          <w:sz w:val="36"/>
          <w:szCs w:val="36"/>
        </w:rPr>
        <w:t>202</w:t>
      </w:r>
      <w:r w:rsidR="00FD0A0F">
        <w:rPr>
          <w:rStyle w:val="NormalCharacter"/>
          <w:rFonts w:ascii="宋体" w:hAnsi="宋体"/>
          <w:b/>
          <w:sz w:val="36"/>
          <w:szCs w:val="36"/>
        </w:rPr>
        <w:t>2</w:t>
      </w:r>
      <w:r>
        <w:rPr>
          <w:rStyle w:val="NormalCharacter"/>
          <w:rFonts w:ascii="宋体" w:hAnsi="宋体" w:hint="eastAsia"/>
          <w:b/>
          <w:sz w:val="36"/>
          <w:szCs w:val="36"/>
        </w:rPr>
        <w:t>年</w:t>
      </w:r>
      <w:r w:rsidR="00DC23B5">
        <w:rPr>
          <w:rStyle w:val="NormalCharacter"/>
          <w:rFonts w:ascii="宋体" w:hAnsi="宋体" w:hint="eastAsia"/>
          <w:b/>
          <w:sz w:val="36"/>
          <w:szCs w:val="36"/>
        </w:rPr>
        <w:t>2</w:t>
      </w:r>
      <w:r w:rsidR="008607F2">
        <w:rPr>
          <w:rStyle w:val="NormalCharacter"/>
          <w:rFonts w:ascii="宋体" w:hAnsi="宋体" w:hint="eastAsia"/>
          <w:b/>
          <w:sz w:val="36"/>
          <w:szCs w:val="36"/>
        </w:rPr>
        <w:t>月</w:t>
      </w:r>
      <w:r w:rsidR="00DC23B5">
        <w:rPr>
          <w:rStyle w:val="NormalCharacter"/>
          <w:rFonts w:ascii="宋体" w:hAnsi="宋体" w:hint="eastAsia"/>
          <w:b/>
          <w:sz w:val="36"/>
          <w:szCs w:val="36"/>
        </w:rPr>
        <w:t>-3</w:t>
      </w:r>
      <w:r>
        <w:rPr>
          <w:rStyle w:val="NormalCharacter"/>
          <w:rFonts w:ascii="宋体" w:hAnsi="宋体" w:hint="eastAsia"/>
          <w:b/>
          <w:sz w:val="36"/>
          <w:szCs w:val="36"/>
        </w:rPr>
        <w:t>月</w:t>
      </w:r>
      <w:r w:rsidR="00F13260">
        <w:rPr>
          <w:rStyle w:val="NormalCharacter"/>
          <w:rFonts w:ascii="宋体" w:hAnsi="宋体" w:hint="eastAsia"/>
          <w:b/>
          <w:sz w:val="36"/>
          <w:szCs w:val="36"/>
        </w:rPr>
        <w:t>机构</w:t>
      </w:r>
      <w:r>
        <w:rPr>
          <w:rStyle w:val="NormalCharacter"/>
          <w:rFonts w:ascii="宋体" w:hAnsi="宋体" w:hint="eastAsia"/>
          <w:b/>
          <w:sz w:val="36"/>
          <w:szCs w:val="36"/>
        </w:rPr>
        <w:t>投资者</w:t>
      </w:r>
      <w:r w:rsidR="00783344">
        <w:rPr>
          <w:rStyle w:val="NormalCharacter"/>
          <w:rFonts w:ascii="宋体" w:hAnsi="宋体" w:hint="eastAsia"/>
          <w:b/>
          <w:sz w:val="36"/>
          <w:szCs w:val="36"/>
        </w:rPr>
        <w:t>调研</w:t>
      </w:r>
      <w:bookmarkStart w:id="0" w:name="_GoBack"/>
      <w:bookmarkEnd w:id="0"/>
      <w:r w:rsidR="0093415C" w:rsidRPr="0006085F">
        <w:rPr>
          <w:rStyle w:val="NormalCharacter"/>
          <w:rFonts w:ascii="宋体" w:hAnsi="宋体"/>
          <w:b/>
          <w:sz w:val="36"/>
          <w:szCs w:val="36"/>
        </w:rPr>
        <w:t>交流</w:t>
      </w:r>
      <w:r w:rsidR="003D2345">
        <w:rPr>
          <w:rStyle w:val="NormalCharacter"/>
          <w:rFonts w:ascii="宋体" w:hAnsi="宋体" w:hint="eastAsia"/>
          <w:b/>
          <w:sz w:val="36"/>
          <w:szCs w:val="36"/>
        </w:rPr>
        <w:t>记录</w:t>
      </w:r>
    </w:p>
    <w:tbl>
      <w:tblPr>
        <w:tblW w:w="8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281"/>
        <w:gridCol w:w="1530"/>
        <w:gridCol w:w="1269"/>
        <w:gridCol w:w="2112"/>
        <w:gridCol w:w="1334"/>
        <w:gridCol w:w="1359"/>
        <w:gridCol w:w="6"/>
      </w:tblGrid>
      <w:tr w:rsidR="009A49E3" w:rsidRPr="00C374EA" w14:paraId="795E5FE3" w14:textId="77777777" w:rsidTr="00C374EA">
        <w:trPr>
          <w:gridAfter w:val="1"/>
          <w:wAfter w:w="6" w:type="dxa"/>
          <w:trHeight w:val="948"/>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36628A29" w14:textId="77777777" w:rsidR="009A49E3" w:rsidRPr="00C374EA" w:rsidRDefault="009D7ACA" w:rsidP="00C374EA">
            <w:pPr>
              <w:adjustRightInd w:val="0"/>
              <w:snapToGrid w:val="0"/>
              <w:spacing w:beforeLines="50" w:before="156"/>
              <w:ind w:firstLineChars="59" w:firstLine="142"/>
              <w:rPr>
                <w:rStyle w:val="NormalCharacter"/>
                <w:rFonts w:ascii="宋体" w:hAnsi="宋体"/>
                <w:b/>
                <w:bCs/>
                <w:sz w:val="24"/>
              </w:rPr>
            </w:pPr>
            <w:r w:rsidRPr="00C374EA">
              <w:rPr>
                <w:rStyle w:val="NormalCharacter"/>
                <w:rFonts w:ascii="宋体" w:hAnsi="宋体"/>
                <w:b/>
                <w:bCs/>
                <w:sz w:val="24"/>
              </w:rPr>
              <w:t>时  间</w:t>
            </w:r>
          </w:p>
        </w:tc>
        <w:tc>
          <w:tcPr>
            <w:tcW w:w="1530" w:type="dxa"/>
            <w:tcBorders>
              <w:top w:val="single" w:sz="4" w:space="0" w:color="000000"/>
              <w:left w:val="single" w:sz="4" w:space="0" w:color="000000"/>
              <w:bottom w:val="single" w:sz="4" w:space="0" w:color="000000"/>
              <w:right w:val="single" w:sz="4" w:space="0" w:color="000000"/>
            </w:tcBorders>
            <w:vAlign w:val="center"/>
          </w:tcPr>
          <w:p w14:paraId="28B0CFB7" w14:textId="734B1E89" w:rsidR="009A49E3" w:rsidRPr="00C374EA" w:rsidRDefault="009D7ACA" w:rsidP="00C374EA">
            <w:pPr>
              <w:adjustRightInd w:val="0"/>
              <w:snapToGrid w:val="0"/>
              <w:spacing w:beforeLines="50" w:before="156"/>
              <w:ind w:leftChars="-1" w:left="-2" w:firstLineChars="38" w:firstLine="92"/>
              <w:rPr>
                <w:rStyle w:val="NormalCharacter"/>
                <w:rFonts w:ascii="宋体" w:hAnsi="宋体"/>
                <w:b/>
                <w:bCs/>
                <w:color w:val="1F497D"/>
                <w:sz w:val="24"/>
              </w:rPr>
            </w:pPr>
            <w:r w:rsidRPr="00C374EA">
              <w:rPr>
                <w:rStyle w:val="NormalCharacter"/>
                <w:rFonts w:ascii="宋体" w:hAnsi="宋体"/>
                <w:b/>
                <w:bCs/>
                <w:color w:val="1F497D"/>
                <w:sz w:val="24"/>
              </w:rPr>
              <w:t>202</w:t>
            </w:r>
            <w:r w:rsidR="008522D7" w:rsidRPr="00C374EA">
              <w:rPr>
                <w:rStyle w:val="NormalCharacter"/>
                <w:rFonts w:ascii="宋体" w:hAnsi="宋体"/>
                <w:b/>
                <w:bCs/>
                <w:color w:val="1F497D"/>
                <w:sz w:val="24"/>
              </w:rPr>
              <w:t>2</w:t>
            </w:r>
            <w:r w:rsidRPr="00C374EA">
              <w:rPr>
                <w:rStyle w:val="NormalCharacter"/>
                <w:rFonts w:ascii="宋体" w:hAnsi="宋体"/>
                <w:b/>
                <w:bCs/>
                <w:color w:val="1F497D"/>
                <w:sz w:val="24"/>
              </w:rPr>
              <w:t>/</w:t>
            </w:r>
            <w:r w:rsidR="00DC23B5" w:rsidRPr="00C374EA">
              <w:rPr>
                <w:rStyle w:val="NormalCharacter"/>
                <w:rFonts w:ascii="宋体" w:hAnsi="宋体"/>
                <w:b/>
                <w:bCs/>
                <w:color w:val="1F497D"/>
                <w:sz w:val="24"/>
              </w:rPr>
              <w:t>0</w:t>
            </w:r>
            <w:r w:rsidR="00DC23B5" w:rsidRPr="00C374EA">
              <w:rPr>
                <w:rStyle w:val="NormalCharacter"/>
                <w:rFonts w:ascii="宋体" w:hAnsi="宋体" w:hint="eastAsia"/>
                <w:b/>
                <w:bCs/>
                <w:color w:val="1F497D"/>
                <w:sz w:val="24"/>
              </w:rPr>
              <w:t>2</w:t>
            </w:r>
            <w:r w:rsidRPr="00C374EA">
              <w:rPr>
                <w:rStyle w:val="NormalCharacter"/>
                <w:rFonts w:ascii="宋体" w:hAnsi="宋体"/>
                <w:b/>
                <w:bCs/>
                <w:color w:val="1F497D"/>
                <w:sz w:val="24"/>
              </w:rPr>
              <w:t>/</w:t>
            </w:r>
            <w:r w:rsidR="00374AF2" w:rsidRPr="00C374EA">
              <w:rPr>
                <w:rStyle w:val="NormalCharacter"/>
                <w:rFonts w:ascii="宋体" w:hAnsi="宋体"/>
                <w:b/>
                <w:bCs/>
                <w:color w:val="1F497D"/>
                <w:sz w:val="24"/>
              </w:rPr>
              <w:t>01</w:t>
            </w:r>
            <w:r w:rsidR="00374AF2" w:rsidRPr="00C374EA">
              <w:rPr>
                <w:rStyle w:val="NormalCharacter"/>
                <w:rFonts w:ascii="宋体" w:hAnsi="宋体" w:hint="eastAsia"/>
                <w:b/>
                <w:bCs/>
                <w:color w:val="1F497D"/>
                <w:sz w:val="24"/>
              </w:rPr>
              <w:t>-</w:t>
            </w:r>
            <w:r w:rsidR="00374AF2" w:rsidRPr="00C374EA">
              <w:rPr>
                <w:rStyle w:val="NormalCharacter"/>
                <w:rFonts w:ascii="宋体" w:hAnsi="宋体"/>
                <w:b/>
                <w:bCs/>
                <w:color w:val="1F497D"/>
                <w:sz w:val="24"/>
              </w:rPr>
              <w:t>202</w:t>
            </w:r>
            <w:r w:rsidR="008522D7" w:rsidRPr="00C374EA">
              <w:rPr>
                <w:rStyle w:val="NormalCharacter"/>
                <w:rFonts w:ascii="宋体" w:hAnsi="宋体"/>
                <w:b/>
                <w:bCs/>
                <w:color w:val="1F497D"/>
                <w:sz w:val="24"/>
              </w:rPr>
              <w:t>2</w:t>
            </w:r>
            <w:r w:rsidR="00374AF2" w:rsidRPr="00C374EA">
              <w:rPr>
                <w:rStyle w:val="NormalCharacter"/>
                <w:rFonts w:ascii="宋体" w:hAnsi="宋体"/>
                <w:b/>
                <w:bCs/>
                <w:color w:val="1F497D"/>
                <w:sz w:val="24"/>
              </w:rPr>
              <w:t>/</w:t>
            </w:r>
            <w:r w:rsidR="008522D7" w:rsidRPr="00C374EA">
              <w:rPr>
                <w:rStyle w:val="NormalCharacter"/>
                <w:rFonts w:ascii="宋体" w:hAnsi="宋体"/>
                <w:b/>
                <w:bCs/>
                <w:color w:val="1F497D"/>
                <w:sz w:val="24"/>
              </w:rPr>
              <w:t>0</w:t>
            </w:r>
            <w:r w:rsidR="00DC23B5" w:rsidRPr="00C374EA">
              <w:rPr>
                <w:rStyle w:val="NormalCharacter"/>
                <w:rFonts w:ascii="宋体" w:hAnsi="宋体" w:hint="eastAsia"/>
                <w:b/>
                <w:bCs/>
                <w:color w:val="1F497D"/>
                <w:sz w:val="24"/>
              </w:rPr>
              <w:t>3</w:t>
            </w:r>
            <w:r w:rsidR="00374AF2" w:rsidRPr="00C374EA">
              <w:rPr>
                <w:rStyle w:val="NormalCharacter"/>
                <w:rFonts w:ascii="宋体" w:hAnsi="宋体" w:hint="eastAsia"/>
                <w:b/>
                <w:bCs/>
                <w:color w:val="1F497D"/>
                <w:sz w:val="24"/>
              </w:rPr>
              <w:t>/</w:t>
            </w:r>
            <w:r w:rsidR="00374AF2" w:rsidRPr="00C374EA">
              <w:rPr>
                <w:rStyle w:val="NormalCharacter"/>
                <w:rFonts w:ascii="宋体" w:hAnsi="宋体"/>
                <w:b/>
                <w:bCs/>
                <w:color w:val="1F497D"/>
                <w:sz w:val="24"/>
              </w:rPr>
              <w:t>31</w:t>
            </w:r>
          </w:p>
        </w:tc>
        <w:tc>
          <w:tcPr>
            <w:tcW w:w="1269" w:type="dxa"/>
            <w:tcBorders>
              <w:top w:val="single" w:sz="4" w:space="0" w:color="000000"/>
              <w:left w:val="single" w:sz="4" w:space="0" w:color="000000"/>
              <w:bottom w:val="single" w:sz="4" w:space="0" w:color="000000"/>
              <w:right w:val="single" w:sz="4" w:space="0" w:color="000000"/>
            </w:tcBorders>
            <w:vAlign w:val="center"/>
          </w:tcPr>
          <w:p w14:paraId="221D6923" w14:textId="77777777" w:rsidR="009A49E3" w:rsidRPr="00C374EA" w:rsidRDefault="009D7ACA" w:rsidP="00C374EA">
            <w:pPr>
              <w:adjustRightInd w:val="0"/>
              <w:snapToGrid w:val="0"/>
              <w:spacing w:beforeLines="50" w:before="156"/>
              <w:jc w:val="center"/>
              <w:rPr>
                <w:rStyle w:val="NormalCharacter"/>
                <w:rFonts w:ascii="宋体" w:hAnsi="宋体"/>
                <w:b/>
                <w:bCs/>
                <w:sz w:val="24"/>
              </w:rPr>
            </w:pPr>
            <w:r w:rsidRPr="00C374EA">
              <w:rPr>
                <w:rStyle w:val="NormalCharacter"/>
                <w:rFonts w:ascii="宋体" w:hAnsi="宋体"/>
                <w:b/>
                <w:bCs/>
                <w:sz w:val="24"/>
              </w:rPr>
              <w:t>接待人员</w:t>
            </w:r>
          </w:p>
        </w:tc>
        <w:tc>
          <w:tcPr>
            <w:tcW w:w="2112" w:type="dxa"/>
            <w:tcBorders>
              <w:top w:val="single" w:sz="4" w:space="0" w:color="000000"/>
              <w:left w:val="single" w:sz="4" w:space="0" w:color="000000"/>
              <w:bottom w:val="single" w:sz="4" w:space="0" w:color="000000"/>
              <w:right w:val="single" w:sz="4" w:space="0" w:color="000000"/>
            </w:tcBorders>
            <w:vAlign w:val="center"/>
          </w:tcPr>
          <w:p w14:paraId="5D572C65" w14:textId="77777777" w:rsidR="009A49E3" w:rsidRPr="00C374EA" w:rsidRDefault="000F7F84" w:rsidP="00C374EA">
            <w:pPr>
              <w:adjustRightInd w:val="0"/>
              <w:snapToGrid w:val="0"/>
              <w:spacing w:beforeLines="50" w:before="156"/>
              <w:ind w:firstLineChars="50" w:firstLine="120"/>
              <w:jc w:val="left"/>
              <w:rPr>
                <w:rStyle w:val="NormalCharacter"/>
                <w:rFonts w:ascii="宋体" w:hAnsi="宋体"/>
                <w:b/>
                <w:bCs/>
                <w:color w:val="1F497D"/>
                <w:sz w:val="24"/>
              </w:rPr>
            </w:pPr>
            <w:r w:rsidRPr="00C374EA">
              <w:rPr>
                <w:rStyle w:val="NormalCharacter"/>
                <w:rFonts w:ascii="宋体" w:hAnsi="宋体"/>
                <w:b/>
                <w:bCs/>
                <w:color w:val="1F497D"/>
                <w:sz w:val="24"/>
              </w:rPr>
              <w:t>副总经理尹哲</w:t>
            </w:r>
          </w:p>
          <w:p w14:paraId="15BAFE68" w14:textId="061A1BD1" w:rsidR="009A49E3" w:rsidRPr="00C374EA" w:rsidRDefault="000F7F84" w:rsidP="00C374EA">
            <w:pPr>
              <w:adjustRightInd w:val="0"/>
              <w:snapToGrid w:val="0"/>
              <w:spacing w:beforeLines="50" w:before="156"/>
              <w:ind w:firstLineChars="50" w:firstLine="120"/>
              <w:jc w:val="left"/>
              <w:rPr>
                <w:rStyle w:val="NormalCharacter"/>
                <w:rFonts w:ascii="宋体" w:hAnsi="宋体"/>
                <w:b/>
                <w:bCs/>
                <w:color w:val="1F497D"/>
                <w:sz w:val="24"/>
              </w:rPr>
            </w:pPr>
            <w:r w:rsidRPr="00C374EA">
              <w:rPr>
                <w:rStyle w:val="NormalCharacter"/>
                <w:rFonts w:ascii="宋体" w:hAnsi="宋体"/>
                <w:b/>
                <w:bCs/>
                <w:color w:val="1F497D"/>
                <w:sz w:val="24"/>
              </w:rPr>
              <w:t>董事会秘书原瑞涛</w:t>
            </w:r>
          </w:p>
        </w:tc>
        <w:tc>
          <w:tcPr>
            <w:tcW w:w="1334" w:type="dxa"/>
            <w:tcBorders>
              <w:top w:val="single" w:sz="4" w:space="0" w:color="000000"/>
              <w:left w:val="single" w:sz="4" w:space="0" w:color="000000"/>
              <w:bottom w:val="single" w:sz="4" w:space="0" w:color="000000"/>
              <w:right w:val="single" w:sz="4" w:space="0" w:color="000000"/>
            </w:tcBorders>
            <w:vAlign w:val="center"/>
          </w:tcPr>
          <w:p w14:paraId="41BEA0F1" w14:textId="77777777" w:rsidR="009A49E3" w:rsidRPr="00C374EA" w:rsidRDefault="00794EA1" w:rsidP="00C374EA">
            <w:pPr>
              <w:adjustRightInd w:val="0"/>
              <w:snapToGrid w:val="0"/>
              <w:spacing w:beforeLines="50" w:before="156"/>
              <w:ind w:firstLineChars="58" w:firstLine="140"/>
              <w:rPr>
                <w:rStyle w:val="NormalCharacter"/>
                <w:rFonts w:ascii="宋体" w:hAnsi="宋体"/>
                <w:b/>
                <w:bCs/>
                <w:sz w:val="24"/>
              </w:rPr>
            </w:pPr>
            <w:r w:rsidRPr="00C374EA">
              <w:rPr>
                <w:rStyle w:val="NormalCharacter"/>
                <w:rFonts w:ascii="宋体" w:hAnsi="宋体"/>
                <w:b/>
                <w:bCs/>
                <w:sz w:val="24"/>
              </w:rPr>
              <w:t>活动类别</w:t>
            </w:r>
          </w:p>
        </w:tc>
        <w:tc>
          <w:tcPr>
            <w:tcW w:w="1359" w:type="dxa"/>
            <w:tcBorders>
              <w:top w:val="single" w:sz="4" w:space="0" w:color="000000"/>
              <w:left w:val="single" w:sz="4" w:space="0" w:color="000000"/>
              <w:bottom w:val="single" w:sz="4" w:space="0" w:color="000000"/>
              <w:right w:val="single" w:sz="4" w:space="0" w:color="000000"/>
            </w:tcBorders>
            <w:vAlign w:val="center"/>
          </w:tcPr>
          <w:p w14:paraId="535B5C25" w14:textId="77777777" w:rsidR="00DC23B5" w:rsidRPr="00C374EA" w:rsidRDefault="00871FD7" w:rsidP="00C374EA">
            <w:pPr>
              <w:adjustRightInd w:val="0"/>
              <w:snapToGrid w:val="0"/>
              <w:spacing w:beforeLines="50" w:before="156"/>
              <w:ind w:firstLineChars="95" w:firstLine="229"/>
              <w:rPr>
                <w:rStyle w:val="NormalCharacter"/>
                <w:rFonts w:ascii="宋体" w:hAnsi="宋体"/>
                <w:b/>
                <w:bCs/>
                <w:color w:val="1F497D"/>
                <w:sz w:val="24"/>
              </w:rPr>
            </w:pPr>
            <w:r w:rsidRPr="00C374EA">
              <w:rPr>
                <w:rStyle w:val="NormalCharacter"/>
                <w:rFonts w:ascii="宋体" w:hAnsi="宋体" w:hint="eastAsia"/>
                <w:b/>
                <w:bCs/>
                <w:color w:val="1F497D"/>
                <w:sz w:val="24"/>
              </w:rPr>
              <w:t>电话会议</w:t>
            </w:r>
          </w:p>
          <w:p w14:paraId="49310A21" w14:textId="72EAE103" w:rsidR="009A49E3" w:rsidRPr="00C374EA" w:rsidRDefault="00871FD7" w:rsidP="00C374EA">
            <w:pPr>
              <w:adjustRightInd w:val="0"/>
              <w:snapToGrid w:val="0"/>
              <w:spacing w:beforeLines="50" w:before="156"/>
              <w:ind w:firstLineChars="95" w:firstLine="229"/>
              <w:rPr>
                <w:rStyle w:val="NormalCharacter"/>
                <w:rFonts w:ascii="宋体" w:hAnsi="宋体"/>
                <w:b/>
                <w:bCs/>
                <w:color w:val="1F497D"/>
                <w:sz w:val="24"/>
              </w:rPr>
            </w:pPr>
            <w:r w:rsidRPr="00C374EA">
              <w:rPr>
                <w:rStyle w:val="NormalCharacter"/>
                <w:rFonts w:ascii="宋体" w:hAnsi="宋体" w:hint="eastAsia"/>
                <w:b/>
                <w:bCs/>
                <w:color w:val="1F497D"/>
                <w:sz w:val="24"/>
              </w:rPr>
              <w:t>路演活动</w:t>
            </w:r>
          </w:p>
        </w:tc>
      </w:tr>
      <w:tr w:rsidR="00871FD7" w:rsidRPr="00C374EA" w14:paraId="472FF82D" w14:textId="77777777" w:rsidTr="00C374EA">
        <w:trPr>
          <w:trHeight w:val="834"/>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349187BE" w14:textId="4A5B080F" w:rsidR="00871FD7" w:rsidRPr="00C374EA" w:rsidRDefault="00871FD7" w:rsidP="00C374EA">
            <w:pPr>
              <w:adjustRightInd w:val="0"/>
              <w:snapToGrid w:val="0"/>
              <w:spacing w:beforeLines="50" w:before="156"/>
              <w:ind w:firstLine="1"/>
              <w:jc w:val="center"/>
              <w:rPr>
                <w:rStyle w:val="NormalCharacter"/>
                <w:rFonts w:ascii="宋体" w:hAnsi="宋体"/>
                <w:b/>
                <w:bCs/>
                <w:sz w:val="24"/>
              </w:rPr>
            </w:pPr>
            <w:r w:rsidRPr="00C374EA">
              <w:rPr>
                <w:rStyle w:val="NormalCharacter"/>
                <w:rFonts w:ascii="宋体" w:hAnsi="宋体" w:hint="eastAsia"/>
                <w:b/>
                <w:bCs/>
                <w:sz w:val="24"/>
              </w:rPr>
              <w:t>参与机构</w:t>
            </w:r>
          </w:p>
        </w:tc>
        <w:tc>
          <w:tcPr>
            <w:tcW w:w="7610" w:type="dxa"/>
            <w:gridSpan w:val="6"/>
            <w:tcBorders>
              <w:top w:val="single" w:sz="4" w:space="0" w:color="000000"/>
              <w:left w:val="single" w:sz="4" w:space="0" w:color="000000"/>
              <w:bottom w:val="single" w:sz="4" w:space="0" w:color="000000"/>
              <w:right w:val="single" w:sz="4" w:space="0" w:color="000000"/>
            </w:tcBorders>
            <w:vAlign w:val="center"/>
          </w:tcPr>
          <w:p w14:paraId="51586538" w14:textId="2BFD214A" w:rsidR="00871FD7" w:rsidRPr="00C374EA" w:rsidRDefault="00871FD7" w:rsidP="00C374EA">
            <w:pPr>
              <w:adjustRightInd w:val="0"/>
              <w:snapToGrid w:val="0"/>
              <w:spacing w:beforeLines="50" w:before="156"/>
              <w:ind w:firstLineChars="100" w:firstLine="241"/>
              <w:jc w:val="left"/>
              <w:rPr>
                <w:rStyle w:val="NormalCharacter"/>
                <w:rFonts w:ascii="宋体" w:hAnsi="宋体"/>
                <w:b/>
                <w:bCs/>
                <w:color w:val="1F497D"/>
                <w:sz w:val="24"/>
              </w:rPr>
            </w:pPr>
            <w:r w:rsidRPr="00C374EA">
              <w:rPr>
                <w:rStyle w:val="NormalCharacter"/>
                <w:rFonts w:ascii="宋体" w:hAnsi="宋体" w:hint="eastAsia"/>
                <w:b/>
                <w:bCs/>
                <w:color w:val="1F497D"/>
                <w:sz w:val="24"/>
              </w:rPr>
              <w:t>海通证券、方正证券、</w:t>
            </w:r>
            <w:r w:rsidR="00DC23B5" w:rsidRPr="00C374EA">
              <w:rPr>
                <w:rStyle w:val="NormalCharacter"/>
                <w:rFonts w:ascii="宋体" w:hAnsi="宋体" w:hint="eastAsia"/>
                <w:b/>
                <w:bCs/>
                <w:color w:val="1F497D"/>
                <w:sz w:val="24"/>
              </w:rPr>
              <w:t>中信</w:t>
            </w:r>
            <w:r w:rsidR="00A00A40" w:rsidRPr="00C374EA">
              <w:rPr>
                <w:rStyle w:val="NormalCharacter"/>
                <w:rFonts w:ascii="宋体" w:hAnsi="宋体" w:hint="eastAsia"/>
                <w:b/>
                <w:bCs/>
                <w:color w:val="1F497D"/>
                <w:sz w:val="24"/>
              </w:rPr>
              <w:t>证券、</w:t>
            </w:r>
            <w:r w:rsidR="00DC23B5" w:rsidRPr="00C374EA">
              <w:rPr>
                <w:rStyle w:val="NormalCharacter"/>
                <w:rFonts w:ascii="宋体" w:hAnsi="宋体" w:hint="eastAsia"/>
                <w:b/>
                <w:bCs/>
                <w:color w:val="1F497D"/>
                <w:sz w:val="24"/>
              </w:rPr>
              <w:t>中金证券、开源证券、东方基金</w:t>
            </w:r>
          </w:p>
        </w:tc>
      </w:tr>
      <w:tr w:rsidR="009A49E3" w:rsidRPr="00C374EA" w14:paraId="6BE31142" w14:textId="77777777" w:rsidTr="00C374EA">
        <w:trPr>
          <w:jc w:val="center"/>
        </w:trPr>
        <w:tc>
          <w:tcPr>
            <w:tcW w:w="8891" w:type="dxa"/>
            <w:gridSpan w:val="7"/>
            <w:tcBorders>
              <w:top w:val="single" w:sz="4" w:space="0" w:color="000000"/>
              <w:left w:val="single" w:sz="4" w:space="0" w:color="000000"/>
              <w:bottom w:val="single" w:sz="4" w:space="0" w:color="000000"/>
              <w:right w:val="single" w:sz="4" w:space="0" w:color="000000"/>
            </w:tcBorders>
          </w:tcPr>
          <w:p w14:paraId="1650A03B" w14:textId="14D235D3" w:rsidR="009A49E3" w:rsidRPr="00C374EA" w:rsidRDefault="0093415C" w:rsidP="00C374EA">
            <w:pPr>
              <w:adjustRightInd w:val="0"/>
              <w:snapToGrid w:val="0"/>
              <w:spacing w:beforeLines="50" w:before="156"/>
              <w:rPr>
                <w:rStyle w:val="NormalCharacter"/>
                <w:rFonts w:ascii="宋体" w:hAnsi="宋体"/>
                <w:b/>
                <w:bCs/>
                <w:sz w:val="24"/>
              </w:rPr>
            </w:pPr>
            <w:r w:rsidRPr="00C374EA">
              <w:rPr>
                <w:rStyle w:val="NormalCharacter"/>
                <w:rFonts w:ascii="宋体" w:hAnsi="宋体"/>
                <w:b/>
                <w:bCs/>
                <w:sz w:val="24"/>
              </w:rPr>
              <w:t>机构投资者</w:t>
            </w:r>
            <w:r w:rsidR="00651BC2" w:rsidRPr="00C374EA">
              <w:rPr>
                <w:rStyle w:val="NormalCharacter"/>
                <w:rFonts w:ascii="宋体" w:hAnsi="宋体" w:hint="eastAsia"/>
                <w:b/>
                <w:bCs/>
                <w:sz w:val="24"/>
              </w:rPr>
              <w:t>重点</w:t>
            </w:r>
            <w:r w:rsidRPr="00C374EA">
              <w:rPr>
                <w:rStyle w:val="NormalCharacter"/>
                <w:rFonts w:ascii="宋体" w:hAnsi="宋体"/>
                <w:b/>
                <w:bCs/>
                <w:sz w:val="24"/>
              </w:rPr>
              <w:t>关注的</w:t>
            </w:r>
            <w:r w:rsidR="000F7F84" w:rsidRPr="00C374EA">
              <w:rPr>
                <w:rStyle w:val="NormalCharacter"/>
                <w:rFonts w:ascii="宋体" w:hAnsi="宋体"/>
                <w:b/>
                <w:bCs/>
                <w:sz w:val="24"/>
              </w:rPr>
              <w:t>主要问题与</w:t>
            </w:r>
            <w:r w:rsidRPr="00C374EA">
              <w:rPr>
                <w:rStyle w:val="NormalCharacter"/>
                <w:rFonts w:ascii="宋体" w:hAnsi="宋体"/>
                <w:b/>
                <w:bCs/>
                <w:sz w:val="24"/>
              </w:rPr>
              <w:t>回复</w:t>
            </w:r>
            <w:r w:rsidR="000F7F84" w:rsidRPr="00C374EA">
              <w:rPr>
                <w:rStyle w:val="NormalCharacter"/>
                <w:rFonts w:ascii="宋体" w:hAnsi="宋体"/>
                <w:b/>
                <w:bCs/>
                <w:sz w:val="24"/>
              </w:rPr>
              <w:t>：</w:t>
            </w:r>
          </w:p>
          <w:p w14:paraId="7D382D9C" w14:textId="015F3A59" w:rsidR="00C1325A" w:rsidRPr="00C374EA" w:rsidRDefault="00E0528B" w:rsidP="00C374EA">
            <w:pPr>
              <w:adjustRightInd w:val="0"/>
              <w:snapToGrid w:val="0"/>
              <w:spacing w:beforeLines="50" w:before="156"/>
              <w:ind w:right="420" w:firstLineChars="200" w:firstLine="482"/>
              <w:rPr>
                <w:rStyle w:val="NormalCharacter"/>
                <w:rFonts w:ascii="宋体" w:hAnsi="宋体"/>
                <w:b/>
                <w:sz w:val="24"/>
              </w:rPr>
            </w:pPr>
            <w:r w:rsidRPr="00C374EA">
              <w:rPr>
                <w:rStyle w:val="NormalCharacter"/>
                <w:rFonts w:ascii="宋体" w:hAnsi="宋体" w:hint="eastAsia"/>
                <w:b/>
                <w:sz w:val="24"/>
              </w:rPr>
              <w:t>1、</w:t>
            </w:r>
            <w:r w:rsidR="00C1325A" w:rsidRPr="00C374EA">
              <w:rPr>
                <w:rStyle w:val="NormalCharacter"/>
                <w:rFonts w:ascii="宋体" w:hAnsi="宋体" w:hint="eastAsia"/>
                <w:b/>
                <w:sz w:val="24"/>
              </w:rPr>
              <w:t>公司已经是真空灭弧室市场的龙头企业了，未来发展的方向在哪里？</w:t>
            </w:r>
          </w:p>
          <w:p w14:paraId="38A7CC33" w14:textId="72D902B7" w:rsidR="00C1325A" w:rsidRPr="00C374EA" w:rsidRDefault="00C1325A"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hint="eastAsia"/>
                <w:sz w:val="24"/>
                <w:u w:val="single" w:color="000000"/>
              </w:rPr>
              <w:t>回复：公司目前是国内真空灭弧室市场的龙头企业，但目前仍面临较大的市场竞争压力。未来公司将：</w:t>
            </w:r>
            <w:r w:rsidR="00E0528B" w:rsidRPr="00C374EA">
              <w:rPr>
                <w:rStyle w:val="NormalCharacter"/>
                <w:rFonts w:ascii="宋体" w:hAnsi="宋体" w:hint="eastAsia"/>
                <w:sz w:val="24"/>
                <w:u w:val="single" w:color="000000"/>
              </w:rPr>
              <w:t>（1）</w:t>
            </w:r>
            <w:r w:rsidRPr="00C374EA">
              <w:rPr>
                <w:rStyle w:val="NormalCharacter"/>
                <w:rFonts w:ascii="宋体" w:hAnsi="宋体" w:hint="eastAsia"/>
                <w:sz w:val="24"/>
                <w:u w:val="single" w:color="000000"/>
              </w:rPr>
              <w:t>进一步提高市场占有率，提升产品定价能力。一方面通过新增产能和</w:t>
            </w:r>
            <w:r w:rsidR="00E0528B" w:rsidRPr="00C374EA">
              <w:rPr>
                <w:rStyle w:val="NormalCharacter"/>
                <w:rFonts w:ascii="宋体" w:hAnsi="宋体" w:hint="eastAsia"/>
                <w:sz w:val="24"/>
                <w:u w:val="single" w:color="000000"/>
              </w:rPr>
              <w:t>挖掘</w:t>
            </w:r>
            <w:r w:rsidRPr="00C374EA">
              <w:rPr>
                <w:rStyle w:val="NormalCharacter"/>
                <w:rFonts w:ascii="宋体" w:hAnsi="宋体" w:hint="eastAsia"/>
                <w:sz w:val="24"/>
                <w:u w:val="single" w:color="000000"/>
              </w:rPr>
              <w:t>现有产能，另一方面寻找合适的机会进行产业整合。</w:t>
            </w:r>
            <w:r w:rsidR="00E0528B" w:rsidRPr="00C374EA">
              <w:rPr>
                <w:rStyle w:val="NormalCharacter"/>
                <w:rFonts w:ascii="宋体" w:hAnsi="宋体" w:hint="eastAsia"/>
                <w:sz w:val="24"/>
                <w:u w:val="single" w:color="000000"/>
              </w:rPr>
              <w:t>（2）</w:t>
            </w:r>
            <w:r w:rsidRPr="00C374EA">
              <w:rPr>
                <w:rStyle w:val="NormalCharacter"/>
                <w:rFonts w:ascii="宋体" w:hAnsi="宋体" w:hint="eastAsia"/>
                <w:sz w:val="24"/>
                <w:u w:val="single" w:color="000000"/>
              </w:rPr>
              <w:t>发挥技术优势，服务国家战略。</w:t>
            </w:r>
            <w:r w:rsidRPr="00C374EA">
              <w:rPr>
                <w:rStyle w:val="NormalCharacter"/>
                <w:rFonts w:ascii="宋体" w:hAnsi="宋体"/>
                <w:sz w:val="24"/>
                <w:u w:val="single" w:color="000000"/>
              </w:rPr>
              <w:t>承接国家级“卡脖子”及国家重点科技攻关项目，加快实施换流变分接开关、高铁车载开关等卡脖子项目的商用化进程；跟踪、储备抽水蓄能、250kA发电机保护断路器、海上风电开关等新应用场景项目，形成一批引领行业前沿的技术成果和产品，巩固宝光行业第一的技术优势。</w:t>
            </w:r>
            <w:r w:rsidR="00E0528B" w:rsidRPr="00C374EA">
              <w:rPr>
                <w:rStyle w:val="NormalCharacter"/>
                <w:rFonts w:ascii="宋体" w:hAnsi="宋体" w:hint="eastAsia"/>
                <w:sz w:val="24"/>
                <w:u w:val="single" w:color="000000"/>
              </w:rPr>
              <w:t>（3）</w:t>
            </w:r>
            <w:r w:rsidR="00BB2B9F" w:rsidRPr="00C374EA">
              <w:rPr>
                <w:rStyle w:val="NormalCharacter"/>
                <w:rFonts w:ascii="宋体" w:hAnsi="宋体"/>
                <w:sz w:val="24"/>
                <w:u w:val="single" w:color="000000"/>
              </w:rPr>
              <w:t>践行“双碳”战略，加速高压输电等级真空灭弧室开发，形成系列参数产品，推进高压开关去氟化。</w:t>
            </w:r>
            <w:r w:rsidR="00BB2B9F" w:rsidRPr="00C374EA">
              <w:rPr>
                <w:rStyle w:val="NormalCharacter"/>
                <w:rFonts w:ascii="宋体" w:hAnsi="宋体" w:hint="eastAsia"/>
                <w:sz w:val="24"/>
                <w:u w:val="single" w:color="000000"/>
              </w:rPr>
              <w:t xml:space="preserve"> </w:t>
            </w:r>
          </w:p>
          <w:p w14:paraId="2E1FAEA8" w14:textId="75973129" w:rsidR="009A49E3" w:rsidRPr="00C374EA" w:rsidRDefault="00BB2B9F" w:rsidP="00C374EA">
            <w:pPr>
              <w:adjustRightInd w:val="0"/>
              <w:snapToGrid w:val="0"/>
              <w:spacing w:beforeLines="50" w:before="156"/>
              <w:ind w:left="143" w:right="190" w:firstLineChars="200" w:firstLine="482"/>
              <w:rPr>
                <w:rStyle w:val="NormalCharacter"/>
                <w:rFonts w:ascii="宋体" w:hAnsi="宋体"/>
                <w:b/>
                <w:sz w:val="24"/>
              </w:rPr>
            </w:pPr>
            <w:r w:rsidRPr="00C374EA">
              <w:rPr>
                <w:rStyle w:val="NormalCharacter"/>
                <w:rFonts w:ascii="宋体" w:hAnsi="宋体" w:hint="eastAsia"/>
                <w:b/>
                <w:sz w:val="24"/>
              </w:rPr>
              <w:t>2</w:t>
            </w:r>
            <w:r w:rsidR="007F411E" w:rsidRPr="00C374EA">
              <w:rPr>
                <w:rStyle w:val="NormalCharacter"/>
                <w:rFonts w:ascii="宋体" w:hAnsi="宋体"/>
                <w:b/>
                <w:sz w:val="24"/>
              </w:rPr>
              <w:t>、</w:t>
            </w:r>
            <w:r w:rsidR="00DC23B5" w:rsidRPr="00C374EA">
              <w:rPr>
                <w:rStyle w:val="NormalCharacter"/>
                <w:rFonts w:ascii="宋体" w:hAnsi="宋体" w:hint="eastAsia"/>
                <w:b/>
                <w:sz w:val="24"/>
              </w:rPr>
              <w:t>公司储能业务的商业模式有哪些？</w:t>
            </w:r>
          </w:p>
          <w:p w14:paraId="64268334" w14:textId="77777777" w:rsidR="00C85CD9" w:rsidRPr="00C374EA" w:rsidRDefault="007F411E"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sz w:val="24"/>
                <w:u w:val="single" w:color="000000"/>
              </w:rPr>
              <w:t>回复：</w:t>
            </w:r>
            <w:r w:rsidR="00E0528B" w:rsidRPr="00C374EA">
              <w:rPr>
                <w:rStyle w:val="NormalCharacter"/>
                <w:rFonts w:ascii="宋体" w:hAnsi="宋体" w:hint="eastAsia"/>
                <w:sz w:val="24"/>
                <w:u w:val="single" w:color="000000"/>
              </w:rPr>
              <w:t>（1）</w:t>
            </w:r>
            <w:r w:rsidR="00DC23B5" w:rsidRPr="00C374EA">
              <w:rPr>
                <w:rStyle w:val="NormalCharacter"/>
                <w:rFonts w:ascii="宋体" w:hAnsi="宋体" w:hint="eastAsia"/>
                <w:sz w:val="24"/>
                <w:u w:val="single" w:color="000000"/>
              </w:rPr>
              <w:t>EMS系统销售。EMS是公司核心竞争力，</w:t>
            </w:r>
            <w:r w:rsidR="00DC23B5" w:rsidRPr="00C374EA">
              <w:rPr>
                <w:rStyle w:val="NormalCharacter"/>
                <w:rFonts w:ascii="宋体" w:hAnsi="宋体"/>
                <w:sz w:val="24"/>
                <w:u w:val="single" w:color="000000"/>
              </w:rPr>
              <w:t>前期研发成本</w:t>
            </w:r>
            <w:r w:rsidR="00DC23B5" w:rsidRPr="00C374EA">
              <w:rPr>
                <w:rStyle w:val="NormalCharacter"/>
                <w:rFonts w:ascii="宋体" w:hAnsi="宋体" w:hint="eastAsia"/>
                <w:sz w:val="24"/>
                <w:u w:val="single" w:color="000000"/>
              </w:rPr>
              <w:t>已</w:t>
            </w:r>
            <w:r w:rsidR="00DC23B5" w:rsidRPr="00C374EA">
              <w:rPr>
                <w:rStyle w:val="NormalCharacter"/>
                <w:rFonts w:ascii="宋体" w:hAnsi="宋体"/>
                <w:sz w:val="24"/>
                <w:u w:val="single" w:color="000000"/>
              </w:rPr>
              <w:t>投完，</w:t>
            </w:r>
            <w:r w:rsidR="00DC23B5" w:rsidRPr="00C374EA">
              <w:rPr>
                <w:rStyle w:val="NormalCharacter"/>
                <w:rFonts w:ascii="宋体" w:hAnsi="宋体" w:hint="eastAsia"/>
                <w:sz w:val="24"/>
                <w:u w:val="single" w:color="000000"/>
              </w:rPr>
              <w:t>后续只是一些升级成本，</w:t>
            </w:r>
            <w:r w:rsidR="00DC23B5" w:rsidRPr="00C374EA">
              <w:rPr>
                <w:rStyle w:val="NormalCharacter"/>
                <w:rFonts w:ascii="宋体" w:hAnsi="宋体"/>
                <w:sz w:val="24"/>
                <w:u w:val="single" w:color="000000"/>
              </w:rPr>
              <w:t>单项目100-300万元</w:t>
            </w:r>
            <w:r w:rsidR="00DC23B5" w:rsidRPr="00C374EA">
              <w:rPr>
                <w:rStyle w:val="NormalCharacter"/>
                <w:rFonts w:ascii="宋体" w:hAnsi="宋体" w:hint="eastAsia"/>
                <w:sz w:val="24"/>
                <w:u w:val="single" w:color="000000"/>
              </w:rPr>
              <w:t>，关键是可依托它来进一步延伸产业链，提高产值。</w:t>
            </w:r>
            <w:r w:rsidR="00E0528B" w:rsidRPr="00C374EA">
              <w:rPr>
                <w:rStyle w:val="NormalCharacter"/>
                <w:rFonts w:ascii="宋体" w:hAnsi="宋体" w:hint="eastAsia"/>
                <w:sz w:val="24"/>
                <w:u w:val="single" w:color="000000"/>
              </w:rPr>
              <w:t>（2）</w:t>
            </w:r>
            <w:r w:rsidR="00DC23B5" w:rsidRPr="00C374EA">
              <w:rPr>
                <w:rStyle w:val="NormalCharacter"/>
                <w:rFonts w:ascii="宋体" w:hAnsi="宋体"/>
                <w:sz w:val="24"/>
                <w:u w:val="single" w:color="000000"/>
              </w:rPr>
              <w:t>EPC模式：该模式</w:t>
            </w:r>
            <w:r w:rsidR="00DC23B5" w:rsidRPr="00C374EA">
              <w:rPr>
                <w:rStyle w:val="NormalCharacter"/>
                <w:rFonts w:ascii="宋体" w:hAnsi="宋体" w:hint="eastAsia"/>
                <w:sz w:val="24"/>
                <w:u w:val="single" w:color="000000"/>
              </w:rPr>
              <w:t>收入</w:t>
            </w:r>
            <w:r w:rsidR="00DC23B5" w:rsidRPr="00C374EA">
              <w:rPr>
                <w:rStyle w:val="NormalCharacter"/>
                <w:rFonts w:ascii="宋体" w:hAnsi="宋体"/>
                <w:sz w:val="24"/>
                <w:u w:val="single" w:color="000000"/>
              </w:rPr>
              <w:t>贡献度高，</w:t>
            </w:r>
            <w:r w:rsidR="00DC23B5" w:rsidRPr="00C374EA">
              <w:rPr>
                <w:rStyle w:val="NormalCharacter"/>
                <w:rFonts w:ascii="宋体" w:hAnsi="宋体" w:hint="eastAsia"/>
                <w:sz w:val="24"/>
                <w:u w:val="single" w:color="000000"/>
              </w:rPr>
              <w:t>储能项目现在主要处于建设期，近期EPC项目招标非常多，我们也在积极扩充团队以应对行业爆发。</w:t>
            </w:r>
            <w:r w:rsidR="00E0528B" w:rsidRPr="00C374EA">
              <w:rPr>
                <w:rStyle w:val="NormalCharacter"/>
                <w:rFonts w:ascii="宋体" w:hAnsi="宋体" w:hint="eastAsia"/>
                <w:sz w:val="24"/>
                <w:u w:val="single" w:color="000000"/>
              </w:rPr>
              <w:t>（3）</w:t>
            </w:r>
            <w:r w:rsidR="00DC23B5" w:rsidRPr="00C374EA">
              <w:rPr>
                <w:rStyle w:val="NormalCharacter"/>
                <w:rFonts w:ascii="宋体" w:hAnsi="宋体"/>
                <w:sz w:val="24"/>
                <w:u w:val="single" w:color="000000"/>
              </w:rPr>
              <w:t>EMC模式：</w:t>
            </w:r>
            <w:r w:rsidR="00DC23B5" w:rsidRPr="00C374EA">
              <w:rPr>
                <w:rStyle w:val="NormalCharacter"/>
                <w:rFonts w:ascii="宋体" w:hAnsi="宋体" w:hint="eastAsia"/>
                <w:sz w:val="24"/>
                <w:u w:val="single" w:color="000000"/>
              </w:rPr>
              <w:t>依托专业的电力储能辅助服务的优化控制策略和性能提升能力，自持或代理运营各类电力储能资产，提供调频、调压、调峰、备用、黑启等各类电力辅助服务。去年能源局两个细则出来后，现在这个千亿级市场正在各地迅速落地、铺开，南网和福建已经出台文件，独立储能可以参加二次调频，价格也较合理</w:t>
            </w:r>
            <w:r w:rsidR="00826747" w:rsidRPr="00C374EA">
              <w:rPr>
                <w:rStyle w:val="NormalCharacter"/>
                <w:rFonts w:ascii="宋体" w:hAnsi="宋体" w:hint="eastAsia"/>
                <w:sz w:val="24"/>
                <w:u w:val="single" w:color="000000"/>
              </w:rPr>
              <w:t>。</w:t>
            </w:r>
          </w:p>
          <w:p w14:paraId="107C37DA" w14:textId="3BE1E54D" w:rsidR="009A49E3" w:rsidRPr="00C374EA" w:rsidRDefault="00826747" w:rsidP="00C374EA">
            <w:pPr>
              <w:adjustRightInd w:val="0"/>
              <w:snapToGrid w:val="0"/>
              <w:spacing w:beforeLines="50" w:before="156"/>
              <w:ind w:left="143" w:right="190" w:firstLineChars="200" w:firstLine="480"/>
              <w:rPr>
                <w:rStyle w:val="NormalCharacter"/>
                <w:rFonts w:ascii="宋体" w:hAnsi="宋体"/>
                <w:sz w:val="24"/>
              </w:rPr>
            </w:pPr>
            <w:r w:rsidRPr="00C374EA">
              <w:rPr>
                <w:rStyle w:val="NormalCharacter"/>
                <w:rFonts w:ascii="宋体" w:hAnsi="宋体" w:hint="eastAsia"/>
                <w:sz w:val="24"/>
                <w:u w:val="single" w:color="000000"/>
              </w:rPr>
              <w:t>EMC模式具有市场空间巨大、收益长期稳定、毛利率高、技术门槛高等优势，是公司未来主要商业模式。</w:t>
            </w:r>
          </w:p>
          <w:p w14:paraId="74993EDE" w14:textId="73196967" w:rsidR="00826747" w:rsidRPr="00C374EA" w:rsidRDefault="00BB2B9F" w:rsidP="00C374EA">
            <w:pPr>
              <w:adjustRightInd w:val="0"/>
              <w:snapToGrid w:val="0"/>
              <w:spacing w:beforeLines="50" w:before="156"/>
              <w:ind w:left="143" w:right="190" w:firstLineChars="200" w:firstLine="482"/>
              <w:rPr>
                <w:rStyle w:val="NormalCharacter"/>
                <w:rFonts w:ascii="宋体" w:hAnsi="宋体"/>
                <w:b/>
                <w:sz w:val="24"/>
              </w:rPr>
            </w:pPr>
            <w:r w:rsidRPr="00C374EA">
              <w:rPr>
                <w:rStyle w:val="NormalCharacter"/>
                <w:rFonts w:ascii="宋体" w:hAnsi="宋体" w:hint="eastAsia"/>
                <w:b/>
                <w:sz w:val="24"/>
              </w:rPr>
              <w:t>3</w:t>
            </w:r>
            <w:r w:rsidR="00826747" w:rsidRPr="00C374EA">
              <w:rPr>
                <w:rStyle w:val="NormalCharacter"/>
                <w:rFonts w:ascii="宋体" w:hAnsi="宋体"/>
                <w:b/>
                <w:sz w:val="24"/>
              </w:rPr>
              <w:t>、</w:t>
            </w:r>
            <w:r w:rsidR="00826747" w:rsidRPr="00C374EA">
              <w:rPr>
                <w:rStyle w:val="NormalCharacter"/>
                <w:rFonts w:ascii="宋体" w:hAnsi="宋体" w:hint="eastAsia"/>
                <w:b/>
                <w:sz w:val="24"/>
              </w:rPr>
              <w:t>电芯价格上涨对公司储能项目的实施有哪些影响？</w:t>
            </w:r>
          </w:p>
          <w:p w14:paraId="4F930403" w14:textId="77777777" w:rsidR="00C85CD9" w:rsidRPr="00C374EA" w:rsidRDefault="00826747"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sz w:val="24"/>
                <w:u w:val="single" w:color="000000"/>
              </w:rPr>
              <w:t>回复：</w:t>
            </w:r>
            <w:r w:rsidRPr="00C374EA">
              <w:rPr>
                <w:rStyle w:val="NormalCharacter"/>
                <w:rFonts w:ascii="宋体" w:hAnsi="宋体" w:hint="eastAsia"/>
                <w:sz w:val="24"/>
                <w:u w:val="single" w:color="000000"/>
              </w:rPr>
              <w:t>新能源侧储能</w:t>
            </w:r>
            <w:r w:rsidRPr="00C374EA">
              <w:rPr>
                <w:rStyle w:val="NormalCharacter"/>
                <w:rFonts w:ascii="宋体" w:hAnsi="宋体"/>
                <w:sz w:val="24"/>
                <w:u w:val="single" w:color="000000"/>
              </w:rPr>
              <w:t>涨价后1.4-1.5元/Wh，火储联调约2元/Wh</w:t>
            </w:r>
            <w:r w:rsidRPr="00C374EA">
              <w:rPr>
                <w:rStyle w:val="NormalCharacter"/>
                <w:rFonts w:ascii="宋体" w:hAnsi="宋体" w:hint="eastAsia"/>
                <w:sz w:val="24"/>
                <w:u w:val="single" w:color="000000"/>
              </w:rPr>
              <w:t>，这个价格最近还在频繁波动中，主要是电芯价格上涨引起。我们预期电芯价格长期趋势应该是下降的，近期涨价主要是供应链出现的短期波动。</w:t>
            </w:r>
          </w:p>
          <w:p w14:paraId="360DB5DF" w14:textId="5089BFE1" w:rsidR="00826747" w:rsidRPr="00C374EA" w:rsidRDefault="00826747"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hint="eastAsia"/>
                <w:sz w:val="24"/>
                <w:u w:val="single" w:color="000000"/>
              </w:rPr>
              <w:t>储能建设成本上涨对储能建设的影响会有一些，但跟光伏不一样，因为跟光伏的商业模式不一样。储能关键在于各地政策、市场建设、功能、商业模式的关</w:t>
            </w:r>
            <w:r w:rsidRPr="00C374EA">
              <w:rPr>
                <w:rStyle w:val="NormalCharacter"/>
                <w:rFonts w:ascii="宋体" w:hAnsi="宋体" w:hint="eastAsia"/>
                <w:sz w:val="24"/>
                <w:u w:val="single" w:color="000000"/>
              </w:rPr>
              <w:lastRenderedPageBreak/>
              <w:t>系更大一些。近期因政策推动和市场示范效应，各地储能项目大量涌现，并没有因储能成本导致项目停滞。</w:t>
            </w:r>
          </w:p>
          <w:p w14:paraId="57DF0EC5" w14:textId="24127908" w:rsidR="00826747" w:rsidRPr="00C374EA" w:rsidRDefault="00BB2B9F" w:rsidP="00C374EA">
            <w:pPr>
              <w:adjustRightInd w:val="0"/>
              <w:snapToGrid w:val="0"/>
              <w:spacing w:beforeLines="50" w:before="156"/>
              <w:ind w:left="143" w:right="190" w:firstLineChars="200" w:firstLine="482"/>
              <w:rPr>
                <w:rStyle w:val="NormalCharacter"/>
                <w:rFonts w:ascii="宋体" w:hAnsi="宋体"/>
                <w:b/>
                <w:sz w:val="24"/>
              </w:rPr>
            </w:pPr>
            <w:r w:rsidRPr="00C374EA">
              <w:rPr>
                <w:rStyle w:val="NormalCharacter"/>
                <w:rFonts w:ascii="宋体" w:hAnsi="宋体" w:hint="eastAsia"/>
                <w:b/>
                <w:sz w:val="24"/>
              </w:rPr>
              <w:t>4</w:t>
            </w:r>
            <w:r w:rsidR="00826747" w:rsidRPr="00C374EA">
              <w:rPr>
                <w:rStyle w:val="NormalCharacter"/>
                <w:rFonts w:ascii="宋体" w:hAnsi="宋体"/>
                <w:b/>
                <w:sz w:val="24"/>
              </w:rPr>
              <w:t>、</w:t>
            </w:r>
            <w:r w:rsidR="00826747" w:rsidRPr="00C374EA">
              <w:rPr>
                <w:rStyle w:val="NormalCharacter"/>
                <w:rFonts w:ascii="宋体" w:hAnsi="宋体" w:hint="eastAsia"/>
                <w:b/>
                <w:sz w:val="24"/>
              </w:rPr>
              <w:t>公司储能项目的竞争优势是什么</w:t>
            </w:r>
            <w:r w:rsidR="00826747" w:rsidRPr="00C374EA">
              <w:rPr>
                <w:rStyle w:val="NormalCharacter"/>
                <w:rFonts w:ascii="宋体" w:hAnsi="宋体"/>
                <w:b/>
                <w:sz w:val="24"/>
              </w:rPr>
              <w:t>？</w:t>
            </w:r>
          </w:p>
          <w:p w14:paraId="06E6E8C0" w14:textId="77777777" w:rsidR="00C85CD9" w:rsidRPr="00C374EA" w:rsidRDefault="00826747"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sz w:val="24"/>
                <w:u w:val="single" w:color="000000"/>
              </w:rPr>
              <w:t>回复：</w:t>
            </w:r>
            <w:r w:rsidRPr="00C374EA">
              <w:rPr>
                <w:rStyle w:val="NormalCharacter"/>
                <w:rFonts w:ascii="宋体" w:hAnsi="宋体" w:hint="eastAsia"/>
                <w:sz w:val="24"/>
                <w:u w:val="single" w:color="000000"/>
              </w:rPr>
              <w:t>公司核心竞争优势在于EMS的多功能和优越的性能，一般的竞品只有三项基本功能，参与调峰没问题。但公司的EMS是十大功能，尤其是对于需要实时快速反应的调频、调压、电能质量管理、抑制宽频震荡等场景，公司的产品有较高的技术门槛。</w:t>
            </w:r>
          </w:p>
          <w:p w14:paraId="24067FD2" w14:textId="49A2D58A" w:rsidR="00826747" w:rsidRPr="00C374EA" w:rsidRDefault="00826747"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hint="eastAsia"/>
                <w:sz w:val="24"/>
                <w:u w:val="single" w:color="000000"/>
              </w:rPr>
              <w:t>同时，经过这么多年的工程与运营实践。公司在系统集成与运营上也有很多专有的技术。譬如</w:t>
            </w:r>
            <w:r w:rsidRPr="00C374EA">
              <w:rPr>
                <w:rStyle w:val="NormalCharacter"/>
                <w:rFonts w:ascii="宋体" w:hAnsi="宋体"/>
                <w:sz w:val="24"/>
                <w:u w:val="single" w:color="000000"/>
              </w:rPr>
              <w:t>硬件</w:t>
            </w:r>
            <w:r w:rsidRPr="00C374EA">
              <w:rPr>
                <w:rStyle w:val="NormalCharacter"/>
                <w:rFonts w:ascii="宋体" w:hAnsi="宋体" w:hint="eastAsia"/>
                <w:sz w:val="24"/>
                <w:u w:val="single" w:color="000000"/>
              </w:rPr>
              <w:t>上对</w:t>
            </w:r>
            <w:r w:rsidRPr="00C374EA">
              <w:rPr>
                <w:rStyle w:val="NormalCharacter"/>
                <w:rFonts w:ascii="宋体" w:hAnsi="宋体"/>
                <w:sz w:val="24"/>
                <w:u w:val="single" w:color="000000"/>
              </w:rPr>
              <w:t>PCS</w:t>
            </w:r>
            <w:r w:rsidRPr="00C374EA">
              <w:rPr>
                <w:rStyle w:val="NormalCharacter"/>
                <w:rFonts w:ascii="宋体" w:hAnsi="宋体" w:hint="eastAsia"/>
                <w:sz w:val="24"/>
                <w:u w:val="single" w:color="000000"/>
              </w:rPr>
              <w:t>在调频工况下的专业改造</w:t>
            </w:r>
            <w:r w:rsidRPr="00C374EA">
              <w:rPr>
                <w:rStyle w:val="NormalCharacter"/>
                <w:rFonts w:ascii="宋体" w:hAnsi="宋体"/>
                <w:sz w:val="24"/>
                <w:u w:val="single" w:color="000000"/>
              </w:rPr>
              <w:t>，</w:t>
            </w:r>
            <w:r w:rsidRPr="00C374EA">
              <w:rPr>
                <w:rStyle w:val="NormalCharacter"/>
                <w:rFonts w:ascii="宋体" w:hAnsi="宋体" w:hint="eastAsia"/>
                <w:sz w:val="24"/>
                <w:u w:val="single" w:color="000000"/>
              </w:rPr>
              <w:t>可以提高调频性能，同时提升安全；譬如</w:t>
            </w:r>
            <w:r w:rsidRPr="00C374EA">
              <w:rPr>
                <w:rStyle w:val="NormalCharacter"/>
                <w:rFonts w:ascii="宋体" w:hAnsi="宋体"/>
                <w:sz w:val="24"/>
                <w:u w:val="single" w:color="000000"/>
              </w:rPr>
              <w:t>软件</w:t>
            </w:r>
            <w:r w:rsidRPr="00C374EA">
              <w:rPr>
                <w:rStyle w:val="NormalCharacter"/>
                <w:rFonts w:ascii="宋体" w:hAnsi="宋体" w:hint="eastAsia"/>
                <w:sz w:val="24"/>
                <w:u w:val="single" w:color="000000"/>
              </w:rPr>
              <w:t>上应对不同季节、不同调度指令的</w:t>
            </w:r>
            <w:r w:rsidRPr="00C374EA">
              <w:rPr>
                <w:rStyle w:val="NormalCharacter"/>
                <w:rFonts w:ascii="宋体" w:hAnsi="宋体"/>
                <w:sz w:val="24"/>
                <w:u w:val="single" w:color="000000"/>
              </w:rPr>
              <w:t>多策略</w:t>
            </w:r>
            <w:r w:rsidRPr="00C374EA">
              <w:rPr>
                <w:rStyle w:val="NormalCharacter"/>
                <w:rFonts w:ascii="宋体" w:hAnsi="宋体" w:hint="eastAsia"/>
                <w:sz w:val="24"/>
                <w:u w:val="single" w:color="000000"/>
              </w:rPr>
              <w:t>等等</w:t>
            </w:r>
            <w:r w:rsidRPr="00C374EA">
              <w:rPr>
                <w:rStyle w:val="NormalCharacter"/>
                <w:rFonts w:ascii="宋体" w:hAnsi="宋体"/>
                <w:sz w:val="24"/>
                <w:u w:val="single" w:color="000000"/>
              </w:rPr>
              <w:t>。</w:t>
            </w:r>
          </w:p>
          <w:p w14:paraId="286258BB" w14:textId="45F064C2" w:rsidR="00826747" w:rsidRPr="00C374EA" w:rsidRDefault="00826747" w:rsidP="00C374EA">
            <w:pPr>
              <w:adjustRightInd w:val="0"/>
              <w:snapToGrid w:val="0"/>
              <w:spacing w:beforeLines="50" w:before="156"/>
              <w:ind w:left="143" w:right="190" w:firstLineChars="200" w:firstLine="480"/>
              <w:rPr>
                <w:rFonts w:ascii="宋体" w:hAnsi="宋体" w:cs="Helvetica"/>
                <w:color w:val="33353C"/>
                <w:sz w:val="27"/>
                <w:szCs w:val="27"/>
                <w:shd w:val="clear" w:color="auto" w:fill="FFFFFF"/>
              </w:rPr>
            </w:pPr>
            <w:r w:rsidRPr="00C374EA">
              <w:rPr>
                <w:rStyle w:val="NormalCharacter"/>
                <w:rFonts w:ascii="宋体" w:hAnsi="宋体" w:hint="eastAsia"/>
                <w:sz w:val="24"/>
                <w:u w:val="single" w:color="000000"/>
              </w:rPr>
              <w:t>同时，公司研发的</w:t>
            </w:r>
            <w:r w:rsidRPr="00C374EA">
              <w:rPr>
                <w:rStyle w:val="NormalCharacter"/>
                <w:rFonts w:ascii="宋体" w:hAnsi="宋体"/>
                <w:sz w:val="24"/>
                <w:u w:val="single" w:color="000000"/>
              </w:rPr>
              <w:t>BMS</w:t>
            </w:r>
            <w:r w:rsidRPr="00C374EA">
              <w:rPr>
                <w:rStyle w:val="NormalCharacter"/>
                <w:rFonts w:ascii="宋体" w:hAnsi="宋体" w:hint="eastAsia"/>
                <w:sz w:val="24"/>
                <w:u w:val="single" w:color="000000"/>
              </w:rPr>
              <w:t>也率先通过了电科院检测，比外购每瓦时</w:t>
            </w:r>
            <w:r w:rsidRPr="00C374EA">
              <w:rPr>
                <w:rStyle w:val="NormalCharacter"/>
                <w:rFonts w:ascii="宋体" w:hAnsi="宋体"/>
                <w:sz w:val="24"/>
                <w:u w:val="single" w:color="000000"/>
              </w:rPr>
              <w:t>省几分钱的成本</w:t>
            </w:r>
            <w:r w:rsidRPr="00C374EA">
              <w:rPr>
                <w:rStyle w:val="NormalCharacter"/>
                <w:rFonts w:ascii="宋体" w:hAnsi="宋体" w:hint="eastAsia"/>
                <w:sz w:val="24"/>
                <w:u w:val="single" w:color="000000"/>
              </w:rPr>
              <w:t>，而且对整个系统的效率和安全性更有保障</w:t>
            </w:r>
            <w:r w:rsidRPr="00C374EA">
              <w:rPr>
                <w:rStyle w:val="NormalCharacter"/>
                <w:rFonts w:ascii="宋体" w:hAnsi="宋体"/>
                <w:sz w:val="24"/>
                <w:u w:val="single" w:color="000000"/>
              </w:rPr>
              <w:t>；</w:t>
            </w:r>
            <w:r w:rsidRPr="00C374EA">
              <w:rPr>
                <w:rStyle w:val="NormalCharacter"/>
                <w:rFonts w:ascii="宋体" w:hAnsi="宋体" w:hint="eastAsia"/>
                <w:sz w:val="24"/>
                <w:u w:val="single" w:color="000000"/>
              </w:rPr>
              <w:t>自建的</w:t>
            </w:r>
            <w:r w:rsidRPr="00C374EA">
              <w:rPr>
                <w:rStyle w:val="NormalCharacter"/>
                <w:rFonts w:ascii="宋体" w:hAnsi="宋体"/>
                <w:sz w:val="24"/>
                <w:u w:val="single" w:color="000000"/>
              </w:rPr>
              <w:t>PACK</w:t>
            </w:r>
            <w:r w:rsidRPr="00C374EA">
              <w:rPr>
                <w:rStyle w:val="NormalCharacter"/>
                <w:rFonts w:ascii="宋体" w:hAnsi="宋体" w:hint="eastAsia"/>
                <w:sz w:val="24"/>
                <w:u w:val="single" w:color="000000"/>
              </w:rPr>
              <w:t>产线</w:t>
            </w:r>
            <w:r w:rsidRPr="00C374EA">
              <w:rPr>
                <w:rStyle w:val="NormalCharacter"/>
                <w:rFonts w:ascii="宋体" w:hAnsi="宋体"/>
                <w:sz w:val="24"/>
                <w:u w:val="single" w:color="000000"/>
              </w:rPr>
              <w:t>过两个月</w:t>
            </w:r>
            <w:r w:rsidRPr="00C374EA">
              <w:rPr>
                <w:rStyle w:val="NormalCharacter"/>
                <w:rFonts w:ascii="宋体" w:hAnsi="宋体" w:hint="eastAsia"/>
                <w:sz w:val="24"/>
                <w:u w:val="single" w:color="000000"/>
              </w:rPr>
              <w:t>也将</w:t>
            </w:r>
            <w:r w:rsidRPr="00C374EA">
              <w:rPr>
                <w:rStyle w:val="NormalCharacter"/>
                <w:rFonts w:ascii="宋体" w:hAnsi="宋体"/>
                <w:sz w:val="24"/>
                <w:u w:val="single" w:color="000000"/>
              </w:rPr>
              <w:t>投产</w:t>
            </w:r>
            <w:r w:rsidRPr="00C374EA">
              <w:rPr>
                <w:rStyle w:val="NormalCharacter"/>
                <w:rFonts w:ascii="宋体" w:hAnsi="宋体" w:hint="eastAsia"/>
                <w:sz w:val="24"/>
                <w:u w:val="single" w:color="000000"/>
              </w:rPr>
              <w:t>，也</w:t>
            </w:r>
            <w:r w:rsidRPr="00C374EA">
              <w:rPr>
                <w:rStyle w:val="NormalCharacter"/>
                <w:rFonts w:ascii="宋体" w:hAnsi="宋体"/>
                <w:sz w:val="24"/>
                <w:u w:val="single" w:color="000000"/>
              </w:rPr>
              <w:t>可以</w:t>
            </w:r>
            <w:r w:rsidRPr="00C374EA">
              <w:rPr>
                <w:rStyle w:val="NormalCharacter"/>
                <w:rFonts w:ascii="宋体" w:hAnsi="宋体" w:hint="eastAsia"/>
                <w:sz w:val="24"/>
                <w:u w:val="single" w:color="000000"/>
              </w:rPr>
              <w:t>每瓦时</w:t>
            </w:r>
            <w:r w:rsidRPr="00C374EA">
              <w:rPr>
                <w:rStyle w:val="NormalCharacter"/>
                <w:rFonts w:ascii="宋体" w:hAnsi="宋体"/>
                <w:sz w:val="24"/>
                <w:u w:val="single" w:color="000000"/>
              </w:rPr>
              <w:t>再省8-9分</w:t>
            </w:r>
            <w:r w:rsidRPr="00C374EA">
              <w:rPr>
                <w:rStyle w:val="NormalCharacter"/>
                <w:rFonts w:ascii="宋体" w:hAnsi="宋体" w:hint="eastAsia"/>
                <w:sz w:val="24"/>
                <w:u w:val="single" w:color="000000"/>
              </w:rPr>
              <w:t>钱成本；新一代储能电池模组系统也已经在研发，将彻底摆脱动力电池PACK的技术路线，可以进一步降低成本，更关键是大幅提高散热性和安全性，并延长整体电池系统使用寿命并有利于兼容梯次电池。</w:t>
            </w:r>
          </w:p>
          <w:p w14:paraId="0877715A" w14:textId="1C39AAAC" w:rsidR="009A49E3" w:rsidRPr="00C374EA" w:rsidRDefault="00BB2B9F" w:rsidP="00C374EA">
            <w:pPr>
              <w:adjustRightInd w:val="0"/>
              <w:snapToGrid w:val="0"/>
              <w:spacing w:beforeLines="50" w:before="156"/>
              <w:ind w:left="143" w:right="190" w:firstLineChars="200" w:firstLine="482"/>
              <w:rPr>
                <w:rStyle w:val="NormalCharacter"/>
                <w:rFonts w:ascii="宋体" w:hAnsi="宋体"/>
                <w:b/>
                <w:sz w:val="24"/>
              </w:rPr>
            </w:pPr>
            <w:r w:rsidRPr="00C374EA">
              <w:rPr>
                <w:rStyle w:val="NormalCharacter"/>
                <w:rFonts w:ascii="宋体" w:hAnsi="宋体" w:hint="eastAsia"/>
                <w:b/>
                <w:sz w:val="24"/>
              </w:rPr>
              <w:t>5</w:t>
            </w:r>
            <w:r w:rsidR="00E323F6" w:rsidRPr="00C374EA">
              <w:rPr>
                <w:rStyle w:val="NormalCharacter"/>
                <w:rFonts w:ascii="宋体" w:hAnsi="宋体" w:hint="eastAsia"/>
                <w:b/>
                <w:sz w:val="24"/>
              </w:rPr>
              <w:t>、公司储能业务的供应链是否安全？核心的电芯、PCS供应商都有哪些？</w:t>
            </w:r>
          </w:p>
          <w:p w14:paraId="76FF82EE" w14:textId="7C2699F2" w:rsidR="00E323F6" w:rsidRPr="00C374EA" w:rsidRDefault="007F411E" w:rsidP="00C374EA">
            <w:pPr>
              <w:adjustRightInd w:val="0"/>
              <w:snapToGrid w:val="0"/>
              <w:spacing w:beforeLines="50" w:before="156"/>
              <w:ind w:left="143" w:right="190" w:firstLineChars="200" w:firstLine="480"/>
              <w:rPr>
                <w:rStyle w:val="NormalCharacter"/>
                <w:rFonts w:ascii="宋体" w:hAnsi="宋体"/>
                <w:sz w:val="24"/>
                <w:u w:val="single"/>
              </w:rPr>
            </w:pPr>
            <w:r w:rsidRPr="00C374EA">
              <w:rPr>
                <w:rStyle w:val="NormalCharacter"/>
                <w:rFonts w:ascii="宋体" w:hAnsi="宋体"/>
                <w:sz w:val="24"/>
                <w:u w:val="single" w:color="000000"/>
              </w:rPr>
              <w:t>回复：</w:t>
            </w:r>
            <w:r w:rsidR="00C85CD9" w:rsidRPr="00C374EA">
              <w:rPr>
                <w:rStyle w:val="NormalCharacter"/>
                <w:rFonts w:ascii="宋体" w:hAnsi="宋体" w:hint="eastAsia"/>
                <w:sz w:val="24"/>
                <w:u w:val="single" w:color="000000"/>
              </w:rPr>
              <w:t>（1）</w:t>
            </w:r>
            <w:r w:rsidR="00E323F6" w:rsidRPr="00C374EA">
              <w:rPr>
                <w:rStyle w:val="NormalCharacter"/>
                <w:rFonts w:ascii="宋体" w:hAnsi="宋体"/>
                <w:sz w:val="24"/>
                <w:u w:val="single" w:color="000000"/>
              </w:rPr>
              <w:t>电</w:t>
            </w:r>
            <w:r w:rsidR="00E323F6" w:rsidRPr="00C374EA">
              <w:rPr>
                <w:rStyle w:val="NormalCharacter"/>
                <w:rFonts w:ascii="宋体" w:hAnsi="宋体" w:hint="eastAsia"/>
                <w:sz w:val="24"/>
                <w:u w:val="single" w:color="000000"/>
              </w:rPr>
              <w:t>芯</w:t>
            </w:r>
            <w:r w:rsidR="00E323F6" w:rsidRPr="00C374EA">
              <w:rPr>
                <w:rStyle w:val="NormalCharacter"/>
                <w:rFonts w:ascii="宋体" w:hAnsi="宋体"/>
                <w:sz w:val="24"/>
                <w:u w:val="single" w:color="000000"/>
              </w:rPr>
              <w:t>：</w:t>
            </w:r>
            <w:r w:rsidR="00E323F6" w:rsidRPr="00C374EA">
              <w:rPr>
                <w:rStyle w:val="NormalCharacter"/>
                <w:rFonts w:ascii="宋体" w:hAnsi="宋体" w:hint="eastAsia"/>
                <w:sz w:val="24"/>
                <w:u w:val="single" w:color="000000"/>
              </w:rPr>
              <w:t>公司对电池的品牌并没有很大依赖性，宁德、比亚迪、力神、青山、赣锋的都用过。短期电池价格波动不会带来太大的影响，公司一般会在投标时就联系好供应商并锁价，项目周期比较短，新能源储能项目4个月，火储联调项目6个月，供应商也是有长期合作关系的，这方面风险不大。</w:t>
            </w:r>
            <w:r w:rsidR="00C85CD9" w:rsidRPr="00C374EA">
              <w:rPr>
                <w:rStyle w:val="NormalCharacter"/>
                <w:rFonts w:ascii="宋体" w:hAnsi="宋体" w:hint="eastAsia"/>
                <w:sz w:val="24"/>
                <w:u w:val="single" w:color="000000"/>
              </w:rPr>
              <w:t>（2）</w:t>
            </w:r>
            <w:r w:rsidR="00E323F6" w:rsidRPr="00C374EA">
              <w:rPr>
                <w:rStyle w:val="NormalCharacter"/>
                <w:rFonts w:ascii="宋体" w:hAnsi="宋体"/>
                <w:sz w:val="24"/>
                <w:u w:val="single" w:color="000000"/>
              </w:rPr>
              <w:t>PCS：</w:t>
            </w:r>
            <w:r w:rsidR="00E323F6" w:rsidRPr="00C374EA">
              <w:rPr>
                <w:rStyle w:val="NormalCharacter"/>
                <w:rFonts w:ascii="宋体" w:hAnsi="宋体" w:hint="eastAsia"/>
                <w:sz w:val="24"/>
                <w:u w:val="single" w:color="000000"/>
              </w:rPr>
              <w:t>调频</w:t>
            </w:r>
            <w:r w:rsidR="00E323F6" w:rsidRPr="00C374EA">
              <w:rPr>
                <w:rStyle w:val="NormalCharacter"/>
                <w:rFonts w:ascii="宋体" w:hAnsi="宋体"/>
                <w:sz w:val="24"/>
                <w:u w:val="single" w:color="000000"/>
              </w:rPr>
              <w:t>项目</w:t>
            </w:r>
            <w:r w:rsidR="00E323F6" w:rsidRPr="00C374EA">
              <w:rPr>
                <w:rStyle w:val="NormalCharacter"/>
                <w:rFonts w:ascii="宋体" w:hAnsi="宋体" w:hint="eastAsia"/>
                <w:sz w:val="24"/>
                <w:u w:val="single" w:color="000000"/>
              </w:rPr>
              <w:t>需要进行</w:t>
            </w:r>
            <w:r w:rsidR="00E323F6" w:rsidRPr="00C374EA">
              <w:rPr>
                <w:rStyle w:val="NormalCharacter"/>
                <w:rFonts w:ascii="宋体" w:hAnsi="宋体"/>
                <w:sz w:val="24"/>
                <w:u w:val="single" w:color="000000"/>
              </w:rPr>
              <w:t>定制化改造，</w:t>
            </w:r>
            <w:r w:rsidR="00E323F6" w:rsidRPr="00C374EA">
              <w:rPr>
                <w:rStyle w:val="NormalCharacter"/>
                <w:rFonts w:ascii="宋体" w:hAnsi="宋体" w:hint="eastAsia"/>
                <w:sz w:val="24"/>
                <w:u w:val="single" w:color="000000"/>
              </w:rPr>
              <w:t>调频工况很特殊，传统的</w:t>
            </w:r>
            <w:r w:rsidR="00E323F6" w:rsidRPr="00C374EA">
              <w:rPr>
                <w:rStyle w:val="NormalCharacter"/>
                <w:rFonts w:ascii="宋体" w:hAnsi="宋体"/>
                <w:sz w:val="24"/>
                <w:u w:val="single" w:color="000000"/>
              </w:rPr>
              <w:t>PCS</w:t>
            </w:r>
            <w:r w:rsidR="00E323F6" w:rsidRPr="00C374EA">
              <w:rPr>
                <w:rStyle w:val="NormalCharacter"/>
                <w:rFonts w:ascii="宋体" w:hAnsi="宋体" w:hint="eastAsia"/>
                <w:sz w:val="24"/>
                <w:u w:val="single" w:color="000000"/>
              </w:rPr>
              <w:t>不宜直接就用，否则容易过热引起事故。而且，为了提高K值，公司对PCS的通信系统也有独特的改造。</w:t>
            </w:r>
            <w:r w:rsidR="00C85CD9" w:rsidRPr="00C374EA">
              <w:rPr>
                <w:rStyle w:val="NormalCharacter"/>
                <w:rFonts w:ascii="宋体" w:hAnsi="宋体" w:hint="eastAsia"/>
                <w:sz w:val="24"/>
                <w:u w:val="single" w:color="000000"/>
              </w:rPr>
              <w:t>（3）</w:t>
            </w:r>
            <w:r w:rsidR="00E323F6" w:rsidRPr="00C374EA">
              <w:rPr>
                <w:rStyle w:val="NormalCharacter"/>
                <w:rFonts w:ascii="宋体" w:hAnsi="宋体" w:hint="eastAsia"/>
                <w:sz w:val="24"/>
                <w:u w:val="single" w:color="000000"/>
              </w:rPr>
              <w:t>电力设备：同等质量和价格条件下，优先选择中国电气装备集团（CEE）旗下企业内配。</w:t>
            </w:r>
          </w:p>
          <w:p w14:paraId="69C01037" w14:textId="43D27109" w:rsidR="009A49E3" w:rsidRPr="00C374EA" w:rsidRDefault="00BB2B9F" w:rsidP="00C374EA">
            <w:pPr>
              <w:adjustRightInd w:val="0"/>
              <w:snapToGrid w:val="0"/>
              <w:spacing w:beforeLines="50" w:before="156"/>
              <w:ind w:left="143" w:right="190" w:firstLineChars="200" w:firstLine="482"/>
              <w:rPr>
                <w:rStyle w:val="NormalCharacter"/>
                <w:rFonts w:ascii="宋体" w:hAnsi="宋体"/>
                <w:b/>
                <w:sz w:val="24"/>
              </w:rPr>
            </w:pPr>
            <w:r w:rsidRPr="00C374EA">
              <w:rPr>
                <w:rStyle w:val="NormalCharacter"/>
                <w:rFonts w:ascii="宋体" w:hAnsi="宋体" w:hint="eastAsia"/>
                <w:b/>
                <w:sz w:val="24"/>
              </w:rPr>
              <w:t>6</w:t>
            </w:r>
            <w:r w:rsidR="007F411E" w:rsidRPr="00C374EA">
              <w:rPr>
                <w:rStyle w:val="NormalCharacter"/>
                <w:rFonts w:ascii="宋体" w:hAnsi="宋体"/>
                <w:b/>
                <w:sz w:val="24"/>
              </w:rPr>
              <w:t>、</w:t>
            </w:r>
            <w:r w:rsidR="00E323F6" w:rsidRPr="00C374EA">
              <w:rPr>
                <w:rStyle w:val="NormalCharacter"/>
                <w:rFonts w:ascii="宋体" w:hAnsi="宋体" w:hint="eastAsia"/>
                <w:b/>
                <w:sz w:val="24"/>
              </w:rPr>
              <w:t>公司</w:t>
            </w:r>
            <w:r w:rsidR="00E323F6" w:rsidRPr="00C374EA">
              <w:rPr>
                <w:rStyle w:val="NormalCharacter"/>
                <w:rFonts w:ascii="宋体" w:hAnsi="宋体"/>
                <w:b/>
                <w:sz w:val="24"/>
              </w:rPr>
              <w:t>储能业务</w:t>
            </w:r>
            <w:r w:rsidR="00E323F6" w:rsidRPr="00C374EA">
              <w:rPr>
                <w:rStyle w:val="NormalCharacter"/>
                <w:rFonts w:ascii="宋体" w:hAnsi="宋体" w:hint="eastAsia"/>
                <w:b/>
                <w:sz w:val="24"/>
              </w:rPr>
              <w:t>当前</w:t>
            </w:r>
            <w:r w:rsidR="00E323F6" w:rsidRPr="00C374EA">
              <w:rPr>
                <w:rStyle w:val="NormalCharacter"/>
                <w:rFonts w:ascii="宋体" w:hAnsi="宋体"/>
                <w:b/>
                <w:sz w:val="24"/>
              </w:rPr>
              <w:t>的布局和未来的规划是什么样的？</w:t>
            </w:r>
          </w:p>
          <w:p w14:paraId="77A9EE0B" w14:textId="758AF78B" w:rsidR="00E323F6" w:rsidRPr="00C374EA" w:rsidRDefault="007F411E" w:rsidP="00C374EA">
            <w:pPr>
              <w:adjustRightInd w:val="0"/>
              <w:snapToGrid w:val="0"/>
              <w:spacing w:beforeLines="50" w:before="156"/>
              <w:ind w:left="143" w:right="190" w:firstLineChars="200" w:firstLine="480"/>
              <w:rPr>
                <w:rStyle w:val="NormalCharacter"/>
                <w:rFonts w:ascii="宋体" w:hAnsi="宋体"/>
                <w:sz w:val="24"/>
                <w:u w:val="single" w:color="000000"/>
              </w:rPr>
            </w:pPr>
            <w:r w:rsidRPr="00C374EA">
              <w:rPr>
                <w:rStyle w:val="NormalCharacter"/>
                <w:rFonts w:ascii="宋体" w:hAnsi="宋体"/>
                <w:sz w:val="24"/>
                <w:u w:val="single" w:color="000000"/>
              </w:rPr>
              <w:t>回复：</w:t>
            </w:r>
            <w:r w:rsidR="00E323F6" w:rsidRPr="00C374EA">
              <w:rPr>
                <w:rStyle w:val="NormalCharacter"/>
                <w:rFonts w:ascii="宋体" w:hAnsi="宋体" w:hint="eastAsia"/>
                <w:sz w:val="24"/>
                <w:u w:val="single" w:color="000000"/>
              </w:rPr>
              <w:t>公司的目标是成为全国乃至全球储能行业的领军企业，因此，公司</w:t>
            </w:r>
            <w:r w:rsidR="00E323F6" w:rsidRPr="00C374EA">
              <w:rPr>
                <w:rStyle w:val="NormalCharacter"/>
                <w:rFonts w:ascii="宋体" w:hAnsi="宋体"/>
                <w:sz w:val="24"/>
                <w:u w:val="single" w:color="000000"/>
              </w:rPr>
              <w:t>没有重点地区偏好</w:t>
            </w:r>
            <w:r w:rsidR="00E323F6" w:rsidRPr="00C374EA">
              <w:rPr>
                <w:rStyle w:val="NormalCharacter"/>
                <w:rFonts w:ascii="宋体" w:hAnsi="宋体" w:hint="eastAsia"/>
                <w:sz w:val="24"/>
                <w:u w:val="single" w:color="000000"/>
              </w:rPr>
              <w:t>。现在落地的项目包括广东、山东、江苏、青海、内蒙、海南、陕西、山西等，在投标项目更是全国各地都有。储能在各个地区都有其运用场景，公司的EMS功能全，在各地都能找到适合当地的运用场景。当前的一个策略就是积极进入各地市场，因为</w:t>
            </w:r>
            <w:r w:rsidR="00E323F6" w:rsidRPr="00C374EA">
              <w:rPr>
                <w:rStyle w:val="NormalCharacter"/>
                <w:rFonts w:ascii="宋体" w:hAnsi="宋体"/>
                <w:sz w:val="24"/>
                <w:u w:val="single" w:color="000000"/>
              </w:rPr>
              <w:t>获取当地</w:t>
            </w:r>
            <w:r w:rsidR="00E323F6" w:rsidRPr="00C374EA">
              <w:rPr>
                <w:rStyle w:val="NormalCharacter"/>
                <w:rFonts w:ascii="宋体" w:hAnsi="宋体" w:hint="eastAsia"/>
                <w:sz w:val="24"/>
                <w:u w:val="single" w:color="000000"/>
              </w:rPr>
              <w:t>一手</w:t>
            </w:r>
            <w:r w:rsidR="00E323F6" w:rsidRPr="00C374EA">
              <w:rPr>
                <w:rStyle w:val="NormalCharacter"/>
                <w:rFonts w:ascii="宋体" w:hAnsi="宋体"/>
                <w:sz w:val="24"/>
                <w:u w:val="single" w:color="000000"/>
              </w:rPr>
              <w:t>数据</w:t>
            </w:r>
            <w:r w:rsidR="00E323F6" w:rsidRPr="00C374EA">
              <w:rPr>
                <w:rStyle w:val="NormalCharacter"/>
                <w:rFonts w:ascii="宋体" w:hAnsi="宋体" w:hint="eastAsia"/>
                <w:sz w:val="24"/>
                <w:u w:val="single" w:color="000000"/>
              </w:rPr>
              <w:t>对公司未来在该地区投资、建设、尤其运营是非常重要的</w:t>
            </w:r>
            <w:r w:rsidR="00E323F6" w:rsidRPr="00C374EA">
              <w:rPr>
                <w:rStyle w:val="NormalCharacter"/>
                <w:rFonts w:ascii="宋体" w:hAnsi="宋体"/>
                <w:sz w:val="24"/>
                <w:u w:val="single" w:color="000000"/>
              </w:rPr>
              <w:t>。</w:t>
            </w:r>
          </w:p>
          <w:p w14:paraId="666D0BBF" w14:textId="752E9DF7" w:rsidR="009A49E3" w:rsidRPr="00C374EA" w:rsidRDefault="00BB2B9F" w:rsidP="00C374EA">
            <w:pPr>
              <w:adjustRightInd w:val="0"/>
              <w:snapToGrid w:val="0"/>
              <w:spacing w:beforeLines="50" w:before="156"/>
              <w:ind w:left="143" w:right="190" w:firstLineChars="200" w:firstLine="482"/>
              <w:rPr>
                <w:rStyle w:val="NormalCharacter"/>
                <w:rFonts w:ascii="宋体" w:hAnsi="宋体"/>
                <w:sz w:val="24"/>
              </w:rPr>
            </w:pPr>
            <w:r w:rsidRPr="00C374EA">
              <w:rPr>
                <w:rStyle w:val="NormalCharacter"/>
                <w:rFonts w:ascii="宋体" w:hAnsi="宋体" w:hint="eastAsia"/>
                <w:b/>
                <w:sz w:val="24"/>
              </w:rPr>
              <w:t>7</w:t>
            </w:r>
            <w:r w:rsidR="001F3EB5" w:rsidRPr="00C374EA">
              <w:rPr>
                <w:rStyle w:val="NormalCharacter"/>
                <w:rFonts w:ascii="宋体" w:hAnsi="宋体" w:hint="eastAsia"/>
                <w:b/>
                <w:sz w:val="24"/>
              </w:rPr>
              <w:t>、</w:t>
            </w:r>
            <w:r w:rsidR="00FD0A0F" w:rsidRPr="00C374EA">
              <w:rPr>
                <w:rStyle w:val="NormalCharacter"/>
                <w:rFonts w:ascii="宋体" w:hAnsi="宋体" w:hint="eastAsia"/>
                <w:b/>
                <w:sz w:val="24"/>
              </w:rPr>
              <w:t>公司在氢能源领域的发展规划是什么？</w:t>
            </w:r>
          </w:p>
          <w:p w14:paraId="511348F7" w14:textId="6F2AA1DA" w:rsidR="00FD0A0F" w:rsidRPr="00C374EA" w:rsidRDefault="00FD0A0F" w:rsidP="00C374EA">
            <w:pPr>
              <w:adjustRightInd w:val="0"/>
              <w:snapToGrid w:val="0"/>
              <w:spacing w:beforeLines="50" w:before="156"/>
              <w:ind w:left="143" w:right="190" w:firstLineChars="200" w:firstLine="480"/>
              <w:rPr>
                <w:rStyle w:val="NormalCharacter"/>
                <w:rFonts w:ascii="宋体" w:hAnsi="宋体"/>
                <w:sz w:val="24"/>
              </w:rPr>
            </w:pPr>
            <w:r w:rsidRPr="00C374EA">
              <w:rPr>
                <w:rStyle w:val="NormalCharacter"/>
                <w:rFonts w:ascii="宋体" w:hAnsi="宋体" w:hint="eastAsia"/>
                <w:sz w:val="24"/>
                <w:u w:val="single" w:color="000000"/>
              </w:rPr>
              <w:t>回复：公司气体业务在2</w:t>
            </w:r>
            <w:r w:rsidRPr="00C374EA">
              <w:rPr>
                <w:rStyle w:val="NormalCharacter"/>
                <w:rFonts w:ascii="宋体" w:hAnsi="宋体"/>
                <w:sz w:val="24"/>
                <w:u w:val="single" w:color="000000"/>
              </w:rPr>
              <w:t>021</w:t>
            </w:r>
            <w:r w:rsidRPr="00C374EA">
              <w:rPr>
                <w:rStyle w:val="NormalCharacter"/>
                <w:rFonts w:ascii="宋体" w:hAnsi="宋体" w:hint="eastAsia"/>
                <w:sz w:val="24"/>
                <w:u w:val="single" w:color="000000"/>
              </w:rPr>
              <w:t>年通过混合所有制改革引入战略投资者，积极布局氢能源领域，近期公司积极开拓周边市场，加快设备更新和产能提升，致力于打造一个跨区域的氢能源生产、储运、应用的全产业链专业一体化解决方案提供商、一个氢能源技术研发与孵化基地、一个未来区域氢能产业园的核心企业。同时公司也密切关注氢能源行业制储运用各个环节的技术进步和产业化进程，包括但不限于水电解制氢、金属氢化物储氢、燃料电池应用等，并择机加大相关领域的投资。</w:t>
            </w:r>
          </w:p>
        </w:tc>
      </w:tr>
    </w:tbl>
    <w:p w14:paraId="0119EF8A" w14:textId="77777777" w:rsidR="009A49E3" w:rsidRPr="00C374EA" w:rsidRDefault="009A49E3" w:rsidP="00C374EA">
      <w:pPr>
        <w:adjustRightInd w:val="0"/>
        <w:snapToGrid w:val="0"/>
        <w:spacing w:beforeLines="50" w:before="156"/>
        <w:ind w:firstLineChars="200" w:firstLine="420"/>
        <w:rPr>
          <w:rStyle w:val="NormalCharacter"/>
          <w:rFonts w:ascii="宋体" w:hAnsi="宋体"/>
        </w:rPr>
      </w:pPr>
    </w:p>
    <w:sectPr w:rsidR="009A49E3" w:rsidRPr="00C374EA">
      <w:headerReference w:type="default" r:id="rId7"/>
      <w:footerReference w:type="default" r:id="rId8"/>
      <w:pgSz w:w="11906" w:h="16838"/>
      <w:pgMar w:top="1304" w:right="1474" w:bottom="1191" w:left="1588" w:header="340"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E710" w14:textId="77777777" w:rsidR="00200BF8" w:rsidRDefault="00200BF8">
      <w:r>
        <w:separator/>
      </w:r>
    </w:p>
  </w:endnote>
  <w:endnote w:type="continuationSeparator" w:id="0">
    <w:p w14:paraId="789D662A" w14:textId="77777777" w:rsidR="00200BF8" w:rsidRDefault="0020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21483"/>
      <w:docPartObj>
        <w:docPartGallery w:val="Page Numbers (Bottom of Page)"/>
        <w:docPartUnique/>
      </w:docPartObj>
    </w:sdtPr>
    <w:sdtEndPr/>
    <w:sdtContent>
      <w:sdt>
        <w:sdtPr>
          <w:id w:val="1728636285"/>
          <w:docPartObj>
            <w:docPartGallery w:val="Page Numbers (Top of Page)"/>
            <w:docPartUnique/>
          </w:docPartObj>
        </w:sdtPr>
        <w:sdtEndPr/>
        <w:sdtContent>
          <w:p w14:paraId="39BF02B4" w14:textId="4F3E2C2D" w:rsidR="009A49E3" w:rsidRDefault="00C374EA" w:rsidP="00C374EA">
            <w:pPr>
              <w:pStyle w:val="a3"/>
              <w:jc w:val="center"/>
              <w:rPr>
                <w:rStyle w:val="NormalCharacter"/>
              </w:rPr>
            </w:pPr>
            <w:r>
              <w:rPr>
                <w:lang w:val="zh-CN"/>
              </w:rPr>
              <w:t xml:space="preserve"> </w:t>
            </w:r>
            <w:r>
              <w:rPr>
                <w:b/>
                <w:bCs/>
                <w:sz w:val="24"/>
                <w:szCs w:val="24"/>
              </w:rPr>
              <w:fldChar w:fldCharType="begin"/>
            </w:r>
            <w:r>
              <w:rPr>
                <w:b/>
                <w:bCs/>
              </w:rPr>
              <w:instrText>PAGE</w:instrText>
            </w:r>
            <w:r>
              <w:rPr>
                <w:b/>
                <w:bCs/>
                <w:sz w:val="24"/>
                <w:szCs w:val="24"/>
              </w:rPr>
              <w:fldChar w:fldCharType="separate"/>
            </w:r>
            <w:r w:rsidR="0078334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8334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9E7B3" w14:textId="77777777" w:rsidR="00200BF8" w:rsidRDefault="00200BF8">
      <w:r>
        <w:separator/>
      </w:r>
    </w:p>
  </w:footnote>
  <w:footnote w:type="continuationSeparator" w:id="0">
    <w:p w14:paraId="1906C5DF" w14:textId="77777777" w:rsidR="00200BF8" w:rsidRDefault="00200B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09E7" w14:textId="77777777" w:rsidR="009A49E3" w:rsidRDefault="009A49E3">
    <w:pPr>
      <w:tabs>
        <w:tab w:val="left" w:pos="5400"/>
      </w:tabs>
      <w:spacing w:before="240" w:after="240"/>
      <w:jc w:val="distribute"/>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9399D4"/>
    <w:multiLevelType w:val="singleLevel"/>
    <w:tmpl w:val="CA9399D4"/>
    <w:lvl w:ilvl="0">
      <w:start w:val="2"/>
      <w:numFmt w:val="decimal"/>
      <w:suff w:val="nothing"/>
      <w:lvlText w:val="%1、"/>
      <w:lvlJc w:val="left"/>
    </w:lvl>
  </w:abstractNum>
  <w:abstractNum w:abstractNumId="1" w15:restartNumberingAfterBreak="0">
    <w:nsid w:val="0B9048F0"/>
    <w:multiLevelType w:val="hybridMultilevel"/>
    <w:tmpl w:val="CE3E9C7C"/>
    <w:lvl w:ilvl="0" w:tplc="3EEAE6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A49E3"/>
    <w:rsid w:val="0006085F"/>
    <w:rsid w:val="000A6256"/>
    <w:rsid w:val="000F7F84"/>
    <w:rsid w:val="00115306"/>
    <w:rsid w:val="00174F47"/>
    <w:rsid w:val="001F3EB5"/>
    <w:rsid w:val="00200BF8"/>
    <w:rsid w:val="00374AF2"/>
    <w:rsid w:val="003D2345"/>
    <w:rsid w:val="003F044D"/>
    <w:rsid w:val="00464216"/>
    <w:rsid w:val="0046603D"/>
    <w:rsid w:val="004F0AD1"/>
    <w:rsid w:val="005320E0"/>
    <w:rsid w:val="005637AE"/>
    <w:rsid w:val="005749D2"/>
    <w:rsid w:val="0059599B"/>
    <w:rsid w:val="00651BC2"/>
    <w:rsid w:val="006B0480"/>
    <w:rsid w:val="006E51F6"/>
    <w:rsid w:val="006E58D5"/>
    <w:rsid w:val="00783344"/>
    <w:rsid w:val="00794EA1"/>
    <w:rsid w:val="007F411E"/>
    <w:rsid w:val="00826747"/>
    <w:rsid w:val="008522D7"/>
    <w:rsid w:val="008607F2"/>
    <w:rsid w:val="00871FD7"/>
    <w:rsid w:val="0087791F"/>
    <w:rsid w:val="0093415C"/>
    <w:rsid w:val="00965EAB"/>
    <w:rsid w:val="009A49E3"/>
    <w:rsid w:val="009D7ACA"/>
    <w:rsid w:val="00A00A40"/>
    <w:rsid w:val="00A624DF"/>
    <w:rsid w:val="00B166C2"/>
    <w:rsid w:val="00BB2B9F"/>
    <w:rsid w:val="00C1325A"/>
    <w:rsid w:val="00C374EA"/>
    <w:rsid w:val="00C85CD9"/>
    <w:rsid w:val="00CC1E77"/>
    <w:rsid w:val="00DB44A7"/>
    <w:rsid w:val="00DC23B5"/>
    <w:rsid w:val="00DD242C"/>
    <w:rsid w:val="00E0528B"/>
    <w:rsid w:val="00E323F6"/>
    <w:rsid w:val="00E75864"/>
    <w:rsid w:val="00F13260"/>
    <w:rsid w:val="00FD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9E2E9"/>
  <w15:docId w15:val="{90D27439-CD66-4A99-A114-31B2FAFB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customStyle="1" w:styleId="Acetate">
    <w:name w:val="Acetate"/>
    <w:basedOn w:val="a"/>
    <w:link w:val="UserStyle0"/>
    <w:rPr>
      <w:sz w:val="18"/>
      <w:szCs w:val="18"/>
    </w:rPr>
  </w:style>
  <w:style w:type="character" w:customStyle="1" w:styleId="UserStyle0">
    <w:name w:val="UserStyle_0"/>
    <w:link w:val="Acetate"/>
    <w:rPr>
      <w:kern w:val="2"/>
      <w:sz w:val="18"/>
      <w:szCs w:val="18"/>
    </w:rPr>
  </w:style>
  <w:style w:type="paragraph" w:styleId="a3">
    <w:name w:val="footer"/>
    <w:basedOn w:val="a"/>
    <w:link w:val="a4"/>
    <w:uiPriority w:val="99"/>
    <w:pPr>
      <w:tabs>
        <w:tab w:val="center" w:pos="4153"/>
        <w:tab w:val="right" w:pos="8306"/>
      </w:tabs>
      <w:snapToGrid w:val="0"/>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pPr>
      <w:pBdr>
        <w:bottom w:val="single" w:sz="6" w:space="1" w:color="000000"/>
      </w:pBdr>
      <w:tabs>
        <w:tab w:val="center" w:pos="4153"/>
        <w:tab w:val="right" w:pos="8306"/>
      </w:tabs>
      <w:snapToGrid w:val="0"/>
      <w:jc w:val="center"/>
    </w:pPr>
    <w:rPr>
      <w:sz w:val="18"/>
      <w:szCs w:val="18"/>
    </w:rPr>
  </w:style>
  <w:style w:type="paragraph" w:customStyle="1" w:styleId="FootnoteText">
    <w:name w:val="FootnoteText"/>
    <w:basedOn w:val="a"/>
    <w:semiHidden/>
    <w:pPr>
      <w:snapToGrid w:val="0"/>
      <w:jc w:val="left"/>
    </w:pPr>
    <w:rPr>
      <w:sz w:val="18"/>
      <w:szCs w:val="18"/>
    </w:rPr>
  </w:style>
  <w:style w:type="character" w:customStyle="1" w:styleId="FootnoteReference">
    <w:name w:val="FootnoteReference"/>
    <w:semiHidden/>
    <w:rPr>
      <w:vertAlign w:val="superscript"/>
    </w:rPr>
  </w:style>
  <w:style w:type="paragraph" w:customStyle="1" w:styleId="179">
    <w:name w:val="179"/>
    <w:basedOn w:val="a"/>
    <w:pPr>
      <w:ind w:firstLineChars="200" w:firstLine="420"/>
    </w:pPr>
    <w:rPr>
      <w:rFonts w:ascii="Calibri" w:hAnsi="Calibri"/>
      <w:szCs w:val="22"/>
    </w:rPr>
  </w:style>
  <w:style w:type="character" w:customStyle="1" w:styleId="UserStyle2">
    <w:name w:val="UserStyle_2"/>
  </w:style>
  <w:style w:type="paragraph" w:styleId="a6">
    <w:name w:val="Normal (Web)"/>
    <w:basedOn w:val="a"/>
    <w:qFormat/>
    <w:rsid w:val="00826747"/>
    <w:pPr>
      <w:widowControl w:val="0"/>
      <w:spacing w:beforeAutospacing="1" w:afterAutospacing="1"/>
      <w:jc w:val="left"/>
      <w:textAlignment w:val="auto"/>
    </w:pPr>
    <w:rPr>
      <w:rFonts w:asciiTheme="minorHAnsi" w:eastAsiaTheme="minorEastAsia" w:hAnsiTheme="minorHAns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2021-12-01T02:34:00Z</dcterms:created>
  <dcterms:modified xsi:type="dcterms:W3CDTF">2022-04-12T07:53:00Z</dcterms:modified>
</cp:coreProperties>
</file>