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77"/>
        <w:ind w:left="120"/>
        <w:rPr>
          <w:rFonts w:ascii="宋体" w:hAnsi="宋体" w:eastAsia="宋体" w:cs="宋体"/>
          <w:sz w:val="24"/>
          <w:lang w:val="zh-CN" w:bidi="zh-CN"/>
        </w:rPr>
      </w:pPr>
      <w:bookmarkStart w:id="0" w:name="_GoBack"/>
      <w:bookmarkEnd w:id="0"/>
      <w:r>
        <w:rPr>
          <w:rFonts w:ascii="宋体" w:hAnsi="宋体" w:eastAsia="宋体" w:cs="宋体"/>
          <w:sz w:val="24"/>
          <w:lang w:val="zh-CN" w:bidi="zh-CN"/>
        </w:rPr>
        <w:t>证券代码</w:t>
      </w:r>
      <w:r>
        <w:rPr>
          <w:rFonts w:hint="eastAsia" w:ascii="宋体" w:hAnsi="宋体" w:eastAsia="宋体" w:cs="宋体"/>
          <w:sz w:val="24"/>
          <w:lang w:val="zh-CN" w:bidi="zh-CN"/>
        </w:rPr>
        <w:t>：</w:t>
      </w:r>
      <w:r>
        <w:rPr>
          <w:rFonts w:ascii="宋体" w:hAnsi="宋体" w:eastAsia="宋体" w:cs="宋体"/>
          <w:sz w:val="24"/>
          <w:lang w:val="zh-CN" w:bidi="zh-CN"/>
        </w:rPr>
        <w:t>60</w:t>
      </w:r>
      <w:r>
        <w:rPr>
          <w:rFonts w:hint="eastAsia" w:ascii="宋体" w:hAnsi="宋体" w:eastAsia="宋体" w:cs="宋体"/>
          <w:sz w:val="24"/>
          <w:lang w:bidi="zh-CN"/>
        </w:rPr>
        <w:t xml:space="preserve">0528                                </w:t>
      </w:r>
      <w:r>
        <w:rPr>
          <w:rFonts w:ascii="宋体" w:hAnsi="宋体" w:eastAsia="宋体" w:cs="宋体"/>
          <w:sz w:val="24"/>
          <w:lang w:val="zh-CN" w:bidi="zh-CN"/>
        </w:rPr>
        <w:t>证券简称：</w:t>
      </w:r>
      <w:r>
        <w:rPr>
          <w:rFonts w:hint="eastAsia" w:ascii="宋体" w:hAnsi="宋体" w:eastAsia="宋体" w:cs="宋体"/>
          <w:sz w:val="24"/>
          <w:lang w:val="zh-CN" w:bidi="zh-CN"/>
        </w:rPr>
        <w:t>中铁工业</w:t>
      </w:r>
      <w:r>
        <w:rPr>
          <w:rFonts w:ascii="宋体" w:hAnsi="宋体" w:eastAsia="宋体" w:cs="宋体"/>
          <w:sz w:val="24"/>
          <w:lang w:val="zh-CN" w:bidi="zh-CN"/>
        </w:rPr>
        <w:t xml:space="preserve"> </w:t>
      </w:r>
    </w:p>
    <w:p>
      <w:pPr>
        <w:autoSpaceDE w:val="0"/>
        <w:autoSpaceDN w:val="0"/>
        <w:rPr>
          <w:rFonts w:ascii="宋体" w:hAnsi="宋体" w:eastAsia="宋体" w:cs="宋体"/>
          <w:sz w:val="20"/>
          <w:lang w:val="zh-CN" w:bidi="zh-CN"/>
        </w:rPr>
      </w:pPr>
    </w:p>
    <w:p>
      <w:pPr>
        <w:autoSpaceDE w:val="0"/>
        <w:autoSpaceDN w:val="0"/>
        <w:spacing w:before="7"/>
        <w:rPr>
          <w:rFonts w:ascii="宋体" w:hAnsi="宋体" w:eastAsia="宋体" w:cs="宋体"/>
          <w:sz w:val="17"/>
          <w:lang w:val="zh-CN" w:bidi="zh-CN"/>
        </w:rPr>
      </w:pPr>
    </w:p>
    <w:p>
      <w:pPr>
        <w:autoSpaceDE w:val="0"/>
        <w:autoSpaceDN w:val="0"/>
        <w:spacing w:line="429" w:lineRule="exact"/>
        <w:ind w:left="1"/>
        <w:jc w:val="center"/>
        <w:rPr>
          <w:rFonts w:ascii="Microsoft JhengHei" w:hAnsi="宋体" w:eastAsia="Microsoft JhengHei" w:cs="宋体"/>
          <w:b/>
          <w:kern w:val="0"/>
          <w:sz w:val="24"/>
          <w:szCs w:val="22"/>
          <w:lang w:val="zh-CN" w:bidi="zh-CN"/>
        </w:rPr>
      </w:pPr>
      <w:r>
        <w:rPr>
          <w:rFonts w:hint="eastAsia" w:ascii="方正小标宋简体" w:hAnsi="方正小标宋简体" w:eastAsia="方正小标宋简体" w:cs="方正小标宋简体"/>
          <w:bCs/>
          <w:kern w:val="0"/>
          <w:sz w:val="36"/>
          <w:szCs w:val="36"/>
          <w:lang w:val="zh-CN" w:bidi="zh-CN"/>
        </w:rPr>
        <w:t>中铁高新工业股份有限公司投资者关系活动记录表</w:t>
      </w:r>
      <w:r>
        <w:rPr>
          <w:rFonts w:hint="eastAsia" w:ascii="Microsoft JhengHei" w:hAnsi="宋体" w:eastAsia="Microsoft JhengHei" w:cs="宋体"/>
          <w:b/>
          <w:w w:val="200"/>
          <w:kern w:val="0"/>
          <w:sz w:val="24"/>
          <w:szCs w:val="22"/>
          <w:lang w:val="zh-CN" w:bidi="zh-CN"/>
        </w:rPr>
        <w:t xml:space="preserve"> </w:t>
      </w:r>
    </w:p>
    <w:p>
      <w:pPr>
        <w:autoSpaceDE w:val="0"/>
        <w:autoSpaceDN w:val="0"/>
        <w:spacing w:before="194" w:after="15"/>
        <w:ind w:left="2"/>
        <w:jc w:val="center"/>
        <w:rPr>
          <w:rFonts w:ascii="宋体" w:hAnsi="宋体" w:eastAsia="宋体" w:cs="宋体"/>
          <w:sz w:val="24"/>
          <w:lang w:val="zh-CN" w:bidi="zh-CN"/>
        </w:rPr>
      </w:pPr>
      <w:r>
        <w:rPr>
          <w:rFonts w:ascii="宋体" w:hAnsi="宋体" w:eastAsia="宋体" w:cs="宋体"/>
          <w:sz w:val="24"/>
          <w:lang w:val="zh-CN" w:bidi="zh-CN"/>
        </w:rPr>
        <w:t xml:space="preserve">                                                       编号：202</w:t>
      </w:r>
      <w:r>
        <w:rPr>
          <w:rFonts w:hint="eastAsia" w:ascii="宋体" w:hAnsi="宋体" w:eastAsia="宋体" w:cs="宋体"/>
          <w:sz w:val="24"/>
          <w:lang w:bidi="zh-CN"/>
        </w:rPr>
        <w:t>2</w:t>
      </w:r>
      <w:r>
        <w:rPr>
          <w:rFonts w:ascii="宋体" w:hAnsi="宋体" w:eastAsia="宋体" w:cs="宋体"/>
          <w:sz w:val="24"/>
          <w:lang w:val="zh-CN" w:bidi="zh-CN"/>
        </w:rPr>
        <w:t>-0</w:t>
      </w:r>
      <w:r>
        <w:rPr>
          <w:rFonts w:hint="eastAsia" w:ascii="宋体" w:hAnsi="宋体" w:eastAsia="宋体" w:cs="宋体"/>
          <w:sz w:val="24"/>
          <w:lang w:bidi="zh-CN"/>
        </w:rPr>
        <w:t>6</w:t>
      </w:r>
      <w:r>
        <w:rPr>
          <w:rFonts w:ascii="宋体" w:hAnsi="宋体" w:eastAsia="宋体" w:cs="宋体"/>
          <w:sz w:val="24"/>
          <w:lang w:val="zh-CN" w:bidi="zh-CN"/>
        </w:rPr>
        <w:t xml:space="preserve"> </w:t>
      </w:r>
    </w:p>
    <w:p>
      <w:pPr>
        <w:autoSpaceDE w:val="0"/>
        <w:autoSpaceDN w:val="0"/>
        <w:spacing w:before="194" w:after="15"/>
        <w:ind w:left="2"/>
        <w:jc w:val="center"/>
        <w:rPr>
          <w:rFonts w:ascii="宋体" w:hAnsi="宋体" w:eastAsia="宋体" w:cs="宋体"/>
          <w:sz w:val="24"/>
          <w:lang w:val="zh-CN" w:bidi="zh-CN"/>
        </w:r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0"/>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1400" w:type="dxa"/>
            <w:vAlign w:val="center"/>
          </w:tcPr>
          <w:p>
            <w:pPr>
              <w:autoSpaceDE w:val="0"/>
              <w:autoSpaceDN w:val="0"/>
              <w:spacing w:before="91" w:line="261" w:lineRule="auto"/>
              <w:ind w:left="107" w:right="96"/>
              <w:jc w:val="center"/>
              <w:rPr>
                <w:rFonts w:ascii="Microsoft JhengHei" w:hAnsi="宋体" w:eastAsia="宋体"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投资者关系活动类别</w:t>
            </w:r>
          </w:p>
        </w:tc>
        <w:tc>
          <w:tcPr>
            <w:tcW w:w="6899" w:type="dxa"/>
          </w:tcPr>
          <w:p>
            <w:pPr>
              <w:autoSpaceDE w:val="0"/>
              <w:autoSpaceDN w:val="0"/>
              <w:spacing w:before="170"/>
              <w:ind w:left="107"/>
              <w:rPr>
                <w:rFonts w:ascii="宋体" w:hAnsi="宋体" w:eastAsia="宋体" w:cs="宋体"/>
                <w:sz w:val="24"/>
                <w:szCs w:val="22"/>
                <w:lang w:val="zh-CN" w:bidi="zh-CN"/>
              </w:rPr>
            </w:pPr>
            <w:r>
              <w:rPr>
                <w:rFonts w:ascii="宋体" w:hAnsi="宋体" w:eastAsia="宋体" w:cs="宋体"/>
                <w:sz w:val="24"/>
                <w:szCs w:val="22"/>
                <w:lang w:val="zh-CN" w:bidi="zh-CN"/>
              </w:rPr>
              <w:sym w:font="Wingdings 2" w:char="0052"/>
            </w:r>
            <w:r>
              <w:rPr>
                <w:rFonts w:ascii="宋体" w:hAnsi="宋体" w:eastAsia="宋体" w:cs="宋体"/>
                <w:b/>
                <w:bCs/>
                <w:sz w:val="24"/>
                <w:szCs w:val="22"/>
                <w:lang w:val="zh-CN" w:bidi="zh-CN"/>
              </w:rPr>
              <w:t>特定对象调研</w:t>
            </w:r>
            <w:r>
              <w:rPr>
                <w:rFonts w:ascii="宋体" w:hAnsi="宋体" w:eastAsia="宋体" w:cs="宋体"/>
                <w:sz w:val="24"/>
                <w:szCs w:val="22"/>
                <w:lang w:val="zh-CN" w:bidi="zh-CN"/>
              </w:rPr>
              <w:t xml:space="preserve">        □分析师会议 </w:t>
            </w:r>
          </w:p>
          <w:p>
            <w:pPr>
              <w:autoSpaceDE w:val="0"/>
              <w:autoSpaceDN w:val="0"/>
              <w:spacing w:before="172"/>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□媒体采访            □业绩说明会 </w:t>
            </w:r>
          </w:p>
          <w:p>
            <w:pPr>
              <w:autoSpaceDE w:val="0"/>
              <w:autoSpaceDN w:val="0"/>
              <w:spacing w:before="173"/>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□新闻发布会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路演活动 </w:t>
            </w:r>
          </w:p>
          <w:p>
            <w:pPr>
              <w:tabs>
                <w:tab w:val="left" w:pos="3154"/>
              </w:tabs>
              <w:autoSpaceDE w:val="0"/>
              <w:autoSpaceDN w:val="0"/>
              <w:spacing w:before="173"/>
              <w:ind w:left="107"/>
              <w:rPr>
                <w:rFonts w:ascii="宋体" w:hAnsi="宋体" w:eastAsia="宋体" w:cs="宋体"/>
                <w:b/>
                <w:sz w:val="24"/>
                <w:szCs w:val="22"/>
                <w:lang w:val="zh-CN" w:bidi="zh-CN"/>
              </w:rPr>
            </w:pPr>
            <w:r>
              <w:rPr>
                <w:rFonts w:ascii="宋体" w:hAnsi="宋体" w:eastAsia="宋体" w:cs="宋体"/>
                <w:sz w:val="24"/>
                <w:szCs w:val="22"/>
                <w:lang w:val="zh-CN" w:bidi="zh-CN"/>
              </w:rPr>
              <w:t>□现场参观</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sym w:font="Wingdings 2" w:char="00A3"/>
            </w:r>
            <w:r>
              <w:rPr>
                <w:rFonts w:hint="eastAsia" w:ascii="宋体" w:hAnsi="宋体" w:eastAsia="宋体" w:cs="宋体"/>
                <w:bCs/>
                <w:sz w:val="24"/>
                <w:szCs w:val="22"/>
                <w:lang w:val="zh-CN" w:bidi="zh-CN"/>
              </w:rPr>
              <w:t>电话会议</w:t>
            </w:r>
          </w:p>
          <w:p>
            <w:pPr>
              <w:tabs>
                <w:tab w:val="left" w:pos="3154"/>
              </w:tabs>
              <w:autoSpaceDE w:val="0"/>
              <w:autoSpaceDN w:val="0"/>
              <w:spacing w:before="173"/>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□其他 </w:t>
            </w:r>
            <w:r>
              <w:rPr>
                <w:rFonts w:hint="eastAsia" w:ascii="宋体" w:hAnsi="宋体" w:eastAsia="宋体" w:cs="宋体"/>
                <w:sz w:val="24"/>
                <w:szCs w:val="22"/>
                <w:lang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1400" w:type="dxa"/>
            <w:vAlign w:val="center"/>
          </w:tcPr>
          <w:p>
            <w:pPr>
              <w:autoSpaceDE w:val="0"/>
              <w:autoSpaceDN w:val="0"/>
              <w:spacing w:before="91" w:line="261" w:lineRule="auto"/>
              <w:ind w:left="107" w:right="96"/>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参与单位名称及人员姓名</w:t>
            </w:r>
          </w:p>
        </w:tc>
        <w:tc>
          <w:tcPr>
            <w:tcW w:w="6899" w:type="dxa"/>
            <w:vAlign w:val="center"/>
          </w:tcPr>
          <w:p>
            <w:pPr>
              <w:autoSpaceDE w:val="0"/>
              <w:autoSpaceDN w:val="0"/>
              <w:spacing w:line="400" w:lineRule="exact"/>
              <w:rPr>
                <w:rFonts w:ascii="宋体" w:hAnsi="宋体" w:eastAsia="宋体" w:cs="宋体"/>
                <w:sz w:val="24"/>
                <w:szCs w:val="22"/>
                <w:lang w:val="zh-CN" w:bidi="zh-CN"/>
              </w:rPr>
            </w:pPr>
            <w:r>
              <w:rPr>
                <w:rFonts w:ascii="宋体" w:hAnsi="宋体" w:eastAsia="宋体" w:cs="宋体"/>
                <w:sz w:val="24"/>
                <w:szCs w:val="22"/>
                <w:lang w:val="zh-CN" w:bidi="zh-CN"/>
              </w:rPr>
              <w:t xml:space="preserve">人员名单： </w:t>
            </w:r>
          </w:p>
          <w:p>
            <w:pPr>
              <w:pStyle w:val="10"/>
              <w:spacing w:line="400" w:lineRule="exact"/>
              <w:ind w:left="0"/>
              <w:rPr>
                <w:rFonts w:ascii="宋体" w:hAnsi="宋体" w:eastAsia="宋体" w:cs="宋体"/>
                <w:sz w:val="24"/>
                <w:szCs w:val="22"/>
                <w:lang w:bidi="zh-CN"/>
              </w:rPr>
            </w:pPr>
            <w:r>
              <w:rPr>
                <w:rFonts w:hint="eastAsia" w:eastAsia="宋体"/>
                <w:sz w:val="24"/>
              </w:rPr>
              <w:t>中邮保险</w:t>
            </w:r>
            <w:r>
              <w:rPr>
                <w:rFonts w:hint="eastAsia" w:eastAsia="宋体"/>
                <w:sz w:val="24"/>
                <w:lang w:val="en-US" w:eastAsia="zh-CN"/>
              </w:rPr>
              <w:t xml:space="preserve">资产管理中心权益投资部  </w:t>
            </w:r>
            <w:r>
              <w:rPr>
                <w:rFonts w:hint="eastAsia" w:eastAsia="宋体"/>
                <w:sz w:val="24"/>
              </w:rPr>
              <w:t>刘振宇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1400" w:type="dxa"/>
            <w:vAlign w:val="center"/>
          </w:tcPr>
          <w:p>
            <w:pPr>
              <w:autoSpaceDE w:val="0"/>
              <w:autoSpaceDN w:val="0"/>
              <w:spacing w:before="91" w:line="369" w:lineRule="exact"/>
              <w:ind w:left="107"/>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时</w:t>
            </w:r>
            <w:r>
              <w:rPr>
                <w:rFonts w:hint="eastAsia" w:ascii="Microsoft JhengHei" w:hAnsi="宋体" w:eastAsia="宋体" w:cs="宋体"/>
                <w:b/>
                <w:sz w:val="24"/>
                <w:szCs w:val="22"/>
                <w:lang w:bidi="zh-CN"/>
              </w:rPr>
              <w:t xml:space="preserve">  </w:t>
            </w:r>
            <w:r>
              <w:rPr>
                <w:rFonts w:hint="eastAsia" w:ascii="Microsoft JhengHei" w:hAnsi="宋体" w:eastAsia="Microsoft JhengHei" w:cs="宋体"/>
                <w:b/>
                <w:sz w:val="24"/>
                <w:szCs w:val="22"/>
                <w:lang w:val="zh-CN" w:bidi="zh-CN"/>
              </w:rPr>
              <w:t>间</w:t>
            </w:r>
          </w:p>
        </w:tc>
        <w:tc>
          <w:tcPr>
            <w:tcW w:w="6899" w:type="dxa"/>
            <w:vAlign w:val="center"/>
          </w:tcPr>
          <w:p>
            <w:pPr>
              <w:autoSpaceDE w:val="0"/>
              <w:autoSpaceDN w:val="0"/>
              <w:spacing w:before="170" w:line="289" w:lineRule="exact"/>
              <w:rPr>
                <w:rFonts w:ascii="宋体" w:hAnsi="宋体" w:eastAsia="宋体" w:cs="宋体"/>
                <w:sz w:val="24"/>
                <w:szCs w:val="22"/>
                <w:lang w:bidi="zh-CN"/>
              </w:rPr>
            </w:pPr>
            <w:r>
              <w:rPr>
                <w:rFonts w:ascii="宋体" w:hAnsi="宋体" w:eastAsia="宋体" w:cs="宋体"/>
                <w:sz w:val="24"/>
                <w:szCs w:val="22"/>
                <w:lang w:val="zh-CN" w:bidi="zh-CN"/>
              </w:rPr>
              <w:t>202</w:t>
            </w:r>
            <w:r>
              <w:rPr>
                <w:rFonts w:hint="eastAsia" w:ascii="宋体" w:hAnsi="宋体" w:eastAsia="宋体" w:cs="宋体"/>
                <w:sz w:val="24"/>
                <w:szCs w:val="22"/>
                <w:lang w:bidi="zh-CN"/>
              </w:rPr>
              <w:t>2</w:t>
            </w:r>
            <w:r>
              <w:rPr>
                <w:rFonts w:ascii="宋体" w:hAnsi="宋体" w:eastAsia="宋体" w:cs="宋体"/>
                <w:sz w:val="24"/>
                <w:szCs w:val="22"/>
                <w:lang w:val="zh-CN" w:bidi="zh-CN"/>
              </w:rPr>
              <w:t>年</w:t>
            </w:r>
            <w:r>
              <w:rPr>
                <w:rFonts w:hint="eastAsia" w:ascii="宋体" w:hAnsi="宋体" w:eastAsia="宋体" w:cs="宋体"/>
                <w:sz w:val="24"/>
                <w:szCs w:val="22"/>
                <w:lang w:bidi="zh-CN"/>
              </w:rPr>
              <w:t>4</w:t>
            </w:r>
            <w:r>
              <w:rPr>
                <w:rFonts w:ascii="宋体" w:hAnsi="宋体" w:eastAsia="宋体" w:cs="宋体"/>
                <w:sz w:val="24"/>
                <w:szCs w:val="22"/>
                <w:highlight w:val="none"/>
                <w:lang w:val="zh-CN" w:bidi="zh-CN"/>
              </w:rPr>
              <w:t>月</w:t>
            </w:r>
            <w:r>
              <w:rPr>
                <w:rFonts w:hint="eastAsia" w:ascii="宋体" w:hAnsi="宋体" w:eastAsia="宋体" w:cs="宋体"/>
                <w:sz w:val="24"/>
                <w:szCs w:val="22"/>
                <w:highlight w:val="none"/>
                <w:lang w:bidi="zh-CN"/>
              </w:rPr>
              <w:t>14</w:t>
            </w:r>
            <w:r>
              <w:rPr>
                <w:rFonts w:ascii="宋体" w:hAnsi="宋体" w:eastAsia="宋体" w:cs="宋体"/>
                <w:sz w:val="24"/>
                <w:szCs w:val="22"/>
                <w:highlight w:val="none"/>
                <w:lang w:val="zh-CN" w:bidi="zh-CN"/>
              </w:rPr>
              <w:t xml:space="preserve">日 </w:t>
            </w:r>
            <w:r>
              <w:rPr>
                <w:rFonts w:ascii="宋体" w:hAnsi="宋体" w:eastAsia="宋体" w:cs="宋体"/>
                <w:sz w:val="24"/>
                <w:szCs w:val="22"/>
                <w:highlight w:val="none"/>
                <w:lang w:bidi="zh-CN"/>
              </w:rPr>
              <w:t>15</w:t>
            </w:r>
            <w:r>
              <w:rPr>
                <w:rFonts w:ascii="宋体" w:hAnsi="宋体" w:eastAsia="宋体" w:cs="宋体"/>
                <w:sz w:val="24"/>
                <w:szCs w:val="22"/>
                <w:highlight w:val="none"/>
                <w:lang w:val="zh-CN" w:bidi="zh-CN"/>
              </w:rPr>
              <w:t>:</w:t>
            </w:r>
            <w:r>
              <w:rPr>
                <w:rFonts w:hint="eastAsia" w:ascii="宋体" w:hAnsi="宋体" w:eastAsia="宋体" w:cs="宋体"/>
                <w:sz w:val="24"/>
                <w:szCs w:val="22"/>
                <w:highlight w:val="none"/>
                <w:lang w:bidi="zh-CN"/>
              </w:rPr>
              <w:t>3</w:t>
            </w:r>
            <w:r>
              <w:rPr>
                <w:rFonts w:ascii="宋体" w:hAnsi="宋体" w:eastAsia="宋体" w:cs="宋体"/>
                <w:sz w:val="24"/>
                <w:szCs w:val="22"/>
                <w:highlight w:val="none"/>
                <w:lang w:val="zh-CN" w:bidi="zh-CN"/>
              </w:rPr>
              <w:t>0-1</w:t>
            </w:r>
            <w:r>
              <w:rPr>
                <w:rFonts w:hint="eastAsia" w:ascii="宋体" w:hAnsi="宋体" w:eastAsia="宋体" w:cs="宋体"/>
                <w:sz w:val="24"/>
                <w:szCs w:val="22"/>
                <w:highlight w:val="none"/>
                <w:lang w:bidi="zh-CN"/>
              </w:rPr>
              <w:t>7</w:t>
            </w:r>
            <w:r>
              <w:rPr>
                <w:rFonts w:ascii="宋体" w:hAnsi="宋体" w:eastAsia="宋体" w:cs="宋体"/>
                <w:sz w:val="24"/>
                <w:szCs w:val="22"/>
                <w:highlight w:val="none"/>
                <w:lang w:val="zh-CN" w:bidi="zh-CN"/>
              </w:rPr>
              <w:t>:</w:t>
            </w:r>
            <w:r>
              <w:rPr>
                <w:rFonts w:hint="eastAsia" w:ascii="宋体" w:hAnsi="宋体" w:eastAsia="宋体" w:cs="宋体"/>
                <w:sz w:val="24"/>
                <w:szCs w:val="22"/>
                <w:highlight w:val="none"/>
                <w:lang w:bidi="zh-CN"/>
              </w:rPr>
              <w:t>0</w:t>
            </w:r>
            <w:r>
              <w:rPr>
                <w:rFonts w:ascii="宋体" w:hAnsi="宋体" w:eastAsia="宋体" w:cs="宋体"/>
                <w:sz w:val="24"/>
                <w:szCs w:val="22"/>
                <w:highlight w:val="none"/>
                <w:lang w:val="zh-CN" w:bidi="zh-CN"/>
              </w:rPr>
              <w:t xml:space="preserve">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1400" w:type="dxa"/>
            <w:vAlign w:val="center"/>
          </w:tcPr>
          <w:p>
            <w:pPr>
              <w:autoSpaceDE w:val="0"/>
              <w:autoSpaceDN w:val="0"/>
              <w:spacing w:before="91"/>
              <w:ind w:left="107"/>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地</w:t>
            </w:r>
            <w:r>
              <w:rPr>
                <w:rFonts w:hint="eastAsia" w:ascii="Microsoft JhengHei" w:hAnsi="宋体" w:eastAsia="宋体" w:cs="宋体"/>
                <w:b/>
                <w:sz w:val="24"/>
                <w:szCs w:val="22"/>
                <w:lang w:bidi="zh-CN"/>
              </w:rPr>
              <w:t xml:space="preserve">  </w:t>
            </w:r>
            <w:r>
              <w:rPr>
                <w:rFonts w:hint="eastAsia" w:ascii="Microsoft JhengHei" w:hAnsi="宋体" w:eastAsia="Microsoft JhengHei" w:cs="宋体"/>
                <w:b/>
                <w:sz w:val="24"/>
                <w:szCs w:val="22"/>
                <w:lang w:val="zh-CN" w:bidi="zh-CN"/>
              </w:rPr>
              <w:t>点</w:t>
            </w:r>
          </w:p>
        </w:tc>
        <w:tc>
          <w:tcPr>
            <w:tcW w:w="6899" w:type="dxa"/>
            <w:vAlign w:val="center"/>
          </w:tcPr>
          <w:p>
            <w:pPr>
              <w:autoSpaceDE w:val="0"/>
              <w:autoSpaceDN w:val="0"/>
              <w:spacing w:before="173" w:line="289" w:lineRule="exact"/>
              <w:rPr>
                <w:rFonts w:ascii="宋体" w:hAnsi="宋体" w:eastAsia="宋体" w:cs="宋体"/>
                <w:sz w:val="24"/>
                <w:szCs w:val="22"/>
                <w:lang w:bidi="zh-CN"/>
              </w:rPr>
            </w:pPr>
            <w:r>
              <w:rPr>
                <w:rFonts w:hint="eastAsia" w:ascii="宋体" w:hAnsi="宋体" w:eastAsia="宋体" w:cs="宋体"/>
                <w:spacing w:val="-6"/>
                <w:sz w:val="24"/>
                <w:szCs w:val="22"/>
                <w:lang w:bidi="zh-CN"/>
              </w:rPr>
              <w:t>北京市丰台区南四环西路诺德中心11号楼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400" w:type="dxa"/>
            <w:vAlign w:val="center"/>
          </w:tcPr>
          <w:p>
            <w:pPr>
              <w:autoSpaceDE w:val="0"/>
              <w:autoSpaceDN w:val="0"/>
              <w:spacing w:before="93"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上市公司接待人员姓名</w:t>
            </w:r>
          </w:p>
        </w:tc>
        <w:tc>
          <w:tcPr>
            <w:tcW w:w="6899" w:type="dxa"/>
            <w:vAlign w:val="center"/>
          </w:tcPr>
          <w:p>
            <w:pPr>
              <w:autoSpaceDE w:val="0"/>
              <w:autoSpaceDN w:val="0"/>
              <w:spacing w:line="400" w:lineRule="exact"/>
              <w:rPr>
                <w:rFonts w:ascii="宋体" w:hAnsi="宋体" w:eastAsia="宋体" w:cs="宋体"/>
                <w:sz w:val="24"/>
                <w:szCs w:val="22"/>
                <w:lang w:bidi="zh-CN"/>
              </w:rPr>
            </w:pPr>
            <w:r>
              <w:rPr>
                <w:rFonts w:hint="eastAsia" w:ascii="宋体" w:hAnsi="宋体" w:eastAsia="宋体" w:cs="宋体"/>
                <w:sz w:val="24"/>
                <w:szCs w:val="22"/>
                <w:lang w:val="zh-CN" w:bidi="zh-CN"/>
              </w:rPr>
              <w:t>董事会秘书</w:t>
            </w:r>
            <w:r>
              <w:rPr>
                <w:rFonts w:hint="eastAsia" w:ascii="宋体" w:hAnsi="宋体" w:eastAsia="宋体" w:cs="宋体"/>
                <w:sz w:val="24"/>
                <w:szCs w:val="22"/>
                <w:lang w:bidi="zh-CN"/>
              </w:rPr>
              <w:t xml:space="preserve"> </w:t>
            </w:r>
            <w:r>
              <w:rPr>
                <w:rFonts w:hint="eastAsia" w:ascii="宋体" w:hAnsi="宋体" w:eastAsia="宋体" w:cs="宋体"/>
                <w:sz w:val="24"/>
                <w:szCs w:val="22"/>
                <w:lang w:val="zh-CN" w:bidi="zh-CN"/>
              </w:rPr>
              <w:t xml:space="preserve"> 葛瑞鹏</w:t>
            </w:r>
          </w:p>
        </w:tc>
      </w:tr>
    </w:tbl>
    <w:p>
      <w:pPr>
        <w:spacing w:line="289" w:lineRule="exact"/>
        <w:rPr>
          <w:sz w:val="24"/>
        </w:rPr>
        <w:sectPr>
          <w:pgSz w:w="11910" w:h="16840"/>
          <w:pgMar w:top="1580" w:right="1560" w:bottom="280" w:left="1680" w:header="720" w:footer="720" w:gutter="0"/>
          <w:cols w:space="720" w:num="1"/>
        </w:sect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6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1" w:hRule="atLeast"/>
        </w:trPr>
        <w:tc>
          <w:tcPr>
            <w:tcW w:w="1555" w:type="dxa"/>
          </w:tcPr>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spacing w:before="155"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投资者关系活动主要内容介绍</w:t>
            </w:r>
          </w:p>
        </w:tc>
        <w:tc>
          <w:tcPr>
            <w:tcW w:w="6743" w:type="dxa"/>
          </w:tcPr>
          <w:p>
            <w:pPr>
              <w:widowControl/>
              <w:autoSpaceDE/>
              <w:autoSpaceDN/>
              <w:spacing w:line="380" w:lineRule="exact"/>
              <w:ind w:firstLine="480" w:firstLineChars="200"/>
              <w:jc w:val="left"/>
              <w:rPr>
                <w:rFonts w:ascii="宋体" w:hAnsi="宋体" w:eastAsia="宋体" w:cs="宋体"/>
                <w:sz w:val="24"/>
                <w:szCs w:val="22"/>
                <w:lang w:val="zh-CN" w:bidi="zh-CN"/>
              </w:rPr>
            </w:pPr>
            <w:r>
              <w:rPr>
                <w:rFonts w:hint="eastAsia" w:ascii="宋体" w:hAnsi="宋体" w:eastAsia="宋体" w:cs="宋体"/>
                <w:sz w:val="24"/>
                <w:szCs w:val="22"/>
                <w:lang w:val="zh-CN" w:bidi="zh-CN"/>
              </w:rPr>
              <w:t>与会人员就公司近期订单、</w:t>
            </w:r>
            <w:r>
              <w:rPr>
                <w:rFonts w:hint="eastAsia" w:ascii="宋体" w:hAnsi="宋体" w:eastAsia="宋体" w:cs="宋体"/>
                <w:sz w:val="24"/>
                <w:szCs w:val="22"/>
                <w:lang w:bidi="zh-CN"/>
              </w:rPr>
              <w:t>抽水蓄能T</w:t>
            </w:r>
            <w:r>
              <w:rPr>
                <w:rFonts w:ascii="宋体" w:hAnsi="宋体" w:eastAsia="宋体" w:cs="宋体"/>
                <w:sz w:val="24"/>
                <w:szCs w:val="22"/>
                <w:lang w:bidi="zh-CN"/>
              </w:rPr>
              <w:t>BM产品</w:t>
            </w:r>
            <w:r>
              <w:rPr>
                <w:rFonts w:hint="eastAsia" w:ascii="宋体" w:hAnsi="宋体" w:eastAsia="宋体" w:cs="宋体"/>
                <w:sz w:val="24"/>
                <w:szCs w:val="22"/>
                <w:lang w:bidi="zh-CN"/>
              </w:rPr>
              <w:t>应用</w:t>
            </w:r>
            <w:r>
              <w:rPr>
                <w:rFonts w:hint="eastAsia" w:ascii="宋体" w:hAnsi="宋体" w:eastAsia="宋体" w:cs="宋体"/>
                <w:sz w:val="24"/>
                <w:szCs w:val="22"/>
                <w:lang w:val="zh-CN" w:bidi="zh-CN"/>
              </w:rPr>
              <w:t>、海外市场拓展</w:t>
            </w:r>
            <w:r>
              <w:rPr>
                <w:rFonts w:hint="eastAsia" w:ascii="宋体" w:hAnsi="宋体" w:eastAsia="宋体" w:cs="宋体"/>
                <w:sz w:val="24"/>
                <w:szCs w:val="22"/>
                <w:lang w:bidi="zh-CN"/>
              </w:rPr>
              <w:t>、应对原材料涨价</w:t>
            </w:r>
            <w:r>
              <w:rPr>
                <w:rFonts w:hint="eastAsia" w:ascii="宋体" w:hAnsi="宋体" w:eastAsia="宋体" w:cs="宋体"/>
                <w:sz w:val="24"/>
                <w:szCs w:val="22"/>
                <w:lang w:val="zh-CN" w:bidi="zh-CN"/>
              </w:rPr>
              <w:t xml:space="preserve">等情况进行了交流，具体如下： </w:t>
            </w:r>
          </w:p>
          <w:p>
            <w:pPr>
              <w:widowControl/>
              <w:autoSpaceDE/>
              <w:autoSpaceDN/>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val="zh-CN" w:bidi="zh-CN"/>
              </w:rPr>
              <w:t>1.</w:t>
            </w:r>
            <w:r>
              <w:rPr>
                <w:rFonts w:hint="eastAsia" w:ascii="宋体" w:hAnsi="宋体" w:eastAsia="宋体" w:cs="宋体"/>
                <w:b/>
                <w:bCs/>
                <w:sz w:val="24"/>
                <w:szCs w:val="22"/>
                <w:lang w:bidi="zh-CN"/>
              </w:rPr>
              <w:t>稳增长政策对公司经营的影响？</w:t>
            </w:r>
          </w:p>
          <w:p>
            <w:pPr>
              <w:widowControl/>
              <w:autoSpaceDE/>
              <w:autoSpaceDN/>
              <w:spacing w:line="380" w:lineRule="exact"/>
              <w:ind w:firstLine="480" w:firstLineChars="200"/>
              <w:jc w:val="left"/>
              <w:rPr>
                <w:rFonts w:ascii="宋体" w:hAnsi="宋体" w:eastAsia="宋体" w:cs="宋体"/>
                <w:sz w:val="24"/>
                <w:szCs w:val="22"/>
                <w:lang w:bidi="zh-CN"/>
              </w:rPr>
            </w:pPr>
            <w:r>
              <w:rPr>
                <w:rFonts w:hint="eastAsia" w:ascii="宋体" w:hAnsi="宋体" w:eastAsia="宋体" w:cs="宋体"/>
                <w:sz w:val="24"/>
                <w:szCs w:val="22"/>
                <w:lang w:bidi="zh-CN"/>
              </w:rPr>
              <w:t>答：为对冲国际地缘格局形势不稳、疫情多发频发等因素给经济发展带来的负面影响，近期从国家到地方均发布了一系列稳增长政策，特别是基建投资提速正在成为各地稳增长的重要抓手。公司作为基建板块高端装备制造的龙头企业，今年一季度新签订单继续保持增长趋势，特别是在盾构机/</w:t>
            </w:r>
            <w:r>
              <w:rPr>
                <w:rFonts w:ascii="宋体" w:hAnsi="宋体" w:eastAsia="宋体" w:cs="宋体"/>
                <w:sz w:val="24"/>
                <w:szCs w:val="22"/>
                <w:lang w:bidi="zh-CN"/>
              </w:rPr>
              <w:t>TBM</w:t>
            </w:r>
            <w:r>
              <w:rPr>
                <w:rFonts w:hint="eastAsia" w:ascii="宋体" w:hAnsi="宋体" w:eastAsia="宋体" w:cs="宋体"/>
                <w:sz w:val="24"/>
                <w:szCs w:val="22"/>
                <w:lang w:bidi="zh-CN"/>
              </w:rPr>
              <w:t>领域实现了快速增长。受益于稳增长政策的发力及国内基建项目的加速落地，公司将持续加大经营力度，巩固并拓展各项主营业务的市场份额。</w:t>
            </w:r>
          </w:p>
          <w:p>
            <w:pPr>
              <w:widowControl/>
              <w:autoSpaceDE/>
              <w:autoSpaceDN/>
              <w:spacing w:line="380" w:lineRule="exact"/>
              <w:ind w:firstLine="482" w:firstLineChars="200"/>
              <w:jc w:val="left"/>
              <w:rPr>
                <w:rFonts w:ascii="宋体" w:hAnsi="宋体" w:eastAsia="宋体" w:cs="宋体"/>
                <w:b/>
                <w:bCs/>
                <w:sz w:val="24"/>
                <w:szCs w:val="22"/>
                <w:lang w:bidi="zh-CN"/>
              </w:rPr>
            </w:pPr>
          </w:p>
          <w:p>
            <w:pPr>
              <w:widowControl/>
              <w:autoSpaceDE/>
              <w:autoSpaceDN/>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2.目前中铁工业的TBM在抽水蓄能市场占有率如何？</w:t>
            </w:r>
          </w:p>
          <w:p>
            <w:pPr>
              <w:widowControl/>
              <w:autoSpaceDE/>
              <w:autoSpaceDN/>
              <w:spacing w:line="380" w:lineRule="exact"/>
              <w:ind w:firstLine="480" w:firstLineChars="200"/>
              <w:jc w:val="left"/>
              <w:rPr>
                <w:rFonts w:ascii="宋体" w:hAnsi="宋体" w:eastAsia="宋体" w:cs="宋体"/>
                <w:sz w:val="24"/>
                <w:szCs w:val="22"/>
                <w:lang w:bidi="zh-CN"/>
              </w:rPr>
            </w:pPr>
            <w:r>
              <w:rPr>
                <w:rFonts w:hint="eastAsia" w:ascii="宋体" w:hAnsi="宋体" w:eastAsia="宋体" w:cs="宋体"/>
                <w:sz w:val="24"/>
                <w:szCs w:val="22"/>
                <w:lang w:bidi="zh-CN"/>
              </w:rPr>
              <w:t>答：截至目前，中铁工业研制的抽水蓄能TBM已覆盖抽水蓄能电站的排水廊道、自流排水洞、交通洞及通风安全洞、排风竖井、引水斜井等全部五个地下洞室领域，产品已应用于国内9个抽水蓄能电站工程建设。今年一季度公司再获抽水蓄能TBM</w:t>
            </w:r>
            <w:r>
              <w:rPr>
                <w:rFonts w:ascii="宋体" w:hAnsi="宋体" w:eastAsia="宋体" w:cs="宋体"/>
                <w:sz w:val="24"/>
                <w:szCs w:val="22"/>
                <w:lang w:bidi="zh-CN"/>
              </w:rPr>
              <w:t>产品新</w:t>
            </w:r>
            <w:r>
              <w:rPr>
                <w:rFonts w:hint="eastAsia" w:ascii="宋体" w:hAnsi="宋体" w:eastAsia="宋体" w:cs="宋体"/>
                <w:sz w:val="24"/>
                <w:szCs w:val="22"/>
                <w:lang w:bidi="zh-CN"/>
              </w:rPr>
              <w:t>订单，目前在该领域的国内市场占有率较以往进一步提升。</w:t>
            </w:r>
          </w:p>
          <w:p>
            <w:pPr>
              <w:widowControl/>
              <w:autoSpaceDE/>
              <w:autoSpaceDN/>
              <w:spacing w:line="380" w:lineRule="exact"/>
              <w:ind w:firstLine="480" w:firstLineChars="200"/>
              <w:jc w:val="left"/>
              <w:rPr>
                <w:rFonts w:ascii="宋体" w:hAnsi="宋体" w:eastAsia="宋体" w:cs="宋体"/>
                <w:sz w:val="24"/>
                <w:szCs w:val="22"/>
                <w:lang w:val="zh-CN" w:bidi="zh-CN"/>
              </w:rPr>
            </w:pPr>
          </w:p>
          <w:p>
            <w:pPr>
              <w:widowControl/>
              <w:numPr>
                <w:ilvl w:val="-1"/>
                <w:numId w:val="0"/>
              </w:numPr>
              <w:autoSpaceDE/>
              <w:autoSpaceDN/>
              <w:spacing w:before="0" w:line="380" w:lineRule="exact"/>
              <w:ind w:left="0" w:right="0" w:firstLine="482" w:firstLineChars="200"/>
              <w:jc w:val="left"/>
              <w:rPr>
                <w:rFonts w:ascii="宋体" w:hAnsi="宋体" w:eastAsia="宋体" w:cs="宋体"/>
                <w:b/>
                <w:bCs/>
                <w:sz w:val="24"/>
                <w:szCs w:val="22"/>
                <w:lang w:bidi="zh-CN"/>
              </w:rPr>
            </w:pPr>
            <w:r>
              <w:rPr>
                <w:rFonts w:ascii="宋体" w:hAnsi="宋体" w:eastAsia="宋体" w:cs="宋体"/>
                <w:b/>
                <w:bCs/>
                <w:sz w:val="24"/>
                <w:szCs w:val="22"/>
                <w:lang w:bidi="zh-CN"/>
              </w:rPr>
              <w:t>3</w:t>
            </w:r>
            <w:r>
              <w:rPr>
                <w:rFonts w:hint="eastAsia" w:ascii="宋体" w:hAnsi="宋体" w:eastAsia="宋体" w:cs="宋体"/>
                <w:b/>
                <w:bCs/>
                <w:sz w:val="24"/>
                <w:szCs w:val="22"/>
                <w:lang w:bidi="zh-CN"/>
              </w:rPr>
              <w:t>.2</w:t>
            </w:r>
            <w:r>
              <w:rPr>
                <w:rFonts w:ascii="宋体" w:hAnsi="宋体" w:eastAsia="宋体" w:cs="宋体"/>
                <w:b/>
                <w:bCs/>
                <w:sz w:val="24"/>
                <w:szCs w:val="22"/>
                <w:lang w:bidi="zh-CN"/>
              </w:rPr>
              <w:t>021</w:t>
            </w:r>
            <w:r>
              <w:rPr>
                <w:rFonts w:hint="eastAsia" w:ascii="宋体" w:hAnsi="宋体" w:eastAsia="宋体" w:cs="宋体"/>
                <w:b/>
                <w:bCs/>
                <w:sz w:val="24"/>
                <w:szCs w:val="22"/>
                <w:lang w:bidi="zh-CN"/>
              </w:rPr>
              <w:t>年中铁工业盾构机出口情况如何？</w:t>
            </w:r>
          </w:p>
          <w:p>
            <w:pPr>
              <w:widowControl/>
              <w:spacing w:line="380" w:lineRule="exact"/>
              <w:ind w:firstLine="480" w:firstLineChars="200"/>
              <w:jc w:val="left"/>
              <w:rPr>
                <w:rFonts w:ascii="宋体" w:hAnsi="宋体" w:eastAsia="宋体" w:cs="宋体"/>
                <w:sz w:val="24"/>
                <w:szCs w:val="22"/>
                <w:lang w:bidi="zh-CN"/>
              </w:rPr>
            </w:pPr>
            <w:r>
              <w:rPr>
                <w:rFonts w:hint="eastAsia" w:ascii="宋体" w:hAnsi="宋体" w:eastAsia="宋体" w:cs="宋体"/>
                <w:sz w:val="24"/>
                <w:szCs w:val="22"/>
                <w:lang w:bidi="zh-CN"/>
              </w:rPr>
              <w:t>答：海外疫情对各国经济形势造成了巨大影响，全球基础设施投资和建设都遭遇“寒冬”，公司通过与国际建筑商深度绑定等多种方式努力降低疫情影响，取得了较好成效。2</w:t>
            </w:r>
            <w:r>
              <w:rPr>
                <w:rFonts w:ascii="宋体" w:hAnsi="宋体" w:eastAsia="宋体" w:cs="宋体"/>
                <w:sz w:val="24"/>
                <w:szCs w:val="22"/>
                <w:lang w:bidi="zh-CN"/>
              </w:rPr>
              <w:t>021</w:t>
            </w:r>
            <w:r>
              <w:rPr>
                <w:rFonts w:hint="eastAsia" w:ascii="宋体" w:hAnsi="宋体" w:eastAsia="宋体" w:cs="宋体"/>
                <w:sz w:val="24"/>
                <w:szCs w:val="22"/>
                <w:lang w:bidi="zh-CN"/>
              </w:rPr>
              <w:t>年</w:t>
            </w:r>
            <w:r>
              <w:rPr>
                <w:rFonts w:hint="eastAsia" w:ascii="宋体" w:hAnsi="宋体" w:eastAsia="宋体" w:cs="宋体"/>
                <w:sz w:val="24"/>
                <w:szCs w:val="22"/>
                <w:highlight w:val="none"/>
                <w:lang w:bidi="zh-CN"/>
              </w:rPr>
              <w:t>公司盾构机/TBM海外新签</w:t>
            </w:r>
            <w:r>
              <w:rPr>
                <w:rFonts w:hint="eastAsia" w:ascii="宋体" w:hAnsi="宋体" w:eastAsia="宋体" w:cs="宋体"/>
                <w:sz w:val="24"/>
                <w:szCs w:val="22"/>
                <w:highlight w:val="none"/>
                <w:lang w:val="en-US" w:bidi="zh-CN"/>
              </w:rPr>
              <w:t>订单实现了快速增长</w:t>
            </w:r>
            <w:r>
              <w:rPr>
                <w:rFonts w:hint="eastAsia" w:ascii="宋体" w:hAnsi="宋体" w:eastAsia="宋体" w:cs="宋体"/>
                <w:sz w:val="24"/>
                <w:szCs w:val="22"/>
                <w:highlight w:val="none"/>
                <w:lang w:bidi="zh-CN"/>
              </w:rPr>
              <w:t>，海外市场</w:t>
            </w:r>
            <w:r>
              <w:rPr>
                <w:rFonts w:hint="eastAsia" w:ascii="宋体" w:hAnsi="宋体" w:eastAsia="宋体" w:cs="宋体"/>
                <w:sz w:val="24"/>
                <w:szCs w:val="22"/>
                <w:lang w:bidi="zh-CN"/>
              </w:rPr>
              <w:t>占有率</w:t>
            </w:r>
            <w:r>
              <w:rPr>
                <w:rFonts w:hint="eastAsia" w:ascii="宋体" w:hAnsi="宋体" w:eastAsia="宋体" w:cs="宋体"/>
                <w:sz w:val="24"/>
                <w:szCs w:val="22"/>
                <w:lang w:val="en-US" w:bidi="zh-CN"/>
              </w:rPr>
              <w:t>进一步提升</w:t>
            </w:r>
            <w:r>
              <w:rPr>
                <w:rFonts w:hint="eastAsia" w:ascii="宋体" w:hAnsi="宋体" w:eastAsia="宋体" w:cs="宋体"/>
                <w:sz w:val="24"/>
                <w:szCs w:val="22"/>
                <w:lang w:bidi="zh-CN"/>
              </w:rPr>
              <w:t>。</w:t>
            </w:r>
          </w:p>
          <w:p>
            <w:pPr>
              <w:widowControl/>
              <w:autoSpaceDE/>
              <w:autoSpaceDN/>
              <w:spacing w:line="380" w:lineRule="exact"/>
              <w:ind w:firstLine="480" w:firstLineChars="200"/>
              <w:jc w:val="left"/>
              <w:rPr>
                <w:rFonts w:ascii="宋体" w:hAnsi="宋体" w:eastAsia="宋体" w:cs="宋体"/>
                <w:sz w:val="24"/>
                <w:szCs w:val="22"/>
                <w:lang w:val="zh-CN" w:bidi="zh-CN"/>
              </w:rPr>
            </w:pPr>
          </w:p>
          <w:p>
            <w:pPr>
              <w:widowControl/>
              <w:numPr>
                <w:ilvl w:val="-1"/>
                <w:numId w:val="0"/>
              </w:numPr>
              <w:autoSpaceDE/>
              <w:autoSpaceDN/>
              <w:spacing w:before="0" w:line="380" w:lineRule="exact"/>
              <w:ind w:left="0" w:right="0"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4.</w:t>
            </w:r>
            <w:r>
              <w:rPr>
                <w:rFonts w:ascii="宋体" w:hAnsi="宋体" w:eastAsia="宋体" w:cs="宋体"/>
                <w:b/>
                <w:bCs/>
                <w:sz w:val="24"/>
                <w:szCs w:val="22"/>
                <w:lang w:bidi="zh-CN"/>
              </w:rPr>
              <w:t>2021年</w:t>
            </w:r>
            <w:r>
              <w:rPr>
                <w:rFonts w:hint="eastAsia" w:ascii="宋体" w:hAnsi="宋体" w:eastAsia="宋体" w:cs="宋体"/>
                <w:b/>
                <w:bCs/>
                <w:sz w:val="24"/>
                <w:szCs w:val="22"/>
                <w:lang w:bidi="zh-CN"/>
              </w:rPr>
              <w:t>钢材等原材料价格大幅上涨，公司毛利率如何保持了逆势增长？</w:t>
            </w:r>
          </w:p>
          <w:p>
            <w:pPr>
              <w:widowControl/>
              <w:spacing w:line="380" w:lineRule="exact"/>
              <w:ind w:firstLine="480" w:firstLineChars="200"/>
              <w:jc w:val="left"/>
              <w:rPr>
                <w:rFonts w:ascii="宋体" w:hAnsi="宋体" w:eastAsia="宋体" w:cs="宋体"/>
                <w:sz w:val="24"/>
                <w:szCs w:val="22"/>
                <w:lang w:bidi="zh-CN"/>
              </w:rPr>
            </w:pPr>
            <w:r>
              <w:rPr>
                <w:rFonts w:hint="eastAsia" w:ascii="宋体" w:hAnsi="宋体" w:eastAsia="宋体" w:cs="宋体"/>
                <w:sz w:val="24"/>
                <w:szCs w:val="22"/>
                <w:lang w:bidi="zh-CN"/>
              </w:rPr>
              <w:t>答：公司始终高度关注和积极应对钢材等原材料价格波动对公司产品成本的影响，多措并举，努力降低涨价影响，提升盈利水平。对外方面，一是通过采取与钢厂战略合作、规模化集中采购等方式，提高公司的议价能力；二是精准研判市场经营情况，提前备料，锁定价格；三是与下游客户建立合同调价机制，降低原材料价格大幅波动的影响。对内方面，一是加强生产环节的精细化管理，压降生产成本；二是优化钢结构项目的生产组织方式，增强项目管控能力；三是提升生产线的自动化和智能化水平，提高生产效率。通过以上举措，公司在2</w:t>
            </w:r>
            <w:r>
              <w:rPr>
                <w:rFonts w:ascii="宋体" w:hAnsi="宋体" w:eastAsia="宋体" w:cs="宋体"/>
                <w:sz w:val="24"/>
                <w:szCs w:val="22"/>
                <w:lang w:bidi="zh-CN"/>
              </w:rPr>
              <w:t>021年的</w:t>
            </w:r>
            <w:r>
              <w:rPr>
                <w:rFonts w:hint="eastAsia" w:ascii="宋体" w:hAnsi="宋体" w:eastAsia="宋体" w:cs="宋体"/>
                <w:sz w:val="24"/>
                <w:szCs w:val="22"/>
                <w:lang w:bidi="zh-CN"/>
              </w:rPr>
              <w:t>整体毛利率同比提升</w:t>
            </w:r>
            <w:r>
              <w:rPr>
                <w:rFonts w:hint="eastAsia" w:ascii="宋体" w:hAnsi="宋体" w:eastAsia="宋体" w:cs="宋体"/>
                <w:sz w:val="24"/>
                <w:szCs w:val="22"/>
                <w:lang w:val="en-US" w:bidi="zh-CN"/>
              </w:rPr>
              <w:t>0.63</w:t>
            </w:r>
            <w:r>
              <w:rPr>
                <w:rFonts w:hint="eastAsia" w:ascii="宋体" w:hAnsi="宋体" w:eastAsia="宋体" w:cs="宋体"/>
                <w:sz w:val="24"/>
                <w:szCs w:val="22"/>
                <w:lang w:bidi="zh-CN"/>
              </w:rPr>
              <w:t>个百分点，特别是桥梁钢结构业务的毛利率同比有了较大幅度增长。</w:t>
            </w:r>
          </w:p>
        </w:tc>
      </w:tr>
    </w:tbl>
    <w:p>
      <w:pPr>
        <w:autoSpaceDE w:val="0"/>
        <w:autoSpaceDN w:val="0"/>
        <w:jc w:val="left"/>
        <w:rPr>
          <w:rFonts w:ascii="宋体" w:hAnsi="宋体" w:eastAsia="宋体" w:cs="宋体"/>
          <w:kern w:val="0"/>
          <w:sz w:val="22"/>
          <w:szCs w:val="22"/>
          <w:lang w:val="zh-CN" w:bidi="zh-CN"/>
        </w:rPr>
      </w:pPr>
    </w:p>
    <w:p/>
    <w:sectPr>
      <w:pgSz w:w="11910" w:h="16840"/>
      <w:pgMar w:top="142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embedRegular r:id="rId1" w:fontKey="{704F40CB-CD97-4404-AD59-0220FCC93C4E}"/>
  </w:font>
  <w:font w:name="方正小标宋简体">
    <w:panose1 w:val="02000000000000000000"/>
    <w:charset w:val="86"/>
    <w:family w:val="script"/>
    <w:pitch w:val="default"/>
    <w:sig w:usb0="00000001" w:usb1="08000000" w:usb2="00000000" w:usb3="00000000" w:csb0="00040000" w:csb1="00000000"/>
    <w:embedRegular r:id="rId2" w:fontKey="{0FF57C26-E3D9-49AF-A638-F38EA945922D}"/>
  </w:font>
  <w:font w:name="Wingdings 2">
    <w:panose1 w:val="05020102010507070707"/>
    <w:charset w:val="02"/>
    <w:family w:val="roman"/>
    <w:pitch w:val="default"/>
    <w:sig w:usb0="00000000" w:usb1="00000000" w:usb2="00000000" w:usb3="00000000" w:csb0="80000000" w:csb1="00000000"/>
    <w:embedRegular r:id="rId3" w:fontKey="{310D2D39-DEFB-4D06-9448-37618AEF944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7F2EB8"/>
    <w:rsid w:val="00057DD9"/>
    <w:rsid w:val="000D59AA"/>
    <w:rsid w:val="000F1A64"/>
    <w:rsid w:val="001D0590"/>
    <w:rsid w:val="001D0E8C"/>
    <w:rsid w:val="002F65AE"/>
    <w:rsid w:val="003C7107"/>
    <w:rsid w:val="0047189E"/>
    <w:rsid w:val="0059527A"/>
    <w:rsid w:val="006D18C2"/>
    <w:rsid w:val="008C1DDE"/>
    <w:rsid w:val="00A0690C"/>
    <w:rsid w:val="00A652E5"/>
    <w:rsid w:val="00A8052F"/>
    <w:rsid w:val="00AA2AEA"/>
    <w:rsid w:val="00AC2668"/>
    <w:rsid w:val="00B151B2"/>
    <w:rsid w:val="00C11372"/>
    <w:rsid w:val="00C51EAA"/>
    <w:rsid w:val="00C629DC"/>
    <w:rsid w:val="00D26802"/>
    <w:rsid w:val="00D65E27"/>
    <w:rsid w:val="00D66E4B"/>
    <w:rsid w:val="00DC5E96"/>
    <w:rsid w:val="00EB1073"/>
    <w:rsid w:val="00FA6A5F"/>
    <w:rsid w:val="00FD3E00"/>
    <w:rsid w:val="02BA3306"/>
    <w:rsid w:val="046C34D0"/>
    <w:rsid w:val="05D46336"/>
    <w:rsid w:val="067F2EB8"/>
    <w:rsid w:val="06E32BC5"/>
    <w:rsid w:val="07683008"/>
    <w:rsid w:val="09147BD1"/>
    <w:rsid w:val="0A101979"/>
    <w:rsid w:val="0F96177E"/>
    <w:rsid w:val="0FCD0D0C"/>
    <w:rsid w:val="11F27621"/>
    <w:rsid w:val="15603B98"/>
    <w:rsid w:val="16A21045"/>
    <w:rsid w:val="17236F1E"/>
    <w:rsid w:val="1C1F5442"/>
    <w:rsid w:val="1E166F81"/>
    <w:rsid w:val="22125D09"/>
    <w:rsid w:val="23E256F7"/>
    <w:rsid w:val="244E4F36"/>
    <w:rsid w:val="3151318A"/>
    <w:rsid w:val="333431EA"/>
    <w:rsid w:val="35526158"/>
    <w:rsid w:val="379609DC"/>
    <w:rsid w:val="37C75D61"/>
    <w:rsid w:val="38F2029B"/>
    <w:rsid w:val="3A903116"/>
    <w:rsid w:val="3AFE1875"/>
    <w:rsid w:val="3B3549EE"/>
    <w:rsid w:val="3E0C3A82"/>
    <w:rsid w:val="40BF1ED5"/>
    <w:rsid w:val="425A5222"/>
    <w:rsid w:val="427020C1"/>
    <w:rsid w:val="46B336FC"/>
    <w:rsid w:val="47675366"/>
    <w:rsid w:val="498F750F"/>
    <w:rsid w:val="4A3E3505"/>
    <w:rsid w:val="4B7E10D3"/>
    <w:rsid w:val="4DC872D1"/>
    <w:rsid w:val="54552A11"/>
    <w:rsid w:val="546141A1"/>
    <w:rsid w:val="5D51749F"/>
    <w:rsid w:val="5EDE5F3A"/>
    <w:rsid w:val="5FF14891"/>
    <w:rsid w:val="631A6271"/>
    <w:rsid w:val="631C6B3A"/>
    <w:rsid w:val="63C128AF"/>
    <w:rsid w:val="68202928"/>
    <w:rsid w:val="6B8B0AA6"/>
    <w:rsid w:val="6CAE1317"/>
    <w:rsid w:val="6CB30B6E"/>
    <w:rsid w:val="72151F22"/>
    <w:rsid w:val="73A2411E"/>
    <w:rsid w:val="7D3674C0"/>
    <w:rsid w:val="7F7C0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10">
    <w:name w:val="Table Paragraph"/>
    <w:basedOn w:val="1"/>
    <w:qFormat/>
    <w:uiPriority w:val="1"/>
    <w:pPr>
      <w:ind w:left="107"/>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1045</Words>
  <Characters>1106</Characters>
  <Lines>125</Lines>
  <Paragraphs>164</Paragraphs>
  <TotalTime>36</TotalTime>
  <ScaleCrop>false</ScaleCrop>
  <LinksUpToDate>false</LinksUpToDate>
  <CharactersWithSpaces>1260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2022-04-14T09:50:00Z</dcterms:created>
  <dc:creator>王浩</dc:creator>
  <cp:lastModifiedBy>wufan</cp:lastModifiedBy>
  <dcterms:modified xsi:type="dcterms:W3CDTF">2022-04-14T10:31:56Z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E57C41616F254B31A41404E3C9130473</vt:lpwstr>
  </property>
</Properties>
</file>