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杭萧钢构股份有限公司投资者关系活动记录表</w:t>
      </w:r>
    </w:p>
    <w:tbl>
      <w:tblPr>
        <w:tblStyle w:val="10"/>
        <w:tblpPr w:leftFromText="180" w:rightFromText="180" w:vertAnchor="page" w:horzAnchor="page" w:tblpX="1325" w:tblpY="2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rFonts w:ascii="宋体" w:hAnsi="宋体" w:eastAsia="宋体" w:cs="宋体"/>
                <w:b/>
                <w:bCs/>
                <w:sz w:val="24"/>
              </w:rPr>
            </w:pPr>
            <w:r>
              <w:rPr>
                <w:rFonts w:ascii="宋体" w:hAnsi="宋体" w:eastAsia="宋体" w:cs="宋体"/>
                <w:b/>
                <w:bCs/>
                <w:sz w:val="24"/>
              </w:rPr>
              <w:t>投资者关系</w:t>
            </w:r>
          </w:p>
          <w:p>
            <w:pPr>
              <w:jc w:val="center"/>
              <w:rPr>
                <w:b/>
                <w:bCs/>
              </w:rPr>
            </w:pPr>
            <w:r>
              <w:rPr>
                <w:rFonts w:ascii="宋体" w:hAnsi="宋体" w:eastAsia="宋体" w:cs="宋体"/>
                <w:b/>
                <w:bCs/>
                <w:sz w:val="24"/>
              </w:rPr>
              <w:t>活动类别</w:t>
            </w:r>
          </w:p>
        </w:tc>
        <w:tc>
          <w:tcPr>
            <w:tcW w:w="6145" w:type="dxa"/>
          </w:tcPr>
          <w:p>
            <w:r>
              <w:rPr>
                <w:rFonts w:ascii="MS Gothic" w:hAnsi="MS Gothic" w:eastAsia="宋体" w:cs="宋体"/>
                <w:kern w:val="2"/>
                <w:sz w:val="21"/>
                <w:szCs w:val="24"/>
                <w:lang w:val="en-US" w:eastAsia="zh-CN" w:bidi="ar-SA"/>
              </w:rPr>
              <w:t>☐</w:t>
            </w:r>
            <w:r>
              <w:rPr>
                <w:rFonts w:hint="eastAsia"/>
              </w:rPr>
              <w:t xml:space="preserve">特定对象调研          </w:t>
            </w:r>
            <w:r>
              <w:rPr>
                <w:rFonts w:ascii="MS Gothic" w:hAnsi="MS Gothic"/>
              </w:rPr>
              <w:t>☐</w:t>
            </w:r>
            <w:r>
              <w:rPr>
                <w:rFonts w:hint="eastAsia"/>
              </w:rPr>
              <w:t>分析师会议</w:t>
            </w:r>
          </w:p>
          <w:p>
            <w:r>
              <w:rPr>
                <w:rFonts w:ascii="MS Gothic" w:hAnsi="MS Gothic"/>
              </w:rPr>
              <w:t>☐</w:t>
            </w:r>
            <w:r>
              <w:rPr>
                <w:rFonts w:hint="eastAsia"/>
              </w:rPr>
              <w:t xml:space="preserve">媒体采访              </w:t>
            </w:r>
            <w:r>
              <w:rPr>
                <w:rFonts w:ascii="MS Gothic" w:hAnsi="MS Gothic"/>
              </w:rPr>
              <w:t>☐</w:t>
            </w:r>
            <w:r>
              <w:rPr>
                <w:rFonts w:hint="eastAsia"/>
              </w:rPr>
              <w:t>业绩说明会</w:t>
            </w:r>
          </w:p>
          <w:p>
            <w:r>
              <w:rPr>
                <w:rFonts w:ascii="MS Gothic" w:hAnsi="MS Gothic"/>
              </w:rPr>
              <w:t>☐</w:t>
            </w:r>
            <w:r>
              <w:rPr>
                <w:rFonts w:hint="eastAsia"/>
              </w:rPr>
              <w:t xml:space="preserve">新闻发布会            </w:t>
            </w:r>
            <w:r>
              <w:rPr>
                <w:rFonts w:ascii="MS Gothic" w:hAnsi="MS Gothic"/>
              </w:rPr>
              <w:t>☐</w:t>
            </w:r>
            <w:r>
              <w:rPr>
                <w:rFonts w:hint="eastAsia"/>
              </w:rPr>
              <w:t>路演活动</w:t>
            </w:r>
          </w:p>
          <w:p>
            <w:r>
              <w:rPr>
                <w:rFonts w:ascii="MS Gothic" w:hAnsi="MS Gothic"/>
              </w:rPr>
              <w:t>☐</w:t>
            </w:r>
            <w:r>
              <w:rPr>
                <w:rFonts w:hint="eastAsia"/>
              </w:rPr>
              <w:t xml:space="preserve">现场参观              </w:t>
            </w:r>
            <w:r>
              <w:rPr>
                <w:rFonts w:ascii="MS Gothic" w:hAnsi="MS Gothic" w:eastAsia="宋体" w:cs="宋体"/>
                <w:kern w:val="2"/>
                <w:sz w:val="21"/>
                <w:szCs w:val="24"/>
                <w:lang w:val="en-US" w:eastAsia="zh-CN" w:bidi="ar-SA"/>
              </w:rPr>
              <w:t>☒</w:t>
            </w:r>
            <w:r>
              <w:rPr>
                <w:rFonts w:hint="eastAsia"/>
              </w:rPr>
              <w:t>电话调研</w:t>
            </w:r>
          </w:p>
          <w:p>
            <w:r>
              <w:rPr>
                <w:rFonts w:ascii="MS Gothic" w:hAnsi="MS Gothic"/>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rFonts w:hint="default" w:eastAsia="宋体"/>
                <w:b/>
                <w:bCs/>
                <w:lang w:val="en-US" w:eastAsia="zh-CN"/>
              </w:rPr>
            </w:pPr>
            <w:r>
              <w:rPr>
                <w:rFonts w:hint="eastAsia" w:ascii="宋体" w:hAnsi="宋体" w:cs="宋体"/>
                <w:b/>
                <w:bCs/>
                <w:sz w:val="24"/>
                <w:lang w:val="en-US" w:eastAsia="zh-CN"/>
              </w:rPr>
              <w:t>调研时间/</w:t>
            </w:r>
            <w:r>
              <w:rPr>
                <w:rFonts w:ascii="宋体" w:hAnsi="宋体" w:eastAsia="宋体" w:cs="宋体"/>
                <w:b/>
                <w:bCs/>
                <w:sz w:val="24"/>
              </w:rPr>
              <w:t>调研人员单位</w:t>
            </w:r>
          </w:p>
        </w:tc>
        <w:tc>
          <w:tcPr>
            <w:tcW w:w="6145" w:type="dxa"/>
          </w:tcPr>
          <w:p>
            <w:pPr>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1、2022年4月20日 10：00-11：30</w:t>
            </w:r>
          </w:p>
          <w:p>
            <w:pPr>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中金公司王平川组织电话调研，参会单位：YIHENG CAPITAL、WELLINGTON MANAGEMENT、Lazard Asset Management、国泰君安国际、大成基金、泰康资产、深圳东方港湾投资、申万宏源证券、平安养老保险、财通证券资管、盈泰投资、广东汇德投资、天铖控股、深圳前海溋沣资本、上海甬证资管、上海申九资产、上海格行资产、上海白溪私募、杭州遂玖资产、杭州胜拓投资、广东佳润实业</w:t>
            </w:r>
          </w:p>
          <w:p>
            <w:pPr>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2、2022年4月20日  14：00-15：15</w:t>
            </w:r>
          </w:p>
          <w:p>
            <w:pPr>
              <w:rPr>
                <w:rFonts w:hint="eastAsia" w:ascii="楷体" w:hAnsi="楷体" w:eastAsia="楷体" w:cs="楷体"/>
                <w:b w:val="0"/>
                <w:bCs w:val="0"/>
                <w:color w:val="auto"/>
                <w:sz w:val="22"/>
                <w:szCs w:val="22"/>
                <w:highlight w:val="none"/>
                <w:lang w:val="en-US" w:eastAsia="zh-CN"/>
              </w:rPr>
            </w:pPr>
            <w:r>
              <w:rPr>
                <w:rFonts w:hint="default" w:ascii="楷体" w:hAnsi="楷体" w:eastAsia="楷体" w:cs="楷体"/>
                <w:b w:val="0"/>
                <w:bCs w:val="0"/>
                <w:color w:val="auto"/>
                <w:sz w:val="22"/>
                <w:szCs w:val="22"/>
                <w:highlight w:val="none"/>
                <w:lang w:val="en-US" w:eastAsia="zh-CN"/>
              </w:rPr>
              <w:t>长城建材花江月</w:t>
            </w:r>
            <w:r>
              <w:rPr>
                <w:rFonts w:hint="eastAsia" w:ascii="楷体" w:hAnsi="楷体" w:eastAsia="楷体" w:cs="楷体"/>
                <w:b w:val="0"/>
                <w:bCs w:val="0"/>
                <w:color w:val="auto"/>
                <w:sz w:val="22"/>
                <w:szCs w:val="22"/>
                <w:highlight w:val="none"/>
                <w:lang w:val="en-US" w:eastAsia="zh-CN"/>
              </w:rPr>
              <w:t xml:space="preserve">组织电话调研，参会单位：长城证券、东方财富基金、嘉峪投资、西南证券、中冀投资、崇正投资、招商信诺资管 </w:t>
            </w:r>
          </w:p>
          <w:p>
            <w:pPr>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3、2022年4月20日  16：00-17：15</w:t>
            </w:r>
          </w:p>
          <w:p>
            <w:pPr>
              <w:rPr>
                <w:rFonts w:hint="eastAsia" w:ascii="楷体" w:hAnsi="楷体" w:eastAsia="楷体" w:cs="楷体"/>
                <w:b w:val="0"/>
                <w:bCs w:val="0"/>
                <w:color w:val="auto"/>
                <w:sz w:val="22"/>
                <w:szCs w:val="22"/>
                <w:highlight w:val="none"/>
                <w:lang w:val="en-US" w:eastAsia="zh-CN"/>
              </w:rPr>
            </w:pPr>
            <w:r>
              <w:rPr>
                <w:rFonts w:hint="default" w:ascii="楷体" w:hAnsi="楷体" w:eastAsia="楷体" w:cs="楷体"/>
                <w:b w:val="0"/>
                <w:bCs w:val="0"/>
                <w:color w:val="auto"/>
                <w:sz w:val="22"/>
                <w:szCs w:val="22"/>
                <w:highlight w:val="none"/>
                <w:lang w:val="en-US" w:eastAsia="zh-CN"/>
              </w:rPr>
              <w:t>天风证券鲍荣富</w:t>
            </w:r>
            <w:r>
              <w:rPr>
                <w:rFonts w:hint="eastAsia" w:ascii="楷体" w:hAnsi="楷体" w:eastAsia="楷体" w:cs="楷体"/>
                <w:b w:val="0"/>
                <w:bCs w:val="0"/>
                <w:color w:val="auto"/>
                <w:sz w:val="22"/>
                <w:szCs w:val="22"/>
                <w:highlight w:val="none"/>
                <w:lang w:val="en-US" w:eastAsia="zh-CN"/>
              </w:rPr>
              <w:t>组织电话调研，参会单位：进门财经、长隽资本投资管理、中亿投资、上海银叶投资、湖南源乘投资、北京和聚投资、锦绣中和（北京）资管、上海耀之资管、金元顺安基金、上海光大证券资管、深圳市正德泰投资、成泉资管、富国基金、云南国际信托、民生加银基金、深圳市亘泰投资、台灣群益投信、宁波梅山保税港区灏浚投资、上海汇利资管</w:t>
            </w:r>
          </w:p>
          <w:p>
            <w:pPr>
              <w:rPr>
                <w:rFonts w:hint="eastAsia" w:ascii="楷体" w:hAnsi="楷体" w:eastAsia="楷体" w:cs="楷体"/>
                <w:b w:val="0"/>
                <w:bCs w:val="0"/>
                <w:color w:val="auto"/>
                <w:sz w:val="22"/>
                <w:szCs w:val="22"/>
                <w:highlight w:val="none"/>
                <w:lang w:val="en-US" w:eastAsia="zh-CN"/>
              </w:rPr>
            </w:pPr>
            <w:r>
              <w:rPr>
                <w:rFonts w:hint="eastAsia" w:ascii="楷体" w:hAnsi="楷体" w:eastAsia="楷体" w:cs="楷体"/>
                <w:b w:val="0"/>
                <w:bCs w:val="0"/>
                <w:color w:val="auto"/>
                <w:sz w:val="22"/>
                <w:szCs w:val="22"/>
                <w:highlight w:val="none"/>
                <w:lang w:val="en-US" w:eastAsia="zh-CN"/>
              </w:rPr>
              <w:t>4、2022年4月21日  10：00-11：15</w:t>
            </w:r>
          </w:p>
          <w:p>
            <w:pPr>
              <w:rPr>
                <w:rFonts w:hint="default" w:eastAsia="宋体"/>
                <w:lang w:val="en-US" w:eastAsia="zh-CN"/>
              </w:rPr>
            </w:pPr>
            <w:r>
              <w:rPr>
                <w:rFonts w:hint="eastAsia" w:ascii="楷体" w:hAnsi="楷体" w:eastAsia="楷体" w:cs="楷体"/>
                <w:b w:val="0"/>
                <w:bCs w:val="0"/>
                <w:color w:val="auto"/>
                <w:sz w:val="22"/>
                <w:szCs w:val="22"/>
                <w:highlight w:val="none"/>
                <w:lang w:val="en-US" w:eastAsia="zh-CN"/>
              </w:rPr>
              <w:t>国泰君安韩其成组织电话调研，参会单位：兴全基金、诺德基金、民生加银基金、西藏合众易晟投资、博道投资、建信保险资管、东吴基金、深圳前海泓硕投资、深圳前海红岸资管、厚生投资、德邦基金管理、前海开源基金管理、杭州乾璐投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b/>
                <w:bCs/>
              </w:rPr>
            </w:pPr>
            <w:r>
              <w:rPr>
                <w:rFonts w:hint="eastAsia" w:ascii="宋体" w:hAnsi="宋体" w:eastAsia="宋体" w:cs="宋体"/>
                <w:b/>
                <w:bCs/>
                <w:sz w:val="24"/>
                <w:highlight w:val="none"/>
              </w:rPr>
              <w:t>调研</w:t>
            </w:r>
            <w:r>
              <w:rPr>
                <w:rFonts w:ascii="宋体" w:hAnsi="宋体" w:eastAsia="宋体" w:cs="宋体"/>
                <w:b/>
                <w:bCs/>
                <w:sz w:val="24"/>
                <w:highlight w:val="none"/>
              </w:rPr>
              <w:t>时间</w:t>
            </w:r>
          </w:p>
        </w:tc>
        <w:tc>
          <w:tcPr>
            <w:tcW w:w="6145" w:type="dxa"/>
          </w:tcPr>
          <w:p>
            <w:pPr>
              <w:rPr>
                <w:rFonts w:hint="default" w:eastAsia="宋体"/>
                <w:lang w:val="en-US" w:eastAsia="zh-CN"/>
              </w:rPr>
            </w:pPr>
            <w:r>
              <w:rPr>
                <w:rFonts w:hint="eastAsia" w:ascii="宋体" w:hAnsi="宋体"/>
              </w:rPr>
              <w:t>202</w:t>
            </w:r>
            <w:r>
              <w:rPr>
                <w:rFonts w:hint="eastAsia" w:ascii="宋体" w:hAnsi="宋体"/>
                <w:lang w:val="en-US" w:eastAsia="zh-CN"/>
              </w:rPr>
              <w:t>2</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lang w:eastAsia="zh-CN"/>
              </w:rPr>
              <w:t>——</w:t>
            </w:r>
            <w:r>
              <w:rPr>
                <w:rFonts w:hint="eastAsia" w:ascii="宋体" w:hAnsi="宋体"/>
                <w:lang w:val="en-US" w:eastAsia="zh-CN"/>
              </w:rPr>
              <w:t>4</w:t>
            </w:r>
            <w:r>
              <w:rPr>
                <w:rFonts w:hint="eastAsia" w:ascii="宋体" w:hAnsi="宋体"/>
              </w:rPr>
              <w:t>月</w:t>
            </w:r>
            <w:r>
              <w:rPr>
                <w:rFonts w:hint="eastAsia" w:ascii="宋体" w:hAnsi="宋体"/>
                <w:lang w:val="en-US" w:eastAsia="zh-CN"/>
              </w:rPr>
              <w:t>21日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b/>
                <w:bCs/>
              </w:rPr>
            </w:pPr>
            <w:r>
              <w:rPr>
                <w:rFonts w:hint="eastAsia"/>
                <w:b/>
                <w:bCs/>
                <w:sz w:val="24"/>
              </w:rPr>
              <w:t>调研地点</w:t>
            </w:r>
          </w:p>
        </w:tc>
        <w:tc>
          <w:tcPr>
            <w:tcW w:w="6145" w:type="dxa"/>
          </w:tcPr>
          <w:p>
            <w:pPr>
              <w:rPr>
                <w:rFonts w:hint="default" w:eastAsia="宋体"/>
                <w:lang w:val="en-US" w:eastAsia="zh-CN"/>
              </w:rPr>
            </w:pPr>
            <w:r>
              <w:rPr>
                <w:rFonts w:hint="eastAsia"/>
                <w:lang w:val="en-US" w:eastAsia="zh-CN"/>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b/>
                <w:bCs/>
              </w:rPr>
            </w:pPr>
            <w:r>
              <w:rPr>
                <w:rFonts w:hint="eastAsia" w:ascii="宋体" w:hAnsi="宋体" w:eastAsia="宋体" w:cs="宋体"/>
                <w:b/>
                <w:bCs/>
                <w:sz w:val="24"/>
              </w:rPr>
              <w:t>上市</w:t>
            </w:r>
            <w:r>
              <w:rPr>
                <w:rFonts w:ascii="宋体" w:hAnsi="宋体" w:eastAsia="宋体" w:cs="宋体"/>
                <w:b/>
                <w:bCs/>
                <w:sz w:val="24"/>
              </w:rPr>
              <w:t>公司接待人员</w:t>
            </w:r>
          </w:p>
        </w:tc>
        <w:tc>
          <w:tcPr>
            <w:tcW w:w="6145" w:type="dxa"/>
          </w:tcPr>
          <w:p>
            <w:pPr>
              <w:rPr>
                <w:rFonts w:hint="default" w:eastAsia="宋体"/>
                <w:lang w:val="en-US" w:eastAsia="zh-CN"/>
              </w:rPr>
            </w:pPr>
            <w:r>
              <w:rPr>
                <w:rFonts w:hint="eastAsia"/>
              </w:rPr>
              <w:t>副总裁兼董事会秘书</w:t>
            </w:r>
            <w:r>
              <w:rPr>
                <w:rFonts w:hint="eastAsia"/>
                <w:lang w:val="en-US" w:eastAsia="zh-CN"/>
              </w:rPr>
              <w:t>宋蓓蓓、财务总监许琼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7" w:type="dxa"/>
          </w:tcPr>
          <w:p>
            <w:pPr>
              <w:jc w:val="center"/>
              <w:rPr>
                <w:rFonts w:ascii="宋体" w:hAnsi="宋体" w:eastAsia="宋体" w:cs="宋体"/>
                <w:b/>
                <w:bCs/>
                <w:sz w:val="24"/>
              </w:rPr>
            </w:pPr>
            <w:r>
              <w:rPr>
                <w:rFonts w:ascii="宋体" w:hAnsi="宋体" w:eastAsia="宋体" w:cs="宋体"/>
                <w:b/>
                <w:bCs/>
                <w:sz w:val="24"/>
              </w:rPr>
              <w:t xml:space="preserve">投资者关系活动 </w:t>
            </w:r>
          </w:p>
          <w:p>
            <w:pPr>
              <w:jc w:val="center"/>
              <w:rPr>
                <w:b/>
                <w:bCs/>
              </w:rPr>
            </w:pPr>
            <w:r>
              <w:rPr>
                <w:rFonts w:ascii="宋体" w:hAnsi="宋体" w:eastAsia="宋体" w:cs="宋体"/>
                <w:b/>
                <w:bCs/>
                <w:sz w:val="24"/>
              </w:rPr>
              <w:t>主要内容介绍</w:t>
            </w:r>
          </w:p>
        </w:tc>
        <w:tc>
          <w:tcPr>
            <w:tcW w:w="6145"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textAlignment w:val="auto"/>
              <w:rPr>
                <w:rFonts w:hint="eastAsia"/>
                <w:b/>
                <w:bCs/>
                <w:lang w:val="en-US" w:eastAsia="zh-CN"/>
              </w:rPr>
            </w:pPr>
            <w:r>
              <w:rPr>
                <w:rFonts w:hint="eastAsia"/>
                <w:b/>
                <w:bCs/>
                <w:lang w:val="en-US" w:eastAsia="zh-CN"/>
              </w:rPr>
              <w:t>一、</w:t>
            </w:r>
            <w:r>
              <w:rPr>
                <w:rFonts w:hint="eastAsia"/>
                <w:b/>
                <w:bCs/>
              </w:rPr>
              <w:t>公司副总裁兼董事会秘书宋蓓蓓</w:t>
            </w:r>
            <w:r>
              <w:rPr>
                <w:rFonts w:hint="eastAsia"/>
                <w:b/>
                <w:bCs/>
                <w:lang w:val="en-US" w:eastAsia="zh-CN"/>
              </w:rPr>
              <w:t>分享</w:t>
            </w:r>
            <w:r>
              <w:rPr>
                <w:rFonts w:hint="eastAsia"/>
                <w:b/>
                <w:bCs/>
              </w:rPr>
              <w:t>交流</w:t>
            </w:r>
            <w:r>
              <w:rPr>
                <w:rFonts w:hint="eastAsia"/>
                <w:b/>
                <w:bCs/>
                <w:lang w:val="en-US" w:eastAsia="zh-CN"/>
              </w:rPr>
              <w:t>行业发展的未来趋势，</w:t>
            </w:r>
            <w:r>
              <w:rPr>
                <w:rFonts w:hint="eastAsia"/>
                <w:b/>
                <w:bCs/>
              </w:rPr>
              <w:t>介绍公司的</w:t>
            </w:r>
            <w:r>
              <w:rPr>
                <w:rFonts w:hint="eastAsia"/>
                <w:b/>
                <w:bCs/>
                <w:lang w:val="en-US" w:eastAsia="zh-CN"/>
              </w:rPr>
              <w:t>战略</w:t>
            </w:r>
            <w:r>
              <w:rPr>
                <w:rFonts w:hint="eastAsia"/>
                <w:b/>
                <w:bCs/>
              </w:rPr>
              <w:t>发展规划</w:t>
            </w:r>
            <w:r>
              <w:rPr>
                <w:rFonts w:hint="eastAsia"/>
                <w:b/>
                <w:bCs/>
                <w:lang w:val="en-US" w:eastAsia="zh-CN"/>
              </w:rPr>
              <w:t>的思路和</w:t>
            </w:r>
            <w:r>
              <w:rPr>
                <w:rFonts w:hint="eastAsia"/>
                <w:b/>
                <w:bCs/>
              </w:rPr>
              <w:t>观点。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2" w:firstLineChars="200"/>
              <w:textAlignment w:val="auto"/>
              <w:rPr>
                <w:rFonts w:hint="eastAsia"/>
                <w:b/>
                <w:bCs/>
                <w:lang w:val="en-US" w:eastAsia="zh-CN"/>
              </w:rPr>
            </w:pPr>
            <w:r>
              <w:rPr>
                <w:rFonts w:hint="eastAsia"/>
                <w:b/>
                <w:bCs/>
                <w:lang w:val="en-US" w:eastAsia="zh-CN"/>
              </w:rPr>
              <w:t>二、双方互动交流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default"/>
                <w:b/>
                <w:bCs/>
                <w:lang w:val="en-US" w:eastAsia="zh-CN"/>
              </w:rPr>
            </w:pPr>
            <w:r>
              <w:rPr>
                <w:rFonts w:hint="eastAsia"/>
                <w:b/>
                <w:bCs/>
                <w:lang w:val="en-US" w:eastAsia="zh-CN"/>
              </w:rPr>
              <w:t>1、BIPV市场发展的未来优势体现在什么地方？</w:t>
            </w:r>
          </w:p>
          <w:p>
            <w:pPr>
              <w:numPr>
                <w:ilvl w:val="0"/>
                <w:numId w:val="0"/>
              </w:numPr>
              <w:ind w:firstLine="420" w:firstLineChars="200"/>
              <w:rPr>
                <w:rFonts w:hint="eastAsia"/>
                <w:lang w:val="en-US" w:eastAsia="zh-CN"/>
              </w:rPr>
            </w:pPr>
            <w:r>
              <w:rPr>
                <w:rFonts w:hint="eastAsia"/>
                <w:lang w:val="en-US" w:eastAsia="zh-CN"/>
              </w:rPr>
              <w:t>答：首先还是说说BAPV/BIPV的差异。BAPV指的是附着在建筑物上的太阳能光伏发电产品，也称为“后安装型”建筑太阳能光伏。BIPV指的是与建筑物同时设计、同时施工和安装，可作为屋顶、幕墙、天窗等建筑物外部结构的组成部分的，它除了发电性能，还兼具装饰、建材功能，需要满足建材的透光、防火、防漏等本身的性能要求。</w:t>
            </w:r>
          </w:p>
          <w:p>
            <w:pPr>
              <w:numPr>
                <w:ilvl w:val="0"/>
                <w:numId w:val="0"/>
              </w:numPr>
              <w:ind w:firstLine="420" w:firstLineChars="200"/>
              <w:rPr>
                <w:rFonts w:hint="eastAsia"/>
                <w:lang w:val="en-US" w:eastAsia="zh-CN"/>
              </w:rPr>
            </w:pPr>
            <w:r>
              <w:rPr>
                <w:rFonts w:hint="eastAsia"/>
                <w:lang w:val="en-US" w:eastAsia="zh-CN"/>
              </w:rPr>
              <w:t>对比BAPV，未来预计BIPV有着更强的市场价值及更高的投资收益。建筑体作为能源使用的终端物理场景，在光伏组件集成建材产品后，真正实现了产能和用能对象的“合二为一”，是最环保最理想的绿色建筑形态。钢结构的主体结构可以直接作为光伏构件的支撑结构，既降低了安装施工的系统成本，更大大增加了光伏发电的立面空间，是产业发展的大势所趋。</w:t>
            </w:r>
          </w:p>
          <w:p>
            <w:pPr>
              <w:numPr>
                <w:ilvl w:val="0"/>
                <w:numId w:val="0"/>
              </w:numPr>
              <w:ind w:leftChars="0" w:firstLine="420" w:firstLineChars="200"/>
              <w:rPr>
                <w:rFonts w:hint="eastAsia"/>
                <w:lang w:val="en-US" w:eastAsia="zh-CN"/>
              </w:rPr>
            </w:pPr>
            <w:r>
              <w:rPr>
                <w:rFonts w:hint="eastAsia"/>
                <w:lang w:val="en-US" w:eastAsia="zh-CN"/>
              </w:rPr>
              <w:t>从这个概念上说，合特光电的BIPV让杭萧钢构在绿色建筑的产业道路上，得到了科技发展层面的更高提升，使得公司能够为客户提供更加多元的建筑一体化解决方案。</w:t>
            </w:r>
          </w:p>
          <w:p>
            <w:pPr>
              <w:numPr>
                <w:ilvl w:val="0"/>
                <w:numId w:val="0"/>
              </w:numPr>
              <w:ind w:leftChars="0" w:firstLine="420" w:firstLineChars="20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2、请介绍一下杭萧钢构未来在BIPV行业领域的发展规划。</w:t>
            </w:r>
          </w:p>
          <w:p>
            <w:pPr>
              <w:numPr>
                <w:ilvl w:val="0"/>
                <w:numId w:val="0"/>
              </w:numPr>
              <w:ind w:firstLine="420" w:firstLineChars="200"/>
              <w:rPr>
                <w:rFonts w:hint="eastAsia"/>
                <w:lang w:val="en-US" w:eastAsia="zh-CN"/>
              </w:rPr>
            </w:pPr>
            <w:r>
              <w:rPr>
                <w:rFonts w:hint="eastAsia"/>
                <w:lang w:val="en-US" w:eastAsia="zh-CN"/>
              </w:rPr>
              <w:t>答：杭萧钢构将积极利用子公司合特光电的既有产品优势和技术优势，以自有的BIPV特色产品为主，发展成为光伏建筑一体化的系统解决方案服务商。</w:t>
            </w:r>
          </w:p>
          <w:p>
            <w:pPr>
              <w:numPr>
                <w:ilvl w:val="0"/>
                <w:numId w:val="0"/>
              </w:numPr>
              <w:ind w:leftChars="0" w:firstLine="420" w:firstLineChars="200"/>
              <w:rPr>
                <w:rFonts w:hint="eastAsia"/>
                <w:lang w:val="en-US" w:eastAsia="zh-CN"/>
              </w:rPr>
            </w:pPr>
            <w:r>
              <w:rPr>
                <w:rFonts w:hint="eastAsia"/>
                <w:lang w:val="en-US" w:eastAsia="zh-CN"/>
              </w:rPr>
              <w:t>在产品技术壁垒上，合特光电在2022年还会延伸到上游的太阳能电池端，以合特自有的研发技术生产高效异质结/钙钛矿叠层电池。异质结/钙钛矿叠层电池是目前转化效率较高的一类电池，业界也有多家企业涉足和布局这个技术领域，但多数企业仍处于研发阶段，未到产业化成果应用期。据悉，合特团队自2001年就开始做异质结电池的技术研发，并在电池工艺和生产设备方面取得较大的突破，具有完全自主知识产权，申请了异质结/钙钛矿叠层电池技术的相关专利。比照同行目前刚开始实验室阶段，合特已经基本完成了从实验室走向市场端的过程，具备产品投产的技术条件，产线投产后可直接进入产品生产和推广。同时产业链的延伸布局也能让合特产品有更大的降本空间。</w:t>
            </w:r>
          </w:p>
          <w:p>
            <w:pPr>
              <w:numPr>
                <w:ilvl w:val="0"/>
                <w:numId w:val="0"/>
              </w:numPr>
              <w:ind w:leftChars="0" w:firstLine="420" w:firstLineChars="200"/>
              <w:rPr>
                <w:rFonts w:hint="eastAsia"/>
                <w:lang w:val="en-US" w:eastAsia="zh-CN"/>
              </w:rPr>
            </w:pPr>
            <w:r>
              <w:rPr>
                <w:rFonts w:hint="eastAsia"/>
                <w:lang w:val="en-US" w:eastAsia="zh-CN"/>
              </w:rPr>
              <w:t>在品牌战略上，我们将重点与央企、地方政府合作，利用BIPV、轻质组件特色产品，拉开差异化竞争，努力打造大型地标项目，树立品牌影响力。</w:t>
            </w:r>
          </w:p>
          <w:p>
            <w:pPr>
              <w:numPr>
                <w:ilvl w:val="0"/>
                <w:numId w:val="0"/>
              </w:numPr>
              <w:ind w:leftChars="0" w:firstLine="420" w:firstLineChars="200"/>
              <w:rPr>
                <w:rFonts w:hint="eastAsia"/>
                <w:lang w:val="en-US" w:eastAsia="zh-CN"/>
              </w:rPr>
            </w:pPr>
            <w:r>
              <w:rPr>
                <w:rFonts w:hint="eastAsia"/>
                <w:lang w:val="en-US" w:eastAsia="zh-CN"/>
              </w:rPr>
              <w:t>在市场战略上，存量市场方面，公司将同步合作能源投资企业，加快利用杭萧钢构的工厂空间投产第一条新产线，以杭萧钢构旗下子公司和合作企业的厂房屋顶作为应用场景，最大程度保证一期产线的满产收益；增量市场方面，协同杭萧钢构的市场客户资源，共谋市场发展，进一步开拓工业建筑、住宅商用建筑、大型公共建筑等各类建筑体的光伏产品的应用场景，推动超低能耗建筑、近零能耗建筑发展，在未来绿色建筑的一体化集成服务上抢占先发优势，获得更大的市场认可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3、公司实施的“事业合伙人机制”是如何考虑的？</w:t>
            </w:r>
          </w:p>
          <w:p>
            <w:pPr>
              <w:numPr>
                <w:ilvl w:val="0"/>
                <w:numId w:val="0"/>
              </w:numPr>
              <w:ind w:firstLine="420" w:firstLineChars="200"/>
              <w:rPr>
                <w:rFonts w:hint="eastAsia"/>
                <w:lang w:val="en-US" w:eastAsia="zh-CN"/>
              </w:rPr>
            </w:pPr>
            <w:r>
              <w:rPr>
                <w:rFonts w:hint="eastAsia"/>
                <w:lang w:val="en-US" w:eastAsia="zh-CN"/>
              </w:rPr>
              <w:t>答：这是公司未来五年发展规划的重要举措。从现在开始，公司逐步在全国特定区域设立“事业合伙人”，为有意愿、有资源、有能力的管理人员、营销人员及项目经理，提供创业和共富平台。公司实施的“事业合伙人机制”将最大程度发挥主动、灵活、高效的运作管理优势，以经营效益为主导开展全新激励体系，充分发挥本地市场渠道优势，充分挖掘建筑市场资源，实现更多的钢结构总承包或 EPC项目订单，让更多的员工和合作伙伴共享事业成果，实现共同富裕。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4、近年来钢结构行业逐渐受到资本市场的广泛关注，公司认为这个行业趋势向好，最大的驱动力会有哪些？</w:t>
            </w:r>
          </w:p>
          <w:p>
            <w:pPr>
              <w:numPr>
                <w:ilvl w:val="0"/>
                <w:numId w:val="0"/>
              </w:numPr>
              <w:ind w:firstLine="420" w:firstLineChars="200"/>
              <w:rPr>
                <w:rFonts w:hint="eastAsia"/>
                <w:lang w:val="en-US" w:eastAsia="zh-CN"/>
              </w:rPr>
            </w:pPr>
            <w:r>
              <w:rPr>
                <w:rFonts w:hint="eastAsia"/>
                <w:lang w:val="en-US" w:eastAsia="zh-CN"/>
              </w:rPr>
              <w:t>答：首先，我们从行业发展趋势来看，中国的钢结构建筑市场渗透率尚有较大的提升空间。欧美等发达国家发展钢结构较早，钢结构建筑已成为主要的建筑结构形式，美国钢结构建筑用钢量占比逾 50%，日韩等国家的钢结构建筑用钢量占比约 40%，而我国钢结构建筑占比只有5%-7%，中国的钢结构建筑市场渗透率还有较大提升空间。</w:t>
            </w:r>
          </w:p>
          <w:p>
            <w:pPr>
              <w:numPr>
                <w:ilvl w:val="0"/>
                <w:numId w:val="0"/>
              </w:numPr>
              <w:ind w:leftChars="0" w:firstLine="420" w:firstLineChars="200"/>
              <w:rPr>
                <w:rFonts w:hint="eastAsia"/>
                <w:lang w:val="en-US" w:eastAsia="zh-CN"/>
              </w:rPr>
            </w:pPr>
            <w:r>
              <w:rPr>
                <w:rFonts w:hint="eastAsia"/>
                <w:lang w:val="en-US" w:eastAsia="zh-CN"/>
              </w:rPr>
              <w:t>回应行业在中国本土发展的拐点驱动要素，我们认为来源于三个方面：</w:t>
            </w:r>
          </w:p>
          <w:p>
            <w:pPr>
              <w:numPr>
                <w:ilvl w:val="0"/>
                <w:numId w:val="0"/>
              </w:numPr>
              <w:ind w:leftChars="0" w:firstLine="420" w:firstLineChars="200"/>
              <w:rPr>
                <w:rFonts w:hint="eastAsia"/>
                <w:lang w:val="en-US" w:eastAsia="zh-CN"/>
              </w:rPr>
            </w:pPr>
            <w:r>
              <w:rPr>
                <w:rFonts w:hint="eastAsia"/>
                <w:lang w:val="en-US" w:eastAsia="zh-CN"/>
              </w:rPr>
              <w:t xml:space="preserve">第一，是政策的驱动力度越来越强。2020 年 9 月，住建部等多部门联合发布《关于加快 新型建筑工业化发展的若干意见》，提出“大力发展钢结构建筑，鼓励医院、学校等公共建筑优先采用钢结构，积极推进钢结构住宅和农房建设”；在“碳达峰”及“碳中和”的总政策纲领下，“减排”和“可持续发展”成为了国内工业发展的核心要义，2021年10月国务院印发了《2030 年前碳达峰行动方案》提出“加快推进新型建筑工业化，大力发展装配式建筑，推广钢结构住宅”；我们相信，在新的时代背景下，“数智化”建筑革新下的钢结构装配式建筑产业，将会很快迎来新的春天。 </w:t>
            </w:r>
          </w:p>
          <w:p>
            <w:pPr>
              <w:numPr>
                <w:ilvl w:val="0"/>
                <w:numId w:val="0"/>
              </w:numPr>
              <w:ind w:leftChars="0" w:firstLine="420" w:firstLineChars="200"/>
              <w:rPr>
                <w:rFonts w:hint="eastAsia"/>
                <w:lang w:val="en-US" w:eastAsia="zh-CN"/>
              </w:rPr>
            </w:pPr>
            <w:r>
              <w:rPr>
                <w:rFonts w:hint="eastAsia"/>
                <w:lang w:val="en-US" w:eastAsia="zh-CN"/>
              </w:rPr>
              <w:t>第二，是产业链及人才的成熟程度不断加深。我们国家围绕现浇混凝土建筑的发展，是经历过产业的黄金发展期而沉淀下来庞大的产业链体系和人才的积累。 相比之下，钢结构装配式在中国发展时间较短，人才积累和系统应链集成等，都远远落后于欧洲及日本等。要突破旧体系进入新的产</w:t>
            </w:r>
            <w:r>
              <w:rPr>
                <w:rFonts w:hint="default"/>
                <w:lang w:val="en-US" w:eastAsia="zh-CN"/>
              </w:rPr>
              <w:t>业链发展轨道</w:t>
            </w:r>
            <w:r>
              <w:rPr>
                <w:rFonts w:hint="eastAsia"/>
                <w:lang w:val="en-US" w:eastAsia="zh-CN"/>
              </w:rPr>
              <w:t>，往往需要很多因素叠加产生的力量撬动，比如我们提到的劳动力</w:t>
            </w:r>
            <w:r>
              <w:rPr>
                <w:rFonts w:hint="default"/>
                <w:lang w:val="en-US" w:eastAsia="zh-CN"/>
              </w:rPr>
              <w:t>红利减弱</w:t>
            </w:r>
            <w:r>
              <w:rPr>
                <w:rFonts w:hint="eastAsia"/>
                <w:lang w:val="en-US" w:eastAsia="zh-CN"/>
              </w:rPr>
              <w:t>、环保节能</w:t>
            </w:r>
            <w:r>
              <w:rPr>
                <w:rFonts w:hint="default"/>
                <w:lang w:val="en-US" w:eastAsia="zh-CN"/>
              </w:rPr>
              <w:t>要求不断加码</w:t>
            </w:r>
            <w:r>
              <w:rPr>
                <w:rFonts w:hint="eastAsia"/>
                <w:lang w:val="en-US" w:eastAsia="zh-CN"/>
              </w:rPr>
              <w:t>、城市化及工业化</w:t>
            </w:r>
            <w:r>
              <w:rPr>
                <w:rFonts w:hint="default"/>
                <w:lang w:val="en-US" w:eastAsia="zh-CN"/>
              </w:rPr>
              <w:t>发展日益成熟等。</w:t>
            </w:r>
          </w:p>
          <w:p>
            <w:pPr>
              <w:numPr>
                <w:ilvl w:val="0"/>
                <w:numId w:val="0"/>
              </w:numPr>
              <w:ind w:leftChars="0" w:firstLine="420" w:firstLineChars="200"/>
              <w:rPr>
                <w:rFonts w:hint="eastAsia"/>
                <w:lang w:val="en-US" w:eastAsia="zh-CN"/>
              </w:rPr>
            </w:pPr>
            <w:r>
              <w:rPr>
                <w:rFonts w:hint="eastAsia"/>
                <w:lang w:val="en-US" w:eastAsia="zh-CN"/>
              </w:rPr>
              <w:t>第三，“</w:t>
            </w:r>
            <w:r>
              <w:rPr>
                <w:rFonts w:hint="default"/>
                <w:lang w:val="en-US" w:eastAsia="zh-CN"/>
              </w:rPr>
              <w:t>智能建造</w:t>
            </w:r>
            <w:r>
              <w:rPr>
                <w:rFonts w:hint="eastAsia"/>
                <w:lang w:val="en-US" w:eastAsia="zh-CN"/>
              </w:rPr>
              <w:t>”“</w:t>
            </w:r>
            <w:r>
              <w:rPr>
                <w:rFonts w:hint="default"/>
                <w:lang w:val="en-US" w:eastAsia="zh-CN"/>
              </w:rPr>
              <w:t>工业互联</w:t>
            </w:r>
            <w:r>
              <w:rPr>
                <w:rFonts w:hint="eastAsia"/>
                <w:lang w:val="en-US" w:eastAsia="zh-CN"/>
              </w:rPr>
              <w:t>网”</w:t>
            </w:r>
            <w:r>
              <w:rPr>
                <w:rFonts w:hint="default"/>
                <w:lang w:val="en-US" w:eastAsia="zh-CN"/>
              </w:rPr>
              <w:t>等新兴技术的不断提升，为行业</w:t>
            </w:r>
            <w:r>
              <w:rPr>
                <w:rFonts w:hint="eastAsia"/>
                <w:lang w:val="en-US" w:eastAsia="zh-CN"/>
              </w:rPr>
              <w:t>产品</w:t>
            </w:r>
            <w:r>
              <w:rPr>
                <w:rFonts w:hint="default"/>
                <w:lang w:val="en-US" w:eastAsia="zh-CN"/>
              </w:rPr>
              <w:t>的降本增效做出更大的价值贡献。</w:t>
            </w:r>
            <w:r>
              <w:rPr>
                <w:rFonts w:hint="eastAsia"/>
                <w:lang w:val="en-US" w:eastAsia="zh-CN"/>
              </w:rPr>
              <w:t xml:space="preserve">目前公司在做的“聚能工厂”或者叫“产业大脑”的工业互联网项目，就是在钢结构这个产业的细分赛道上，基于杭萧自身及上百家战略合作伙伴， 以钢结构全产业链的大数据作为数字化转型的基础，协同产能、 整合资源、聚合数据、优化分配，进而实现整个产业生态圈的迭 代和升级，为公司在“数字化钢构建筑智造”的产业浪潮中，积聚更大的发展势能。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5、如何看待钢结构行业目前的竞争情况和未来的发展走势？</w:t>
            </w:r>
          </w:p>
          <w:p>
            <w:pPr>
              <w:numPr>
                <w:ilvl w:val="0"/>
                <w:numId w:val="0"/>
              </w:numPr>
              <w:ind w:firstLine="420" w:firstLineChars="200"/>
              <w:rPr>
                <w:rFonts w:hint="eastAsia"/>
                <w:lang w:val="en-US" w:eastAsia="zh-CN"/>
              </w:rPr>
            </w:pPr>
            <w:r>
              <w:rPr>
                <w:rFonts w:hint="eastAsia"/>
                <w:lang w:val="en-US" w:eastAsia="zh-CN"/>
              </w:rPr>
              <w:t>答：首先，中国钢结构行业“强者恒强”格局可期。</w:t>
            </w:r>
          </w:p>
          <w:p>
            <w:pPr>
              <w:numPr>
                <w:ilvl w:val="0"/>
                <w:numId w:val="0"/>
              </w:numPr>
              <w:ind w:leftChars="0" w:firstLine="420" w:firstLineChars="200"/>
              <w:rPr>
                <w:rFonts w:hint="eastAsia"/>
                <w:lang w:val="en-US" w:eastAsia="zh-CN"/>
              </w:rPr>
            </w:pPr>
            <w:r>
              <w:rPr>
                <w:rFonts w:hint="eastAsia"/>
                <w:lang w:val="en-US" w:eastAsia="zh-CN"/>
              </w:rPr>
              <w:t>中国钢结构行业呈现出以下几个典型特征：</w:t>
            </w:r>
          </w:p>
          <w:p>
            <w:pPr>
              <w:numPr>
                <w:ilvl w:val="0"/>
                <w:numId w:val="0"/>
              </w:numPr>
              <w:ind w:leftChars="0" w:firstLine="420" w:firstLineChars="200"/>
              <w:rPr>
                <w:rFonts w:hint="eastAsia"/>
                <w:lang w:val="en-US" w:eastAsia="zh-CN"/>
              </w:rPr>
            </w:pPr>
            <w:r>
              <w:rPr>
                <w:rFonts w:hint="eastAsia"/>
                <w:lang w:val="en-US" w:eastAsia="zh-CN"/>
              </w:rPr>
              <w:t>一是中国钢结构行业集中度偏低。龙头企业在市场上总体份额占比低，据统计，我国钢结构行业 TOP5 企业市占率约为6%左右。</w:t>
            </w:r>
          </w:p>
          <w:p>
            <w:pPr>
              <w:numPr>
                <w:ilvl w:val="0"/>
                <w:numId w:val="0"/>
              </w:numPr>
              <w:ind w:leftChars="0" w:firstLine="420" w:firstLineChars="200"/>
              <w:rPr>
                <w:rFonts w:hint="eastAsia"/>
                <w:lang w:val="en-US" w:eastAsia="zh-CN"/>
              </w:rPr>
            </w:pPr>
            <w:r>
              <w:rPr>
                <w:rFonts w:hint="eastAsia"/>
                <w:lang w:val="en-US" w:eastAsia="zh-CN"/>
              </w:rPr>
              <w:t>二是制造生产线的自动化程度低，产线专业化分类水平偏低。大多数钢结构企业处于半自动化加工为主，人工参与程度高，产品生产线的专业化分类加工不明显；</w:t>
            </w:r>
          </w:p>
          <w:p>
            <w:pPr>
              <w:numPr>
                <w:ilvl w:val="0"/>
                <w:numId w:val="0"/>
              </w:numPr>
              <w:ind w:leftChars="0" w:firstLine="420" w:firstLineChars="200"/>
              <w:rPr>
                <w:rFonts w:hint="eastAsia"/>
                <w:lang w:val="en-US" w:eastAsia="zh-CN"/>
              </w:rPr>
            </w:pPr>
            <w:r>
              <w:rPr>
                <w:rFonts w:hint="eastAsia"/>
                <w:lang w:val="en-US" w:eastAsia="zh-CN"/>
              </w:rPr>
              <w:t>三是工厂产能供给严重不均衡。相对比而言，头部几个企业订单量大，产能趋于饱和；中小企业订单不足，产能利用率低；</w:t>
            </w:r>
          </w:p>
          <w:p>
            <w:pPr>
              <w:numPr>
                <w:ilvl w:val="0"/>
                <w:numId w:val="0"/>
              </w:numPr>
              <w:ind w:leftChars="0" w:firstLine="420" w:firstLineChars="200"/>
              <w:rPr>
                <w:rFonts w:hint="eastAsia"/>
                <w:lang w:val="en-US" w:eastAsia="zh-CN"/>
              </w:rPr>
            </w:pPr>
            <w:r>
              <w:rPr>
                <w:rFonts w:hint="eastAsia"/>
                <w:lang w:val="en-US" w:eastAsia="zh-CN"/>
              </w:rPr>
              <w:t>四是优势资源将进一步向龙头企业集中，头部垄断效应越来越强。例如钢材是钢结构企业的主要原材料，2020-2021年钢材价格持续上涨，使得钢结构企业成本端承压。中小企业缺少集采渠道，定价话语权低，而头部钢结构企业则具备集采、规模经济等优势，受原材料价格波动影响更小。</w:t>
            </w:r>
          </w:p>
          <w:p>
            <w:pPr>
              <w:numPr>
                <w:ilvl w:val="0"/>
                <w:numId w:val="0"/>
              </w:numPr>
              <w:ind w:leftChars="0" w:firstLine="420" w:firstLineChars="200"/>
              <w:rPr>
                <w:rFonts w:hint="eastAsia"/>
                <w:lang w:val="en-US" w:eastAsia="zh-CN"/>
              </w:rPr>
            </w:pPr>
            <w:r>
              <w:rPr>
                <w:rFonts w:hint="eastAsia"/>
                <w:lang w:val="en-US" w:eastAsia="zh-CN"/>
              </w:rPr>
              <w:t>随着优势资源进一步向龙头企业集中，钢结构技术标准、行业规范的完善将进一步加速中小企业退出市场，钢结构行业强者恒强格局可期。</w:t>
            </w:r>
          </w:p>
          <w:p>
            <w:pPr>
              <w:numPr>
                <w:ilvl w:val="0"/>
                <w:numId w:val="0"/>
              </w:numPr>
              <w:ind w:leftChars="0" w:firstLine="420" w:firstLineChars="200"/>
              <w:rPr>
                <w:rFonts w:hint="eastAsia"/>
                <w:lang w:val="en-US" w:eastAsia="zh-CN"/>
              </w:rPr>
            </w:pPr>
            <w:r>
              <w:rPr>
                <w:rFonts w:hint="eastAsia"/>
                <w:lang w:val="en-US" w:eastAsia="zh-CN"/>
              </w:rPr>
              <w:t>第二，智能制造将是钢结构产业转型的必然方向。</w:t>
            </w:r>
          </w:p>
          <w:p>
            <w:pPr>
              <w:numPr>
                <w:ilvl w:val="0"/>
                <w:numId w:val="0"/>
              </w:numPr>
              <w:ind w:leftChars="0" w:firstLine="420" w:firstLineChars="200"/>
              <w:rPr>
                <w:rFonts w:hint="eastAsia"/>
                <w:lang w:val="en-US" w:eastAsia="zh-CN"/>
              </w:rPr>
            </w:pPr>
            <w:r>
              <w:rPr>
                <w:rFonts w:hint="eastAsia"/>
                <w:lang w:val="en-US" w:eastAsia="zh-CN"/>
              </w:rPr>
              <w:t>在我国工业化水平稳步推进、人口红利消退，以及城镇化率快速提升等因素的背景下，制造业正面临人力成本不断提升的现象，智能制造将是制造业转型升级的必经之路。</w:t>
            </w:r>
          </w:p>
          <w:p>
            <w:pPr>
              <w:numPr>
                <w:ilvl w:val="0"/>
                <w:numId w:val="0"/>
              </w:numPr>
              <w:ind w:leftChars="0" w:firstLine="420" w:firstLineChars="200"/>
              <w:rPr>
                <w:rFonts w:hint="eastAsia"/>
                <w:lang w:val="en-US" w:eastAsia="zh-CN"/>
              </w:rPr>
            </w:pPr>
            <w:r>
              <w:rPr>
                <w:rFonts w:hint="eastAsia"/>
                <w:lang w:val="en-US" w:eastAsia="zh-CN"/>
              </w:rPr>
              <w:t>2021年12月，工业和信息化部、国家发展和改革委员会等八部门联合印发《“十四五”智能制造发展规划》，规划指出“2025年的具体目标为：70%的规模以上制造业企业基本实现数字化网络化，建成500个以上引领行业发展的智能制造示范工厂。制造业企业生产效率、产品良品率、能源资源利用率等显著提升，智能制造能力成熟度水平明显提升”。</w:t>
            </w:r>
          </w:p>
          <w:p>
            <w:pPr>
              <w:numPr>
                <w:ilvl w:val="0"/>
                <w:numId w:val="0"/>
              </w:numPr>
              <w:ind w:leftChars="0" w:firstLine="420" w:firstLineChars="200"/>
              <w:rPr>
                <w:rFonts w:hint="eastAsia"/>
                <w:lang w:val="en-US" w:eastAsia="zh-CN"/>
              </w:rPr>
            </w:pPr>
            <w:r>
              <w:rPr>
                <w:rFonts w:hint="eastAsia"/>
                <w:lang w:val="en-US" w:eastAsia="zh-CN"/>
              </w:rPr>
              <w:t>从现在的趋势来看，未来人口越来越少、劳动力越来 越少，人口红利逐渐消失，所以必然会向智能化转型升级，用机 器替代人力，提高生产效率，降低人工成本。钢结构建筑是工业化发展的建筑产物，作为城市发展和工业技术发展的建筑产品必经形态，我们非常相信这个行业的发展潜力和空间。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6、2022年传统大基建的政策导向，是否在订单上有体现？</w:t>
            </w:r>
          </w:p>
          <w:p>
            <w:pPr>
              <w:numPr>
                <w:ilvl w:val="0"/>
                <w:numId w:val="0"/>
              </w:numPr>
              <w:ind w:firstLine="420" w:firstLineChars="200"/>
              <w:rPr>
                <w:rFonts w:hint="eastAsia"/>
                <w:lang w:val="en-US" w:eastAsia="zh-CN"/>
              </w:rPr>
            </w:pPr>
            <w:r>
              <w:rPr>
                <w:rFonts w:hint="eastAsia"/>
                <w:lang w:val="en-US" w:eastAsia="zh-CN"/>
              </w:rPr>
              <w:t>答：在“加大基建”政策引导下，我相信2022年钢结构行业总体趋势是向好的。无论从同行企业的业绩报告上，还是在杭萧目前的自有订单上，我们都能够感受到市场的基建需求在不断升温，杭萧的订单情况基本符合同行趋势和幅度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22" w:firstLineChars="200"/>
              <w:textAlignment w:val="auto"/>
              <w:rPr>
                <w:rFonts w:hint="eastAsia"/>
                <w:b/>
                <w:bCs/>
                <w:lang w:val="en-US" w:eastAsia="zh-CN"/>
              </w:rPr>
            </w:pPr>
            <w:r>
              <w:rPr>
                <w:rFonts w:hint="eastAsia"/>
                <w:b/>
                <w:bCs/>
                <w:lang w:val="en-US" w:eastAsia="zh-CN"/>
              </w:rPr>
              <w:t>7、疫情对企业的影响程度如何，公司对2022年经营业绩是如何看待的？</w:t>
            </w:r>
          </w:p>
          <w:p>
            <w:pPr>
              <w:numPr>
                <w:ilvl w:val="0"/>
                <w:numId w:val="0"/>
              </w:numPr>
              <w:ind w:leftChars="0" w:firstLine="420" w:firstLineChars="200"/>
              <w:rPr>
                <w:rFonts w:hint="eastAsia"/>
                <w:lang w:val="en-US" w:eastAsia="zh-CN"/>
              </w:rPr>
            </w:pPr>
            <w:r>
              <w:rPr>
                <w:rFonts w:hint="eastAsia"/>
                <w:lang w:val="en-US" w:eastAsia="zh-CN"/>
              </w:rPr>
              <w:t>答：在具体的企业经营管理微观层面，疫情对各地工厂造成了不同程度的承压和影响，不管是物流上的中断（原材料和加工构件的物流受阻），还是在建工程项目被封控受阻，又或者是子公司工厂所在地被整体封控，这些都或多或少影响者企业的合同履约过程和盈利能力，我相信不仅我们，各行各业皆如此。</w:t>
            </w:r>
          </w:p>
          <w:p>
            <w:pPr>
              <w:numPr>
                <w:ilvl w:val="0"/>
                <w:numId w:val="0"/>
              </w:numPr>
              <w:ind w:leftChars="0" w:firstLine="420" w:firstLineChars="200"/>
              <w:rPr>
                <w:rFonts w:hint="default"/>
                <w:lang w:val="en-US" w:eastAsia="zh-CN"/>
              </w:rPr>
            </w:pPr>
            <w:r>
              <w:rPr>
                <w:rFonts w:hint="eastAsia"/>
                <w:lang w:val="en-US" w:eastAsia="zh-CN"/>
              </w:rPr>
              <w:t>在此情况下，杭萧钢构自新冠疫情暴发初期，公司就发挥自身业务特点和资源优势，参与防疫基础设施建设，为隔离防疫基础设施的快速建设投入使用做出了贡献。比如由山东杭萧施工的青岛市公共卫生应急备用医院项目行政楼钢结构工程、由河北杭萧承建的北京科兴中维疫苗厂房项目，我们都是车间加工及现场施工24 小时不间断，两个工程自开始投产加工到最终完工，分别用时为 20 天和13 天。我们希望用行动积极支持政府赶紧打赢疫情攻坚战，这样，我们的订单向好的趋势能够在2022年得到相符的成绩印证。</w:t>
            </w:r>
          </w:p>
          <w:p>
            <w:pPr>
              <w:numPr>
                <w:ilvl w:val="0"/>
                <w:numId w:val="0"/>
              </w:numPr>
              <w:rPr>
                <w:rFonts w:hint="eastAsia"/>
                <w:lang w:val="en-US" w:eastAsia="zh-CN"/>
              </w:rPr>
            </w:pPr>
          </w:p>
          <w:p>
            <w:pPr>
              <w:numPr>
                <w:ilvl w:val="0"/>
                <w:numId w:val="0"/>
              </w:num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pPr>
              <w:jc w:val="center"/>
              <w:rPr>
                <w:b/>
                <w:bCs/>
              </w:rPr>
            </w:pPr>
            <w:r>
              <w:rPr>
                <w:rFonts w:hint="eastAsia"/>
                <w:b/>
                <w:bCs/>
              </w:rPr>
              <w:t>附件清单（如有）</w:t>
            </w:r>
          </w:p>
        </w:tc>
        <w:tc>
          <w:tcPr>
            <w:tcW w:w="6145" w:type="dxa"/>
          </w:tcPr>
          <w:p>
            <w:pPr>
              <w:jc w:val="center"/>
            </w:pPr>
            <w:r>
              <w:rPr>
                <w:rFonts w:hint="eastAsia"/>
              </w:rPr>
              <w:t>/</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sz w:val="24"/>
        <w:lang w:val="en-US" w:eastAsia="zh-CN"/>
      </w:rPr>
    </w:pPr>
    <w:r>
      <w:rPr>
        <w:rFonts w:hint="eastAsia"/>
        <w:sz w:val="24"/>
      </w:rPr>
      <w:t>证券代码：600477          证券简称：杭萧钢构           编号：202</w:t>
    </w:r>
    <w:r>
      <w:rPr>
        <w:rFonts w:hint="eastAsia"/>
        <w:sz w:val="24"/>
        <w:lang w:val="en-US" w:eastAsia="zh-CN"/>
      </w:rPr>
      <w:t>2</w:t>
    </w:r>
    <w:r>
      <w:rPr>
        <w:rFonts w:hint="eastAsia"/>
        <w:sz w:val="24"/>
      </w:rPr>
      <w:t>-</w:t>
    </w:r>
    <w:r>
      <w:rPr>
        <w:rFonts w:hint="eastAsia"/>
        <w:sz w:val="24"/>
        <w:lang w:val="en-US" w:eastAsia="zh-CN"/>
      </w:rPr>
      <w:t>0</w:t>
    </w:r>
    <w:r>
      <w:rPr>
        <w:rFonts w:hint="default"/>
        <w:sz w:val="24"/>
        <w:lang w:val="en-US" w:eastAsia="zh-CN"/>
      </w:rPr>
      <w:t>0</w:t>
    </w:r>
    <w:r>
      <w:rPr>
        <w:rFonts w:hint="eastAsia"/>
        <w:sz w:val="24"/>
        <w:lang w:val="en-US" w:eastAsia="zh-CN"/>
      </w:rPr>
      <w:t>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4F8"/>
    <w:rsid w:val="011B4DD4"/>
    <w:rsid w:val="0202336F"/>
    <w:rsid w:val="036D68D5"/>
    <w:rsid w:val="0559183C"/>
    <w:rsid w:val="096D58B6"/>
    <w:rsid w:val="0C59309E"/>
    <w:rsid w:val="0EB930D3"/>
    <w:rsid w:val="0EEA668C"/>
    <w:rsid w:val="0F76123D"/>
    <w:rsid w:val="124B69B1"/>
    <w:rsid w:val="12E0359D"/>
    <w:rsid w:val="13586DA6"/>
    <w:rsid w:val="14773A8D"/>
    <w:rsid w:val="160E21CF"/>
    <w:rsid w:val="167B6C54"/>
    <w:rsid w:val="188E75F7"/>
    <w:rsid w:val="1A077661"/>
    <w:rsid w:val="1B2B0976"/>
    <w:rsid w:val="1C760A5D"/>
    <w:rsid w:val="1F143285"/>
    <w:rsid w:val="20AE6205"/>
    <w:rsid w:val="20E76FA8"/>
    <w:rsid w:val="2151118D"/>
    <w:rsid w:val="223F0877"/>
    <w:rsid w:val="2326278E"/>
    <w:rsid w:val="242C77E2"/>
    <w:rsid w:val="2435301D"/>
    <w:rsid w:val="24A361D8"/>
    <w:rsid w:val="290D4568"/>
    <w:rsid w:val="29A1018B"/>
    <w:rsid w:val="2A6D2B5B"/>
    <w:rsid w:val="2A8651A4"/>
    <w:rsid w:val="2AD66D6B"/>
    <w:rsid w:val="2D32006F"/>
    <w:rsid w:val="2EB67DC7"/>
    <w:rsid w:val="3037149A"/>
    <w:rsid w:val="30872FBC"/>
    <w:rsid w:val="31EA35E4"/>
    <w:rsid w:val="348F6779"/>
    <w:rsid w:val="35385D91"/>
    <w:rsid w:val="35675892"/>
    <w:rsid w:val="360B340E"/>
    <w:rsid w:val="37960C5E"/>
    <w:rsid w:val="3851592F"/>
    <w:rsid w:val="38A327F3"/>
    <w:rsid w:val="399B2F4B"/>
    <w:rsid w:val="3D023F8C"/>
    <w:rsid w:val="3E947456"/>
    <w:rsid w:val="400C003A"/>
    <w:rsid w:val="40442B0E"/>
    <w:rsid w:val="4130498B"/>
    <w:rsid w:val="41FD4D22"/>
    <w:rsid w:val="45847A4F"/>
    <w:rsid w:val="469A4D38"/>
    <w:rsid w:val="4864183A"/>
    <w:rsid w:val="48786788"/>
    <w:rsid w:val="49831044"/>
    <w:rsid w:val="49C83840"/>
    <w:rsid w:val="49D04732"/>
    <w:rsid w:val="49E23124"/>
    <w:rsid w:val="4A5971B6"/>
    <w:rsid w:val="4BBA082E"/>
    <w:rsid w:val="4C0833E5"/>
    <w:rsid w:val="4D410BFF"/>
    <w:rsid w:val="4D565C2E"/>
    <w:rsid w:val="4D634FEA"/>
    <w:rsid w:val="4DF421B5"/>
    <w:rsid w:val="4E6328E6"/>
    <w:rsid w:val="51A76A58"/>
    <w:rsid w:val="521D5BDA"/>
    <w:rsid w:val="55F85AD5"/>
    <w:rsid w:val="563958B2"/>
    <w:rsid w:val="578F1707"/>
    <w:rsid w:val="57C80D9F"/>
    <w:rsid w:val="5AD86E8D"/>
    <w:rsid w:val="5BB46CD3"/>
    <w:rsid w:val="5D443CF5"/>
    <w:rsid w:val="5DAE64E4"/>
    <w:rsid w:val="5DCF4033"/>
    <w:rsid w:val="60516822"/>
    <w:rsid w:val="607410C5"/>
    <w:rsid w:val="61535D36"/>
    <w:rsid w:val="627322B2"/>
    <w:rsid w:val="62B47227"/>
    <w:rsid w:val="62FD297C"/>
    <w:rsid w:val="631B51D2"/>
    <w:rsid w:val="63254FB9"/>
    <w:rsid w:val="63A83964"/>
    <w:rsid w:val="64AB211A"/>
    <w:rsid w:val="64DA345B"/>
    <w:rsid w:val="65321035"/>
    <w:rsid w:val="65982E30"/>
    <w:rsid w:val="67551568"/>
    <w:rsid w:val="68A9069F"/>
    <w:rsid w:val="69B23B9D"/>
    <w:rsid w:val="69C71570"/>
    <w:rsid w:val="6A18529F"/>
    <w:rsid w:val="6A495EB8"/>
    <w:rsid w:val="6BDA3AAD"/>
    <w:rsid w:val="6D061E46"/>
    <w:rsid w:val="6E453572"/>
    <w:rsid w:val="6ED055E1"/>
    <w:rsid w:val="6F3A05FC"/>
    <w:rsid w:val="6F974654"/>
    <w:rsid w:val="709114D5"/>
    <w:rsid w:val="72574A5D"/>
    <w:rsid w:val="73D50634"/>
    <w:rsid w:val="7507768A"/>
    <w:rsid w:val="75680129"/>
    <w:rsid w:val="76320737"/>
    <w:rsid w:val="76340085"/>
    <w:rsid w:val="76B80C3C"/>
    <w:rsid w:val="77444BC6"/>
    <w:rsid w:val="7931117A"/>
    <w:rsid w:val="796450AB"/>
    <w:rsid w:val="7B62561B"/>
    <w:rsid w:val="7E18156E"/>
    <w:rsid w:val="7E447410"/>
    <w:rsid w:val="7EAD4DFF"/>
    <w:rsid w:val="7EB0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批注框文本 Char"/>
    <w:basedOn w:val="11"/>
    <w:link w:val="5"/>
    <w:qFormat/>
    <w:uiPriority w:val="0"/>
    <w:rPr>
      <w:rFonts w:ascii="Calibri" w:hAnsi="Calibri" w:eastAsia="宋体" w:cs="宋体"/>
      <w:kern w:val="2"/>
      <w:sz w:val="18"/>
      <w:szCs w:val="18"/>
    </w:rPr>
  </w:style>
  <w:style w:type="paragraph" w:styleId="15">
    <w:name w:val="List Paragraph"/>
    <w:basedOn w:val="1"/>
    <w:qFormat/>
    <w:uiPriority w:val="99"/>
    <w:pPr>
      <w:ind w:firstLine="420" w:firstLineChars="200"/>
    </w:p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4234</Words>
  <Characters>4425</Characters>
  <Paragraphs>58</Paragraphs>
  <TotalTime>11</TotalTime>
  <ScaleCrop>false</ScaleCrop>
  <LinksUpToDate>false</LinksUpToDate>
  <CharactersWithSpaces>4512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2021-09-22T00:37:00Z</dcterms:created>
  <dc:creator>WPS_1565235691</dc:creator>
  <cp:lastModifiedBy>王卉</cp:lastModifiedBy>
  <cp:lastPrinted>2021-10-29T04:26:00Z</cp:lastPrinted>
  <dcterms:modified xsi:type="dcterms:W3CDTF">2022-04-22T10:13:31Z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0A7BF433196F436D9E3D3F64ECECA1A1</vt:lpwstr>
  </property>
  <property fmtid="{D5CDD505-2E9C-101B-9397-08002B2CF9AE}" pid="4" name="commondata">
    <vt:lpwstr>eyJoZGlkIjoiYTlkNjM0ZDM4Y2RiYWJjNjc5Y2M3NGJlODRmOGFjODcifQ==</vt:lpwstr>
  </property>
</Properties>
</file>