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60C" w:rsidRDefault="001B6EB7">
      <w:pPr>
        <w:spacing w:beforeLines="50" w:before="156" w:afterLines="50" w:after="156" w:line="400" w:lineRule="exact"/>
        <w:jc w:val="center"/>
        <w:rPr>
          <w:rFonts w:ascii="宋体" w:hAnsi="宋体"/>
          <w:b/>
          <w:bCs/>
          <w:iCs/>
          <w:color w:val="FF0000"/>
          <w:sz w:val="28"/>
          <w:szCs w:val="24"/>
        </w:rPr>
      </w:pPr>
      <w:r>
        <w:rPr>
          <w:rFonts w:ascii="宋体" w:hAnsi="宋体" w:hint="eastAsia"/>
          <w:b/>
          <w:bCs/>
          <w:iCs/>
          <w:color w:val="FF0000"/>
          <w:sz w:val="28"/>
          <w:szCs w:val="24"/>
        </w:rPr>
        <w:t>广东原尚</w:t>
      </w:r>
      <w:r>
        <w:rPr>
          <w:rFonts w:ascii="宋体" w:hAnsi="宋体"/>
          <w:b/>
          <w:bCs/>
          <w:iCs/>
          <w:color w:val="FF0000"/>
          <w:sz w:val="28"/>
          <w:szCs w:val="24"/>
        </w:rPr>
        <w:t>物流股份有限公司</w:t>
      </w:r>
    </w:p>
    <w:p w:rsidR="00F0460C" w:rsidRDefault="001B6EB7">
      <w:pPr>
        <w:spacing w:beforeLines="50" w:before="156" w:afterLines="50" w:after="156" w:line="400" w:lineRule="exact"/>
        <w:jc w:val="center"/>
        <w:rPr>
          <w:rFonts w:ascii="宋体" w:hAnsi="宋体"/>
          <w:b/>
          <w:bCs/>
          <w:iCs/>
          <w:color w:val="FF0000"/>
          <w:sz w:val="28"/>
          <w:szCs w:val="24"/>
        </w:rPr>
      </w:pPr>
      <w:r>
        <w:rPr>
          <w:rFonts w:ascii="宋体" w:hAnsi="宋体" w:hint="eastAsia"/>
          <w:b/>
          <w:bCs/>
          <w:iCs/>
          <w:color w:val="FF0000"/>
          <w:sz w:val="28"/>
          <w:szCs w:val="24"/>
        </w:rPr>
        <w:t>投资者关系活动记录表</w:t>
      </w:r>
    </w:p>
    <w:p w:rsidR="00F0460C" w:rsidRDefault="001B6EB7">
      <w:pPr>
        <w:spacing w:line="400" w:lineRule="exact"/>
        <w:rPr>
          <w:rFonts w:ascii="宋体" w:hAnsi="宋体"/>
          <w:bCs/>
          <w:iCs/>
          <w:sz w:val="24"/>
          <w:szCs w:val="24"/>
        </w:rPr>
      </w:pPr>
      <w:r>
        <w:rPr>
          <w:rFonts w:ascii="宋体" w:hAnsi="宋体" w:hint="eastAsia"/>
          <w:bCs/>
          <w:iCs/>
          <w:sz w:val="24"/>
          <w:szCs w:val="24"/>
        </w:rPr>
        <w:t xml:space="preserve">                                              编号：GS</w:t>
      </w:r>
      <w:r>
        <w:rPr>
          <w:rFonts w:ascii="宋体" w:hAnsi="宋体"/>
          <w:bCs/>
          <w:iCs/>
          <w:sz w:val="24"/>
          <w:szCs w:val="24"/>
        </w:rPr>
        <w:t>L</w:t>
      </w:r>
      <w:r>
        <w:rPr>
          <w:rFonts w:ascii="宋体" w:hAnsi="宋体" w:hint="eastAsia"/>
          <w:bCs/>
          <w:iCs/>
          <w:sz w:val="24"/>
          <w:szCs w:val="24"/>
        </w:rPr>
        <w:t>20</w:t>
      </w:r>
      <w:r w:rsidR="0007764E">
        <w:rPr>
          <w:rFonts w:ascii="宋体" w:hAnsi="宋体"/>
          <w:bCs/>
          <w:iCs/>
          <w:sz w:val="24"/>
          <w:szCs w:val="24"/>
        </w:rPr>
        <w:t>2</w:t>
      </w:r>
      <w:r w:rsidR="00A869B2">
        <w:rPr>
          <w:rFonts w:ascii="宋体" w:hAnsi="宋体"/>
          <w:bCs/>
          <w:iCs/>
          <w:sz w:val="24"/>
          <w:szCs w:val="24"/>
        </w:rPr>
        <w:t>2</w:t>
      </w:r>
      <w:r>
        <w:rPr>
          <w:rFonts w:ascii="宋体" w:hAnsi="宋体"/>
          <w:bCs/>
          <w:iCs/>
          <w:sz w:val="24"/>
          <w:szCs w:val="24"/>
        </w:rPr>
        <w:t>-00</w:t>
      </w:r>
      <w:r w:rsidR="00A869B2">
        <w:rPr>
          <w:rFonts w:ascii="宋体" w:hAnsi="宋体"/>
          <w:bCs/>
          <w:iCs/>
          <w:sz w:val="24"/>
          <w:szCs w:val="24"/>
        </w:rPr>
        <w:t>2</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6345"/>
      </w:tblGrid>
      <w:tr w:rsidR="00F0460C" w:rsidTr="00FE71B8">
        <w:trPr>
          <w:jc w:val="center"/>
        </w:trPr>
        <w:tc>
          <w:tcPr>
            <w:tcW w:w="1730" w:type="dxa"/>
            <w:shd w:val="clear" w:color="auto" w:fill="auto"/>
          </w:tcPr>
          <w:p w:rsidR="00F0460C" w:rsidRPr="00AF007A" w:rsidRDefault="001B6EB7">
            <w:pPr>
              <w:spacing w:line="480" w:lineRule="atLeast"/>
              <w:rPr>
                <w:rFonts w:ascii="宋体" w:hAnsi="宋体"/>
                <w:b/>
                <w:bCs/>
                <w:iCs/>
                <w:sz w:val="22"/>
                <w:szCs w:val="24"/>
              </w:rPr>
            </w:pPr>
            <w:r w:rsidRPr="00AF007A">
              <w:rPr>
                <w:rFonts w:ascii="宋体" w:hAnsi="宋体" w:hint="eastAsia"/>
                <w:b/>
                <w:bCs/>
                <w:iCs/>
                <w:sz w:val="22"/>
                <w:szCs w:val="24"/>
              </w:rPr>
              <w:t>投资者关系活动类别</w:t>
            </w:r>
          </w:p>
          <w:p w:rsidR="00F0460C" w:rsidRPr="00AF007A" w:rsidRDefault="00F0460C">
            <w:pPr>
              <w:spacing w:line="480" w:lineRule="atLeast"/>
              <w:rPr>
                <w:rFonts w:ascii="宋体" w:hAnsi="宋体"/>
                <w:b/>
                <w:bCs/>
                <w:iCs/>
                <w:sz w:val="22"/>
                <w:szCs w:val="24"/>
              </w:rPr>
            </w:pPr>
          </w:p>
        </w:tc>
        <w:tc>
          <w:tcPr>
            <w:tcW w:w="6345" w:type="dxa"/>
            <w:shd w:val="clear" w:color="auto" w:fill="auto"/>
          </w:tcPr>
          <w:p w:rsidR="00F0460C" w:rsidRPr="00C4184D" w:rsidRDefault="0007764E">
            <w:pPr>
              <w:spacing w:line="480" w:lineRule="atLeast"/>
              <w:rPr>
                <w:rFonts w:ascii="宋体" w:hAnsi="宋体"/>
                <w:bCs/>
                <w:iCs/>
                <w:szCs w:val="24"/>
              </w:rPr>
            </w:pPr>
            <w:r w:rsidRPr="00C4184D">
              <w:rPr>
                <w:rFonts w:ascii="宋体" w:hAnsi="宋体" w:hint="eastAsia"/>
                <w:bCs/>
                <w:iCs/>
                <w:szCs w:val="24"/>
              </w:rPr>
              <w:t>□</w:t>
            </w:r>
            <w:r w:rsidR="001B6EB7" w:rsidRPr="00C4184D">
              <w:rPr>
                <w:rFonts w:ascii="宋体" w:hAnsi="宋体" w:hint="eastAsia"/>
                <w:szCs w:val="24"/>
              </w:rPr>
              <w:t xml:space="preserve">特定对象调研        </w:t>
            </w:r>
            <w:r w:rsidR="001B6EB7" w:rsidRPr="00C4184D">
              <w:rPr>
                <w:rFonts w:ascii="宋体" w:hAnsi="宋体" w:hint="eastAsia"/>
                <w:bCs/>
                <w:iCs/>
                <w:szCs w:val="24"/>
              </w:rPr>
              <w:t>□</w:t>
            </w:r>
            <w:r w:rsidR="001B6EB7" w:rsidRPr="00C4184D">
              <w:rPr>
                <w:rFonts w:ascii="宋体" w:hAnsi="宋体" w:hint="eastAsia"/>
                <w:szCs w:val="24"/>
              </w:rPr>
              <w:t>分析师会议</w:t>
            </w:r>
          </w:p>
          <w:p w:rsidR="00F0460C" w:rsidRPr="00C4184D" w:rsidRDefault="001B6EB7">
            <w:pPr>
              <w:spacing w:line="480" w:lineRule="atLeast"/>
              <w:rPr>
                <w:rFonts w:ascii="宋体" w:hAnsi="宋体"/>
                <w:bCs/>
                <w:iCs/>
                <w:szCs w:val="24"/>
              </w:rPr>
            </w:pPr>
            <w:r w:rsidRPr="00C4184D">
              <w:rPr>
                <w:rFonts w:ascii="宋体" w:hAnsi="宋体" w:hint="eastAsia"/>
                <w:bCs/>
                <w:iCs/>
                <w:szCs w:val="24"/>
              </w:rPr>
              <w:t>□</w:t>
            </w:r>
            <w:r w:rsidRPr="00C4184D">
              <w:rPr>
                <w:rFonts w:ascii="宋体" w:hAnsi="宋体" w:hint="eastAsia"/>
                <w:szCs w:val="24"/>
              </w:rPr>
              <w:t xml:space="preserve">媒体采访            </w:t>
            </w:r>
            <w:r w:rsidR="0007764E">
              <w:rPr>
                <w:rFonts w:ascii="宋体" w:hAnsi="宋体" w:hint="eastAsia"/>
                <w:bCs/>
                <w:iCs/>
                <w:szCs w:val="24"/>
              </w:rPr>
              <w:t>√</w:t>
            </w:r>
            <w:r w:rsidRPr="00C4184D">
              <w:rPr>
                <w:rFonts w:ascii="宋体" w:hAnsi="宋体" w:hint="eastAsia"/>
                <w:szCs w:val="24"/>
              </w:rPr>
              <w:t>业绩说明会</w:t>
            </w:r>
          </w:p>
          <w:p w:rsidR="00F0460C" w:rsidRPr="00C4184D" w:rsidRDefault="001B6EB7">
            <w:pPr>
              <w:spacing w:line="480" w:lineRule="atLeast"/>
              <w:rPr>
                <w:rFonts w:ascii="宋体" w:hAnsi="宋体"/>
                <w:bCs/>
                <w:iCs/>
                <w:szCs w:val="24"/>
              </w:rPr>
            </w:pPr>
            <w:r w:rsidRPr="00C4184D">
              <w:rPr>
                <w:rFonts w:ascii="宋体" w:hAnsi="宋体" w:hint="eastAsia"/>
                <w:bCs/>
                <w:iCs/>
                <w:szCs w:val="24"/>
              </w:rPr>
              <w:t>□</w:t>
            </w:r>
            <w:r w:rsidRPr="00C4184D">
              <w:rPr>
                <w:rFonts w:ascii="宋体" w:hAnsi="宋体" w:hint="eastAsia"/>
                <w:szCs w:val="24"/>
              </w:rPr>
              <w:t xml:space="preserve">新闻发布会          </w:t>
            </w:r>
            <w:r w:rsidRPr="00C4184D">
              <w:rPr>
                <w:rFonts w:ascii="宋体" w:hAnsi="宋体" w:hint="eastAsia"/>
                <w:bCs/>
                <w:iCs/>
                <w:szCs w:val="24"/>
              </w:rPr>
              <w:t>□</w:t>
            </w:r>
            <w:r w:rsidRPr="00C4184D">
              <w:rPr>
                <w:rFonts w:ascii="宋体" w:hAnsi="宋体" w:hint="eastAsia"/>
                <w:szCs w:val="24"/>
              </w:rPr>
              <w:t>路演活动</w:t>
            </w:r>
          </w:p>
          <w:p w:rsidR="00F0460C" w:rsidRPr="00C4184D" w:rsidRDefault="001B6EB7">
            <w:pPr>
              <w:tabs>
                <w:tab w:val="left" w:pos="3045"/>
                <w:tab w:val="center" w:pos="3199"/>
              </w:tabs>
              <w:spacing w:line="480" w:lineRule="atLeast"/>
              <w:rPr>
                <w:rFonts w:ascii="宋体" w:hAnsi="宋体"/>
                <w:bCs/>
                <w:iCs/>
                <w:szCs w:val="24"/>
              </w:rPr>
            </w:pPr>
            <w:r w:rsidRPr="00C4184D">
              <w:rPr>
                <w:rFonts w:ascii="宋体" w:hAnsi="宋体" w:hint="eastAsia"/>
                <w:bCs/>
                <w:iCs/>
                <w:szCs w:val="24"/>
              </w:rPr>
              <w:t>□</w:t>
            </w:r>
            <w:r w:rsidRPr="00C4184D">
              <w:rPr>
                <w:rFonts w:ascii="宋体" w:hAnsi="宋体" w:hint="eastAsia"/>
                <w:szCs w:val="24"/>
              </w:rPr>
              <w:t>现场参观</w:t>
            </w:r>
            <w:r w:rsidRPr="00C4184D">
              <w:rPr>
                <w:rFonts w:ascii="宋体" w:hAnsi="宋体"/>
                <w:bCs/>
                <w:iCs/>
                <w:szCs w:val="24"/>
              </w:rPr>
              <w:tab/>
            </w:r>
          </w:p>
          <w:p w:rsidR="00F0460C" w:rsidRDefault="001B6EB7">
            <w:pPr>
              <w:tabs>
                <w:tab w:val="center" w:pos="3199"/>
              </w:tabs>
              <w:spacing w:line="480" w:lineRule="atLeast"/>
              <w:rPr>
                <w:rFonts w:ascii="宋体" w:hAnsi="宋体"/>
                <w:bCs/>
                <w:iCs/>
                <w:sz w:val="24"/>
                <w:szCs w:val="24"/>
              </w:rPr>
            </w:pPr>
            <w:r w:rsidRPr="00C4184D">
              <w:rPr>
                <w:rFonts w:ascii="宋体" w:hAnsi="宋体" w:hint="eastAsia"/>
                <w:bCs/>
                <w:iCs/>
                <w:szCs w:val="24"/>
              </w:rPr>
              <w:t>□</w:t>
            </w:r>
            <w:r w:rsidRPr="00C4184D">
              <w:rPr>
                <w:rFonts w:ascii="宋体" w:hAnsi="宋体" w:hint="eastAsia"/>
                <w:szCs w:val="24"/>
              </w:rPr>
              <w:t>其他 （</w:t>
            </w:r>
            <w:proofErr w:type="gramStart"/>
            <w:r w:rsidRPr="00C4184D">
              <w:rPr>
                <w:rFonts w:ascii="宋体" w:hAnsi="宋体" w:hint="eastAsia"/>
                <w:szCs w:val="24"/>
                <w:u w:val="single"/>
              </w:rPr>
              <w:t>请文字</w:t>
            </w:r>
            <w:proofErr w:type="gramEnd"/>
            <w:r w:rsidRPr="00C4184D">
              <w:rPr>
                <w:rFonts w:ascii="宋体" w:hAnsi="宋体" w:hint="eastAsia"/>
                <w:szCs w:val="24"/>
                <w:u w:val="single"/>
              </w:rPr>
              <w:t>说明其他活动内容）</w:t>
            </w:r>
          </w:p>
        </w:tc>
      </w:tr>
      <w:tr w:rsidR="00F0460C" w:rsidTr="0007764E">
        <w:trPr>
          <w:jc w:val="center"/>
        </w:trPr>
        <w:tc>
          <w:tcPr>
            <w:tcW w:w="1730" w:type="dxa"/>
            <w:shd w:val="clear" w:color="auto" w:fill="auto"/>
          </w:tcPr>
          <w:p w:rsidR="00F0460C" w:rsidRPr="00AF007A" w:rsidRDefault="001B6EB7">
            <w:pPr>
              <w:spacing w:line="480" w:lineRule="atLeast"/>
              <w:rPr>
                <w:rFonts w:ascii="宋体" w:hAnsi="宋体"/>
                <w:b/>
                <w:bCs/>
                <w:iCs/>
                <w:sz w:val="22"/>
                <w:szCs w:val="24"/>
              </w:rPr>
            </w:pPr>
            <w:r w:rsidRPr="00AF007A">
              <w:rPr>
                <w:rFonts w:ascii="宋体" w:hAnsi="宋体" w:hint="eastAsia"/>
                <w:b/>
                <w:bCs/>
                <w:iCs/>
                <w:sz w:val="22"/>
                <w:szCs w:val="24"/>
              </w:rPr>
              <w:t>参与单位名称及人员姓名</w:t>
            </w:r>
          </w:p>
        </w:tc>
        <w:tc>
          <w:tcPr>
            <w:tcW w:w="6345" w:type="dxa"/>
            <w:shd w:val="clear" w:color="auto" w:fill="auto"/>
            <w:vAlign w:val="center"/>
          </w:tcPr>
          <w:p w:rsidR="00F0460C" w:rsidRDefault="0007764E" w:rsidP="00A869B2">
            <w:pPr>
              <w:spacing w:line="480" w:lineRule="atLeast"/>
              <w:jc w:val="left"/>
              <w:rPr>
                <w:rFonts w:asciiTheme="minorEastAsia" w:eastAsiaTheme="minorEastAsia" w:hAnsiTheme="minorEastAsia"/>
              </w:rPr>
            </w:pPr>
            <w:r>
              <w:rPr>
                <w:rFonts w:asciiTheme="minorEastAsia" w:eastAsiaTheme="minorEastAsia" w:hAnsiTheme="minorEastAsia" w:hint="eastAsia"/>
              </w:rPr>
              <w:t>参与原尚股份2</w:t>
            </w:r>
            <w:r>
              <w:rPr>
                <w:rFonts w:asciiTheme="minorEastAsia" w:eastAsiaTheme="minorEastAsia" w:hAnsiTheme="minorEastAsia"/>
              </w:rPr>
              <w:t>02</w:t>
            </w:r>
            <w:r w:rsidR="00A869B2">
              <w:rPr>
                <w:rFonts w:asciiTheme="minorEastAsia" w:eastAsiaTheme="minorEastAsia" w:hAnsiTheme="minorEastAsia"/>
              </w:rPr>
              <w:t>1</w:t>
            </w:r>
            <w:r>
              <w:rPr>
                <w:rFonts w:asciiTheme="minorEastAsia" w:eastAsiaTheme="minorEastAsia" w:hAnsiTheme="minorEastAsia"/>
              </w:rPr>
              <w:t>年度业绩说明会的</w:t>
            </w:r>
            <w:r>
              <w:rPr>
                <w:rFonts w:asciiTheme="minorEastAsia" w:eastAsiaTheme="minorEastAsia" w:hAnsiTheme="minorEastAsia" w:hint="eastAsia"/>
              </w:rPr>
              <w:t>2名投资者</w:t>
            </w:r>
          </w:p>
        </w:tc>
      </w:tr>
      <w:tr w:rsidR="00F0460C" w:rsidTr="0007764E">
        <w:trPr>
          <w:jc w:val="center"/>
        </w:trPr>
        <w:tc>
          <w:tcPr>
            <w:tcW w:w="1730" w:type="dxa"/>
            <w:shd w:val="clear" w:color="auto" w:fill="auto"/>
          </w:tcPr>
          <w:p w:rsidR="00F0460C" w:rsidRPr="00AF007A" w:rsidRDefault="001B6EB7">
            <w:pPr>
              <w:spacing w:line="480" w:lineRule="atLeast"/>
              <w:rPr>
                <w:rFonts w:ascii="宋体" w:hAnsi="宋体"/>
                <w:b/>
                <w:bCs/>
                <w:iCs/>
                <w:sz w:val="22"/>
                <w:szCs w:val="24"/>
              </w:rPr>
            </w:pPr>
            <w:r w:rsidRPr="00AF007A">
              <w:rPr>
                <w:rFonts w:ascii="宋体" w:hAnsi="宋体" w:hint="eastAsia"/>
                <w:b/>
                <w:bCs/>
                <w:iCs/>
                <w:sz w:val="22"/>
                <w:szCs w:val="24"/>
              </w:rPr>
              <w:t>时间</w:t>
            </w:r>
          </w:p>
        </w:tc>
        <w:tc>
          <w:tcPr>
            <w:tcW w:w="6345" w:type="dxa"/>
            <w:shd w:val="clear" w:color="auto" w:fill="auto"/>
            <w:vAlign w:val="center"/>
          </w:tcPr>
          <w:p w:rsidR="00F0460C" w:rsidRPr="005E245B" w:rsidRDefault="001B6EB7" w:rsidP="00A869B2">
            <w:pPr>
              <w:spacing w:line="0" w:lineRule="atLeast"/>
              <w:jc w:val="left"/>
              <w:rPr>
                <w:rFonts w:ascii="宋体" w:hAnsi="宋体"/>
                <w:bCs/>
                <w:iCs/>
                <w:szCs w:val="24"/>
              </w:rPr>
            </w:pPr>
            <w:r w:rsidRPr="005E245B">
              <w:rPr>
                <w:rFonts w:ascii="宋体" w:hAnsi="宋体" w:hint="eastAsia"/>
                <w:bCs/>
                <w:iCs/>
                <w:szCs w:val="24"/>
              </w:rPr>
              <w:t>20</w:t>
            </w:r>
            <w:r w:rsidR="00B469A1">
              <w:rPr>
                <w:rFonts w:ascii="宋体" w:hAnsi="宋体"/>
                <w:bCs/>
                <w:iCs/>
                <w:szCs w:val="24"/>
              </w:rPr>
              <w:t>2</w:t>
            </w:r>
            <w:r w:rsidR="00A869B2">
              <w:rPr>
                <w:rFonts w:ascii="宋体" w:hAnsi="宋体"/>
                <w:bCs/>
                <w:iCs/>
                <w:szCs w:val="24"/>
              </w:rPr>
              <w:t>2</w:t>
            </w:r>
            <w:r w:rsidRPr="005E245B">
              <w:rPr>
                <w:rFonts w:ascii="宋体" w:hAnsi="宋体" w:hint="eastAsia"/>
                <w:bCs/>
                <w:iCs/>
                <w:szCs w:val="24"/>
              </w:rPr>
              <w:t>年</w:t>
            </w:r>
            <w:r w:rsidR="00A869B2">
              <w:rPr>
                <w:rFonts w:ascii="宋体" w:hAnsi="宋体"/>
                <w:bCs/>
                <w:iCs/>
                <w:szCs w:val="24"/>
              </w:rPr>
              <w:t>4</w:t>
            </w:r>
            <w:r w:rsidRPr="005E245B">
              <w:rPr>
                <w:rFonts w:ascii="宋体" w:hAnsi="宋体" w:hint="eastAsia"/>
                <w:bCs/>
                <w:iCs/>
                <w:szCs w:val="24"/>
              </w:rPr>
              <w:t>月</w:t>
            </w:r>
            <w:r w:rsidR="00A869B2">
              <w:rPr>
                <w:rFonts w:ascii="宋体" w:hAnsi="宋体"/>
                <w:bCs/>
                <w:iCs/>
                <w:szCs w:val="24"/>
              </w:rPr>
              <w:t>27</w:t>
            </w:r>
            <w:r w:rsidRPr="005E245B">
              <w:rPr>
                <w:rFonts w:ascii="宋体" w:hAnsi="宋体" w:hint="eastAsia"/>
                <w:bCs/>
                <w:iCs/>
                <w:szCs w:val="24"/>
              </w:rPr>
              <w:t>日</w:t>
            </w:r>
            <w:r w:rsidR="00A869B2">
              <w:rPr>
                <w:rFonts w:ascii="宋体" w:hAnsi="宋体" w:hint="eastAsia"/>
                <w:bCs/>
                <w:iCs/>
                <w:szCs w:val="24"/>
              </w:rPr>
              <w:t>下午</w:t>
            </w:r>
            <w:r w:rsidR="00C4184D">
              <w:rPr>
                <w:rFonts w:ascii="宋体" w:hAnsi="宋体"/>
                <w:bCs/>
                <w:iCs/>
                <w:szCs w:val="24"/>
              </w:rPr>
              <w:t>1</w:t>
            </w:r>
            <w:r w:rsidR="00A869B2">
              <w:rPr>
                <w:rFonts w:ascii="宋体" w:hAnsi="宋体"/>
                <w:bCs/>
                <w:iCs/>
                <w:szCs w:val="24"/>
              </w:rPr>
              <w:t>4</w:t>
            </w:r>
            <w:r w:rsidR="00C4184D">
              <w:rPr>
                <w:rFonts w:ascii="宋体" w:hAnsi="宋体" w:hint="eastAsia"/>
                <w:bCs/>
                <w:iCs/>
                <w:szCs w:val="24"/>
              </w:rPr>
              <w:t>:</w:t>
            </w:r>
            <w:r w:rsidR="00C4184D">
              <w:rPr>
                <w:rFonts w:ascii="宋体" w:hAnsi="宋体"/>
                <w:bCs/>
                <w:iCs/>
                <w:szCs w:val="24"/>
              </w:rPr>
              <w:t>00</w:t>
            </w:r>
            <w:r w:rsidR="0007764E">
              <w:rPr>
                <w:rFonts w:ascii="宋体" w:hAnsi="宋体" w:hint="eastAsia"/>
                <w:bCs/>
                <w:iCs/>
                <w:szCs w:val="24"/>
              </w:rPr>
              <w:t>-</w:t>
            </w:r>
            <w:r w:rsidR="0007764E">
              <w:rPr>
                <w:rFonts w:ascii="宋体" w:hAnsi="宋体"/>
                <w:bCs/>
                <w:iCs/>
                <w:szCs w:val="24"/>
              </w:rPr>
              <w:t>1</w:t>
            </w:r>
            <w:r w:rsidR="00A869B2">
              <w:rPr>
                <w:rFonts w:ascii="宋体" w:hAnsi="宋体"/>
                <w:bCs/>
                <w:iCs/>
                <w:szCs w:val="24"/>
              </w:rPr>
              <w:t>5</w:t>
            </w:r>
            <w:r w:rsidR="0007764E">
              <w:rPr>
                <w:rFonts w:ascii="宋体" w:hAnsi="宋体" w:hint="eastAsia"/>
                <w:bCs/>
                <w:iCs/>
                <w:szCs w:val="24"/>
              </w:rPr>
              <w:t>:0</w:t>
            </w:r>
            <w:r w:rsidR="0007764E">
              <w:rPr>
                <w:rFonts w:ascii="宋体" w:hAnsi="宋体"/>
                <w:bCs/>
                <w:iCs/>
                <w:szCs w:val="24"/>
              </w:rPr>
              <w:t>0</w:t>
            </w:r>
          </w:p>
        </w:tc>
      </w:tr>
      <w:tr w:rsidR="00F0460C" w:rsidTr="0007764E">
        <w:trPr>
          <w:jc w:val="center"/>
        </w:trPr>
        <w:tc>
          <w:tcPr>
            <w:tcW w:w="1730" w:type="dxa"/>
            <w:shd w:val="clear" w:color="auto" w:fill="auto"/>
          </w:tcPr>
          <w:p w:rsidR="00F0460C" w:rsidRPr="00AF007A" w:rsidRDefault="001B6EB7">
            <w:pPr>
              <w:spacing w:line="480" w:lineRule="atLeast"/>
              <w:rPr>
                <w:rFonts w:ascii="宋体" w:hAnsi="宋体"/>
                <w:b/>
                <w:bCs/>
                <w:iCs/>
                <w:sz w:val="22"/>
                <w:szCs w:val="24"/>
              </w:rPr>
            </w:pPr>
            <w:r w:rsidRPr="00AF007A">
              <w:rPr>
                <w:rFonts w:ascii="宋体" w:hAnsi="宋体" w:hint="eastAsia"/>
                <w:b/>
                <w:bCs/>
                <w:iCs/>
                <w:sz w:val="22"/>
                <w:szCs w:val="24"/>
              </w:rPr>
              <w:t>地点</w:t>
            </w:r>
          </w:p>
        </w:tc>
        <w:tc>
          <w:tcPr>
            <w:tcW w:w="6345" w:type="dxa"/>
            <w:shd w:val="clear" w:color="auto" w:fill="auto"/>
            <w:vAlign w:val="center"/>
          </w:tcPr>
          <w:p w:rsidR="00F0460C" w:rsidRPr="005E245B" w:rsidRDefault="00A869B2" w:rsidP="0007764E">
            <w:pPr>
              <w:spacing w:line="0" w:lineRule="atLeast"/>
              <w:jc w:val="left"/>
              <w:rPr>
                <w:rFonts w:ascii="宋体" w:hAnsi="宋体"/>
                <w:bCs/>
                <w:iCs/>
                <w:szCs w:val="24"/>
              </w:rPr>
            </w:pPr>
            <w:r w:rsidRPr="000C045E">
              <w:rPr>
                <w:rFonts w:ascii="宋体" w:hAnsi="宋体" w:hint="eastAsia"/>
                <w:color w:val="000000"/>
                <w:sz w:val="22"/>
                <w:szCs w:val="18"/>
              </w:rPr>
              <w:t>上</w:t>
            </w:r>
            <w:proofErr w:type="gramStart"/>
            <w:r w:rsidRPr="000C045E">
              <w:rPr>
                <w:rFonts w:ascii="宋体" w:hAnsi="宋体" w:hint="eastAsia"/>
                <w:color w:val="000000"/>
                <w:sz w:val="22"/>
                <w:szCs w:val="18"/>
              </w:rPr>
              <w:t>证</w:t>
            </w:r>
            <w:r w:rsidRPr="000C045E">
              <w:rPr>
                <w:rFonts w:ascii="宋体" w:hAnsi="宋体"/>
                <w:color w:val="000000"/>
                <w:sz w:val="22"/>
                <w:szCs w:val="18"/>
              </w:rPr>
              <w:t>路演中心</w:t>
            </w:r>
            <w:proofErr w:type="gramEnd"/>
            <w:r w:rsidRPr="000C045E">
              <w:rPr>
                <w:rFonts w:ascii="宋体" w:hAnsi="宋体"/>
                <w:color w:val="000000"/>
                <w:sz w:val="22"/>
                <w:szCs w:val="18"/>
              </w:rPr>
              <w:t>网络互动</w:t>
            </w:r>
          </w:p>
        </w:tc>
      </w:tr>
      <w:tr w:rsidR="00F0460C" w:rsidTr="00FE71B8">
        <w:trPr>
          <w:jc w:val="center"/>
        </w:trPr>
        <w:tc>
          <w:tcPr>
            <w:tcW w:w="1730" w:type="dxa"/>
            <w:shd w:val="clear" w:color="auto" w:fill="auto"/>
          </w:tcPr>
          <w:p w:rsidR="00F0460C" w:rsidRPr="00AF007A" w:rsidRDefault="001B6EB7">
            <w:pPr>
              <w:spacing w:line="480" w:lineRule="atLeast"/>
              <w:rPr>
                <w:rFonts w:ascii="宋体" w:hAnsi="宋体"/>
                <w:b/>
                <w:bCs/>
                <w:iCs/>
                <w:sz w:val="22"/>
                <w:szCs w:val="24"/>
              </w:rPr>
            </w:pPr>
            <w:r w:rsidRPr="00AF007A">
              <w:rPr>
                <w:rFonts w:ascii="宋体" w:hAnsi="宋体" w:hint="eastAsia"/>
                <w:b/>
                <w:bCs/>
                <w:iCs/>
                <w:sz w:val="22"/>
                <w:szCs w:val="24"/>
              </w:rPr>
              <w:t>上市公司接待人员姓名</w:t>
            </w:r>
          </w:p>
        </w:tc>
        <w:tc>
          <w:tcPr>
            <w:tcW w:w="6345" w:type="dxa"/>
            <w:shd w:val="clear" w:color="auto" w:fill="auto"/>
          </w:tcPr>
          <w:p w:rsidR="0007764E" w:rsidRDefault="0007764E" w:rsidP="0007764E">
            <w:pPr>
              <w:rPr>
                <w:rFonts w:ascii="宋体" w:hAnsi="宋体"/>
                <w:bCs/>
                <w:iCs/>
                <w:szCs w:val="24"/>
              </w:rPr>
            </w:pPr>
            <w:r>
              <w:rPr>
                <w:rFonts w:ascii="宋体" w:hAnsi="宋体" w:hint="eastAsia"/>
                <w:bCs/>
                <w:iCs/>
                <w:szCs w:val="24"/>
              </w:rPr>
              <w:t>总经理</w:t>
            </w:r>
            <w:r w:rsidR="00A869B2">
              <w:rPr>
                <w:rFonts w:ascii="宋体" w:hAnsi="宋体" w:hint="eastAsia"/>
                <w:bCs/>
                <w:iCs/>
                <w:szCs w:val="24"/>
              </w:rPr>
              <w:t>曾海屏</w:t>
            </w:r>
            <w:r>
              <w:rPr>
                <w:rFonts w:ascii="宋体" w:hAnsi="宋体" w:hint="eastAsia"/>
                <w:bCs/>
                <w:iCs/>
                <w:szCs w:val="24"/>
              </w:rPr>
              <w:t>；</w:t>
            </w:r>
          </w:p>
          <w:p w:rsidR="0007764E" w:rsidRDefault="0007764E" w:rsidP="0007764E">
            <w:pPr>
              <w:rPr>
                <w:rFonts w:ascii="宋体" w:hAnsi="宋体"/>
                <w:bCs/>
                <w:iCs/>
                <w:szCs w:val="24"/>
              </w:rPr>
            </w:pPr>
            <w:r>
              <w:rPr>
                <w:rFonts w:ascii="宋体" w:hAnsi="宋体" w:hint="eastAsia"/>
                <w:bCs/>
                <w:iCs/>
                <w:szCs w:val="24"/>
              </w:rPr>
              <w:t>董事、</w:t>
            </w:r>
            <w:r w:rsidR="001B6EB7" w:rsidRPr="005E245B">
              <w:rPr>
                <w:rFonts w:ascii="宋体" w:hAnsi="宋体" w:hint="eastAsia"/>
                <w:bCs/>
                <w:iCs/>
                <w:szCs w:val="24"/>
              </w:rPr>
              <w:t>副总</w:t>
            </w:r>
            <w:r w:rsidR="001B6EB7" w:rsidRPr="005E245B">
              <w:rPr>
                <w:rFonts w:ascii="宋体" w:hAnsi="宋体"/>
                <w:bCs/>
                <w:iCs/>
                <w:szCs w:val="24"/>
              </w:rPr>
              <w:t>、</w:t>
            </w:r>
            <w:proofErr w:type="gramStart"/>
            <w:r w:rsidR="001B6EB7" w:rsidRPr="005E245B">
              <w:rPr>
                <w:rFonts w:ascii="宋体" w:hAnsi="宋体" w:hint="eastAsia"/>
                <w:bCs/>
                <w:iCs/>
                <w:szCs w:val="24"/>
              </w:rPr>
              <w:t>董秘兼</w:t>
            </w:r>
            <w:proofErr w:type="gramEnd"/>
            <w:r w:rsidR="001B6EB7" w:rsidRPr="005E245B">
              <w:rPr>
                <w:rFonts w:ascii="宋体" w:hAnsi="宋体"/>
                <w:bCs/>
                <w:iCs/>
                <w:szCs w:val="24"/>
              </w:rPr>
              <w:t>财务总监</w:t>
            </w:r>
            <w:r w:rsidR="001B6EB7" w:rsidRPr="005E245B">
              <w:rPr>
                <w:rFonts w:ascii="宋体" w:hAnsi="宋体" w:hint="eastAsia"/>
                <w:bCs/>
                <w:iCs/>
                <w:szCs w:val="24"/>
              </w:rPr>
              <w:t>李运；</w:t>
            </w:r>
          </w:p>
          <w:p w:rsidR="00F0460C" w:rsidRPr="005E245B" w:rsidRDefault="00A869B2" w:rsidP="0007764E">
            <w:pPr>
              <w:rPr>
                <w:rFonts w:ascii="宋体" w:hAnsi="宋体"/>
                <w:bCs/>
                <w:iCs/>
                <w:szCs w:val="24"/>
              </w:rPr>
            </w:pPr>
            <w:r>
              <w:rPr>
                <w:rFonts w:ascii="宋体" w:hAnsi="宋体" w:hint="eastAsia"/>
                <w:bCs/>
                <w:iCs/>
                <w:szCs w:val="24"/>
              </w:rPr>
              <w:t>独立董事牟小容</w:t>
            </w:r>
          </w:p>
        </w:tc>
      </w:tr>
      <w:tr w:rsidR="00F0460C" w:rsidTr="00FE71B8">
        <w:trPr>
          <w:trHeight w:val="1757"/>
          <w:jc w:val="center"/>
        </w:trPr>
        <w:tc>
          <w:tcPr>
            <w:tcW w:w="1730" w:type="dxa"/>
            <w:shd w:val="clear" w:color="auto" w:fill="auto"/>
            <w:vAlign w:val="center"/>
          </w:tcPr>
          <w:p w:rsidR="00F0460C" w:rsidRPr="00521654" w:rsidRDefault="001B6EB7" w:rsidP="00521654">
            <w:pPr>
              <w:rPr>
                <w:rFonts w:ascii="宋体" w:hAnsi="宋体"/>
                <w:bCs/>
                <w:iCs/>
                <w:szCs w:val="24"/>
              </w:rPr>
            </w:pPr>
            <w:r w:rsidRPr="00521654">
              <w:rPr>
                <w:rFonts w:ascii="宋体" w:hAnsi="宋体" w:hint="eastAsia"/>
                <w:bCs/>
                <w:iCs/>
                <w:szCs w:val="24"/>
              </w:rPr>
              <w:t>投资者关系活动主要内容介绍</w:t>
            </w:r>
          </w:p>
          <w:p w:rsidR="00F0460C" w:rsidRPr="00521654" w:rsidRDefault="00F0460C" w:rsidP="00521654">
            <w:pPr>
              <w:rPr>
                <w:rFonts w:ascii="宋体" w:hAnsi="宋体"/>
                <w:bCs/>
                <w:iCs/>
                <w:szCs w:val="24"/>
              </w:rPr>
            </w:pPr>
          </w:p>
        </w:tc>
        <w:tc>
          <w:tcPr>
            <w:tcW w:w="6345" w:type="dxa"/>
            <w:shd w:val="clear" w:color="auto" w:fill="auto"/>
          </w:tcPr>
          <w:p w:rsidR="00075348" w:rsidRDefault="00075348" w:rsidP="00075348">
            <w:pPr>
              <w:rPr>
                <w:rFonts w:ascii="宋体" w:hAnsi="宋体"/>
                <w:bCs/>
                <w:iCs/>
                <w:szCs w:val="24"/>
              </w:rPr>
            </w:pPr>
            <w:r w:rsidRPr="00075348">
              <w:rPr>
                <w:rFonts w:ascii="宋体" w:hAnsi="宋体" w:hint="eastAsia"/>
                <w:bCs/>
                <w:iCs/>
                <w:szCs w:val="24"/>
              </w:rPr>
              <w:t>（1）</w:t>
            </w:r>
            <w:r w:rsidRPr="00075348">
              <w:rPr>
                <w:rFonts w:ascii="宋体" w:hAnsi="宋体"/>
                <w:bCs/>
                <w:iCs/>
                <w:szCs w:val="24"/>
              </w:rPr>
              <w:t>公司2021年度的业绩增长情况？</w:t>
            </w:r>
          </w:p>
          <w:p w:rsidR="00075348" w:rsidRPr="00075348" w:rsidRDefault="00075348" w:rsidP="00075348">
            <w:pPr>
              <w:rPr>
                <w:rFonts w:ascii="宋体" w:hAnsi="宋体"/>
                <w:bCs/>
                <w:iCs/>
                <w:szCs w:val="24"/>
              </w:rPr>
            </w:pPr>
            <w:r w:rsidRPr="00075348">
              <w:rPr>
                <w:rFonts w:ascii="宋体" w:hAnsi="宋体"/>
                <w:bCs/>
                <w:iCs/>
                <w:szCs w:val="24"/>
              </w:rPr>
              <w:t>回复</w:t>
            </w:r>
            <w:r w:rsidRPr="00075348">
              <w:rPr>
                <w:rFonts w:ascii="宋体" w:hAnsi="宋体" w:hint="eastAsia"/>
                <w:bCs/>
                <w:iCs/>
                <w:szCs w:val="24"/>
              </w:rPr>
              <w:t>：</w:t>
            </w:r>
            <w:r w:rsidRPr="00075348">
              <w:rPr>
                <w:rFonts w:ascii="宋体" w:hAnsi="宋体"/>
                <w:bCs/>
                <w:iCs/>
                <w:szCs w:val="24"/>
              </w:rPr>
              <w:t>2021年度，公司营业收入为49,017.75万元，同比增长6.53%。其中，公司汽车零部件物流业务收入为39,588.72万元，同比下降1.76%；非汽车零部件物流业务收入为9,429.03万元，同比增长69.39%。公司2021年度归属于上市公司股东的净利润为3081.57万元，同比上年增长了19454.81万元。2021年业绩增长的主要原因为：一是在持续发展汽车零部件物流的同时，公司重视非汽车零部件物流业务的开发，2021年非汽车零部件物流业务实现营业收入9,429.03万元，同比上涨 69.39%；二是公司2020年按100%单项计提应收账款坏账准备20,744.10万元，导致2020年公司利润为负。</w:t>
            </w:r>
          </w:p>
          <w:p w:rsidR="00075348" w:rsidRDefault="00075348" w:rsidP="00075348">
            <w:pPr>
              <w:rPr>
                <w:rFonts w:ascii="宋体" w:hAnsi="宋体"/>
                <w:bCs/>
                <w:iCs/>
                <w:szCs w:val="24"/>
              </w:rPr>
            </w:pPr>
            <w:r w:rsidRPr="00075348">
              <w:rPr>
                <w:rFonts w:ascii="宋体" w:hAnsi="宋体" w:hint="eastAsia"/>
                <w:bCs/>
                <w:iCs/>
                <w:szCs w:val="24"/>
              </w:rPr>
              <w:t>（2）</w:t>
            </w:r>
            <w:r w:rsidRPr="00075348">
              <w:rPr>
                <w:rFonts w:ascii="宋体" w:hAnsi="宋体"/>
                <w:bCs/>
                <w:iCs/>
                <w:szCs w:val="24"/>
              </w:rPr>
              <w:t>请问本次上海疫情是否影响到公司的正常经营？</w:t>
            </w:r>
          </w:p>
          <w:p w:rsidR="00075348" w:rsidRDefault="00075348" w:rsidP="00075348">
            <w:pPr>
              <w:rPr>
                <w:rFonts w:ascii="宋体" w:hAnsi="宋体"/>
                <w:bCs/>
                <w:iCs/>
                <w:szCs w:val="24"/>
              </w:rPr>
            </w:pPr>
            <w:r>
              <w:rPr>
                <w:rFonts w:ascii="宋体" w:hAnsi="宋体"/>
                <w:bCs/>
                <w:iCs/>
                <w:szCs w:val="24"/>
              </w:rPr>
              <w:t>回复</w:t>
            </w:r>
            <w:r>
              <w:rPr>
                <w:rFonts w:ascii="宋体" w:hAnsi="宋体" w:hint="eastAsia"/>
                <w:bCs/>
                <w:iCs/>
                <w:szCs w:val="24"/>
              </w:rPr>
              <w:t>：</w:t>
            </w:r>
            <w:r w:rsidRPr="00075348">
              <w:rPr>
                <w:rFonts w:ascii="宋体" w:hAnsi="宋体"/>
                <w:bCs/>
                <w:iCs/>
                <w:szCs w:val="24"/>
              </w:rPr>
              <w:t>投资者您好！近期上海疫情对汽车行业的零部件供应造成了一定的冲击，公司服务的汽车行业客户的生产均受到了不同程度的影响，进而导致公司相关业务也受到了直接影响。随着上海地区相关行业重点企业复工复产工作的有序推进，预计公司相关业务的经营情况将得以改善。谢谢您的关注！</w:t>
            </w:r>
          </w:p>
          <w:p w:rsidR="00075348" w:rsidRDefault="00075348" w:rsidP="00075348">
            <w:pPr>
              <w:rPr>
                <w:rFonts w:ascii="宋体" w:hAnsi="宋体"/>
                <w:bCs/>
                <w:iCs/>
                <w:szCs w:val="24"/>
              </w:rPr>
            </w:pPr>
            <w:r w:rsidRPr="00075348">
              <w:rPr>
                <w:rFonts w:ascii="宋体" w:hAnsi="宋体" w:hint="eastAsia"/>
                <w:bCs/>
                <w:iCs/>
                <w:szCs w:val="24"/>
              </w:rPr>
              <w:t>（3）</w:t>
            </w:r>
            <w:r w:rsidRPr="00075348">
              <w:rPr>
                <w:rFonts w:ascii="宋体" w:hAnsi="宋体"/>
                <w:bCs/>
                <w:iCs/>
                <w:szCs w:val="24"/>
              </w:rPr>
              <w:t>作为公司新任总经理，请谈谈您对公司的未来规划及想法，谢谢！</w:t>
            </w:r>
          </w:p>
          <w:p w:rsidR="00075348" w:rsidRDefault="00075348" w:rsidP="00075348">
            <w:pPr>
              <w:rPr>
                <w:rFonts w:ascii="宋体" w:hAnsi="宋体"/>
                <w:bCs/>
                <w:iCs/>
                <w:szCs w:val="24"/>
              </w:rPr>
            </w:pPr>
            <w:r w:rsidRPr="00075348">
              <w:rPr>
                <w:rFonts w:ascii="宋体" w:hAnsi="宋体" w:hint="eastAsia"/>
                <w:bCs/>
                <w:iCs/>
                <w:szCs w:val="24"/>
              </w:rPr>
              <w:t>回复：</w:t>
            </w:r>
            <w:r w:rsidRPr="00075348">
              <w:rPr>
                <w:rFonts w:ascii="宋体" w:hAnsi="宋体"/>
                <w:bCs/>
                <w:iCs/>
                <w:szCs w:val="24"/>
              </w:rPr>
              <w:t>投资者您好！我作为公司的总经理，将在继续强化公司现有核心竞争力及提升现有核心客户经营及服务水平的基础上，不断拓展更多汽车及相关行业的物流业务。同时发挥公司在供应链物流领域的核心竞争力，在逐步提升公司的系统及数字化竞争力的基础上，</w:t>
            </w:r>
            <w:r w:rsidRPr="00075348">
              <w:rPr>
                <w:rFonts w:ascii="宋体" w:hAnsi="宋体"/>
                <w:bCs/>
                <w:iCs/>
                <w:szCs w:val="24"/>
              </w:rPr>
              <w:lastRenderedPageBreak/>
              <w:t>拓展更多制造业供应链物流业务。谢谢您的关注！</w:t>
            </w:r>
          </w:p>
          <w:p w:rsidR="00075348" w:rsidRDefault="00075348" w:rsidP="00075348">
            <w:pPr>
              <w:rPr>
                <w:rFonts w:ascii="宋体" w:hAnsi="宋体"/>
                <w:bCs/>
                <w:iCs/>
                <w:szCs w:val="24"/>
              </w:rPr>
            </w:pPr>
            <w:r w:rsidRPr="00075348">
              <w:rPr>
                <w:rFonts w:ascii="宋体" w:hAnsi="宋体" w:hint="eastAsia"/>
                <w:bCs/>
                <w:iCs/>
                <w:szCs w:val="24"/>
              </w:rPr>
              <w:t>（4）</w:t>
            </w:r>
            <w:r w:rsidRPr="00075348">
              <w:rPr>
                <w:rFonts w:ascii="宋体" w:hAnsi="宋体"/>
                <w:bCs/>
                <w:iCs/>
                <w:szCs w:val="24"/>
              </w:rPr>
              <w:t>请问公司黄埔仓库的改建工作什么时候可以竣工？预计将给公司带来哪些增长空间？</w:t>
            </w:r>
          </w:p>
          <w:p w:rsidR="00075348" w:rsidRPr="00075348" w:rsidRDefault="00075348" w:rsidP="00075348">
            <w:pPr>
              <w:rPr>
                <w:rFonts w:ascii="宋体" w:hAnsi="宋体" w:hint="eastAsia"/>
                <w:bCs/>
                <w:iCs/>
                <w:szCs w:val="24"/>
              </w:rPr>
            </w:pPr>
            <w:r>
              <w:rPr>
                <w:rFonts w:ascii="宋体" w:hAnsi="宋体"/>
                <w:bCs/>
                <w:iCs/>
                <w:szCs w:val="24"/>
              </w:rPr>
              <w:t>回复</w:t>
            </w:r>
            <w:r>
              <w:rPr>
                <w:rFonts w:ascii="宋体" w:hAnsi="宋体" w:hint="eastAsia"/>
                <w:bCs/>
                <w:iCs/>
                <w:szCs w:val="24"/>
              </w:rPr>
              <w:t>：</w:t>
            </w:r>
            <w:r w:rsidRPr="00075348">
              <w:rPr>
                <w:rFonts w:ascii="宋体" w:hAnsi="宋体" w:hint="eastAsia"/>
                <w:bCs/>
                <w:iCs/>
                <w:szCs w:val="24"/>
              </w:rPr>
              <w:t>投资者您好！公司黄埔仓库的改建工作预计在2022</w:t>
            </w:r>
            <w:r>
              <w:rPr>
                <w:rFonts w:ascii="宋体" w:hAnsi="宋体" w:hint="eastAsia"/>
                <w:bCs/>
                <w:iCs/>
                <w:szCs w:val="24"/>
              </w:rPr>
              <w:t>年第三季度竣工投产，该地块上的原建筑物面积</w:t>
            </w:r>
            <w:r w:rsidRPr="00075348">
              <w:rPr>
                <w:rFonts w:ascii="宋体" w:hAnsi="宋体" w:hint="eastAsia"/>
                <w:bCs/>
                <w:iCs/>
                <w:szCs w:val="24"/>
              </w:rPr>
              <w:t>为11,365.44㎡，改建后建筑面积为38,503㎡。建成后，公司在广州经济技术开发区核心区域的自有仓储资源将得到显著提升，预计能明显降低公司的经营成本，提升公司在广州地区的物流服务能力，有利于公司的长远发展。谢谢您的关注！</w:t>
            </w:r>
          </w:p>
          <w:p w:rsidR="00075348" w:rsidRPr="00075348" w:rsidRDefault="00075348" w:rsidP="00521654">
            <w:pPr>
              <w:rPr>
                <w:rFonts w:ascii="宋体" w:hAnsi="宋体" w:hint="eastAsia"/>
                <w:bCs/>
                <w:iCs/>
                <w:szCs w:val="24"/>
              </w:rPr>
            </w:pPr>
          </w:p>
        </w:tc>
      </w:tr>
      <w:tr w:rsidR="00F0460C" w:rsidTr="00FE71B8">
        <w:trPr>
          <w:jc w:val="center"/>
        </w:trPr>
        <w:tc>
          <w:tcPr>
            <w:tcW w:w="1730" w:type="dxa"/>
            <w:shd w:val="clear" w:color="auto" w:fill="auto"/>
            <w:vAlign w:val="center"/>
          </w:tcPr>
          <w:p w:rsidR="00F0460C" w:rsidRPr="00AF007A" w:rsidRDefault="001B6EB7">
            <w:pPr>
              <w:spacing w:line="480" w:lineRule="atLeast"/>
              <w:rPr>
                <w:rFonts w:ascii="宋体" w:hAnsi="宋体"/>
                <w:b/>
                <w:bCs/>
                <w:iCs/>
                <w:sz w:val="22"/>
                <w:szCs w:val="24"/>
              </w:rPr>
            </w:pPr>
            <w:r w:rsidRPr="00AF007A">
              <w:rPr>
                <w:rFonts w:ascii="宋体" w:hAnsi="宋体" w:hint="eastAsia"/>
                <w:b/>
                <w:bCs/>
                <w:iCs/>
                <w:sz w:val="22"/>
                <w:szCs w:val="24"/>
              </w:rPr>
              <w:lastRenderedPageBreak/>
              <w:t>附件清单（如有）</w:t>
            </w:r>
          </w:p>
        </w:tc>
        <w:tc>
          <w:tcPr>
            <w:tcW w:w="6345" w:type="dxa"/>
            <w:shd w:val="clear" w:color="auto" w:fill="auto"/>
          </w:tcPr>
          <w:p w:rsidR="00F0460C" w:rsidRDefault="001B6EB7">
            <w:pPr>
              <w:spacing w:line="480" w:lineRule="atLeast"/>
              <w:rPr>
                <w:rFonts w:ascii="宋体" w:hAnsi="宋体"/>
                <w:bCs/>
                <w:iCs/>
                <w:sz w:val="24"/>
                <w:szCs w:val="24"/>
              </w:rPr>
            </w:pPr>
            <w:r>
              <w:rPr>
                <w:rFonts w:ascii="宋体" w:hAnsi="宋体" w:hint="eastAsia"/>
                <w:bCs/>
                <w:iCs/>
                <w:sz w:val="24"/>
                <w:szCs w:val="24"/>
              </w:rPr>
              <w:t>无</w:t>
            </w:r>
            <w:bookmarkStart w:id="0" w:name="_GoBack"/>
            <w:bookmarkEnd w:id="0"/>
          </w:p>
        </w:tc>
      </w:tr>
      <w:tr w:rsidR="00F0460C" w:rsidTr="00FE71B8">
        <w:trPr>
          <w:jc w:val="center"/>
        </w:trPr>
        <w:tc>
          <w:tcPr>
            <w:tcW w:w="1730" w:type="dxa"/>
            <w:shd w:val="clear" w:color="auto" w:fill="auto"/>
            <w:vAlign w:val="center"/>
          </w:tcPr>
          <w:p w:rsidR="00F0460C" w:rsidRPr="00AF007A" w:rsidRDefault="001B6EB7">
            <w:pPr>
              <w:spacing w:line="480" w:lineRule="atLeast"/>
              <w:rPr>
                <w:rFonts w:ascii="宋体" w:hAnsi="宋体"/>
                <w:b/>
                <w:bCs/>
                <w:iCs/>
                <w:sz w:val="22"/>
                <w:szCs w:val="24"/>
              </w:rPr>
            </w:pPr>
            <w:r w:rsidRPr="00AF007A">
              <w:rPr>
                <w:rFonts w:ascii="宋体" w:hAnsi="宋体" w:hint="eastAsia"/>
                <w:b/>
                <w:bCs/>
                <w:iCs/>
                <w:sz w:val="22"/>
                <w:szCs w:val="24"/>
              </w:rPr>
              <w:t>日期</w:t>
            </w:r>
          </w:p>
        </w:tc>
        <w:tc>
          <w:tcPr>
            <w:tcW w:w="6345" w:type="dxa"/>
            <w:shd w:val="clear" w:color="auto" w:fill="auto"/>
          </w:tcPr>
          <w:p w:rsidR="00F0460C" w:rsidRDefault="001B6EB7" w:rsidP="00075348">
            <w:pPr>
              <w:spacing w:line="480" w:lineRule="atLeast"/>
              <w:rPr>
                <w:rFonts w:ascii="宋体" w:hAnsi="宋体"/>
                <w:bCs/>
                <w:iCs/>
                <w:sz w:val="24"/>
                <w:szCs w:val="24"/>
              </w:rPr>
            </w:pPr>
            <w:r>
              <w:rPr>
                <w:rFonts w:ascii="宋体" w:hAnsi="宋体" w:hint="eastAsia"/>
                <w:bCs/>
                <w:iCs/>
                <w:sz w:val="24"/>
                <w:szCs w:val="24"/>
              </w:rPr>
              <w:t>20</w:t>
            </w:r>
            <w:r w:rsidR="00521654">
              <w:rPr>
                <w:rFonts w:ascii="宋体" w:hAnsi="宋体"/>
                <w:bCs/>
                <w:iCs/>
                <w:sz w:val="24"/>
                <w:szCs w:val="24"/>
              </w:rPr>
              <w:t>2</w:t>
            </w:r>
            <w:r w:rsidR="00075348">
              <w:rPr>
                <w:rFonts w:ascii="宋体" w:hAnsi="宋体"/>
                <w:bCs/>
                <w:iCs/>
                <w:sz w:val="24"/>
                <w:szCs w:val="24"/>
              </w:rPr>
              <w:t>2</w:t>
            </w:r>
            <w:r>
              <w:rPr>
                <w:rFonts w:ascii="宋体" w:hAnsi="宋体" w:hint="eastAsia"/>
                <w:bCs/>
                <w:iCs/>
                <w:sz w:val="24"/>
                <w:szCs w:val="24"/>
              </w:rPr>
              <w:t>年</w:t>
            </w:r>
            <w:r w:rsidR="00075348">
              <w:rPr>
                <w:rFonts w:ascii="宋体" w:hAnsi="宋体"/>
                <w:bCs/>
                <w:iCs/>
                <w:sz w:val="24"/>
                <w:szCs w:val="24"/>
              </w:rPr>
              <w:t>4</w:t>
            </w:r>
            <w:r>
              <w:rPr>
                <w:rFonts w:ascii="宋体" w:hAnsi="宋体" w:hint="eastAsia"/>
                <w:bCs/>
                <w:iCs/>
                <w:sz w:val="24"/>
                <w:szCs w:val="24"/>
              </w:rPr>
              <w:t>月</w:t>
            </w:r>
            <w:r w:rsidR="00075348">
              <w:rPr>
                <w:rFonts w:ascii="宋体" w:hAnsi="宋体" w:hint="eastAsia"/>
                <w:bCs/>
                <w:iCs/>
                <w:sz w:val="24"/>
                <w:szCs w:val="24"/>
              </w:rPr>
              <w:t>2</w:t>
            </w:r>
            <w:r w:rsidR="00521654">
              <w:rPr>
                <w:rFonts w:ascii="宋体" w:hAnsi="宋体"/>
                <w:bCs/>
                <w:iCs/>
                <w:sz w:val="24"/>
                <w:szCs w:val="24"/>
              </w:rPr>
              <w:t>7</w:t>
            </w:r>
            <w:r>
              <w:rPr>
                <w:rFonts w:ascii="宋体" w:hAnsi="宋体" w:hint="eastAsia"/>
                <w:bCs/>
                <w:iCs/>
                <w:sz w:val="24"/>
                <w:szCs w:val="24"/>
              </w:rPr>
              <w:t>日</w:t>
            </w:r>
          </w:p>
        </w:tc>
      </w:tr>
    </w:tbl>
    <w:p w:rsidR="00F0460C" w:rsidRDefault="00F0460C">
      <w:pPr>
        <w:ind w:firstLineChars="200" w:firstLine="480"/>
        <w:rPr>
          <w:sz w:val="24"/>
          <w:szCs w:val="24"/>
        </w:rPr>
      </w:pPr>
    </w:p>
    <w:p w:rsidR="00F0460C" w:rsidRDefault="00F0460C"/>
    <w:p w:rsidR="00F0460C" w:rsidRDefault="00F0460C"/>
    <w:sectPr w:rsidR="00F0460C">
      <w:headerReference w:type="default" r:id="rId9"/>
      <w:pgSz w:w="11907" w:h="1683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D07" w:rsidRDefault="00B94D07">
      <w:r>
        <w:separator/>
      </w:r>
    </w:p>
  </w:endnote>
  <w:endnote w:type="continuationSeparator" w:id="0">
    <w:p w:rsidR="00B94D07" w:rsidRDefault="00B94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D07" w:rsidRDefault="00B94D07">
      <w:r>
        <w:separator/>
      </w:r>
    </w:p>
  </w:footnote>
  <w:footnote w:type="continuationSeparator" w:id="0">
    <w:p w:rsidR="00B94D07" w:rsidRDefault="00B94D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60C" w:rsidRDefault="001B6EB7">
    <w:pPr>
      <w:pStyle w:val="a7"/>
      <w:rPr>
        <w:rFonts w:ascii="宋体" w:hAnsi="宋体"/>
        <w:bCs/>
        <w:iCs/>
        <w:sz w:val="21"/>
        <w:szCs w:val="21"/>
      </w:rPr>
    </w:pPr>
    <w:r>
      <w:rPr>
        <w:rFonts w:ascii="宋体" w:hAnsi="宋体" w:hint="eastAsia"/>
        <w:bCs/>
        <w:iCs/>
        <w:sz w:val="21"/>
        <w:szCs w:val="21"/>
      </w:rPr>
      <w:t>证券代码：60</w:t>
    </w:r>
    <w:r>
      <w:rPr>
        <w:rFonts w:ascii="宋体" w:hAnsi="宋体"/>
        <w:bCs/>
        <w:iCs/>
        <w:sz w:val="21"/>
        <w:szCs w:val="21"/>
      </w:rPr>
      <w:t>3</w:t>
    </w:r>
    <w:r>
      <w:rPr>
        <w:rFonts w:ascii="宋体" w:hAnsi="宋体" w:hint="eastAsia"/>
        <w:bCs/>
        <w:iCs/>
        <w:sz w:val="21"/>
        <w:szCs w:val="21"/>
      </w:rPr>
      <w:t>813</w:t>
    </w:r>
    <w:r>
      <w:rPr>
        <w:rFonts w:ascii="宋体" w:hAnsi="宋体"/>
        <w:bCs/>
        <w:iCs/>
        <w:sz w:val="21"/>
        <w:szCs w:val="21"/>
      </w:rPr>
      <w:t xml:space="preserve">                           </w:t>
    </w:r>
    <w:r>
      <w:rPr>
        <w:rFonts w:ascii="宋体" w:hAnsi="宋体" w:hint="eastAsia"/>
        <w:bCs/>
        <w:iCs/>
        <w:sz w:val="21"/>
        <w:szCs w:val="21"/>
      </w:rPr>
      <w:t xml:space="preserve">         证券简称：原尚</w:t>
    </w:r>
    <w:r>
      <w:rPr>
        <w:rFonts w:ascii="宋体" w:hAnsi="宋体"/>
        <w:bCs/>
        <w:iCs/>
        <w:sz w:val="21"/>
        <w:szCs w:val="21"/>
      </w:rPr>
      <w:t>股份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FC3386"/>
    <w:multiLevelType w:val="hybridMultilevel"/>
    <w:tmpl w:val="0BCA8F92"/>
    <w:lvl w:ilvl="0" w:tplc="9642D7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EA57973"/>
    <w:multiLevelType w:val="hybridMultilevel"/>
    <w:tmpl w:val="B7326908"/>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7C4C3549"/>
    <w:multiLevelType w:val="hybridMultilevel"/>
    <w:tmpl w:val="7A50C89C"/>
    <w:lvl w:ilvl="0" w:tplc="5358CC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F18"/>
    <w:rsid w:val="000157FD"/>
    <w:rsid w:val="000245CA"/>
    <w:rsid w:val="00075348"/>
    <w:rsid w:val="000754B4"/>
    <w:rsid w:val="0007764E"/>
    <w:rsid w:val="00080F2B"/>
    <w:rsid w:val="00090B1F"/>
    <w:rsid w:val="000A31DA"/>
    <w:rsid w:val="000A5752"/>
    <w:rsid w:val="000A7E4A"/>
    <w:rsid w:val="000D00C7"/>
    <w:rsid w:val="000D3A79"/>
    <w:rsid w:val="000F18AF"/>
    <w:rsid w:val="001024E5"/>
    <w:rsid w:val="00106147"/>
    <w:rsid w:val="00114D6E"/>
    <w:rsid w:val="00130C40"/>
    <w:rsid w:val="00137993"/>
    <w:rsid w:val="00155B3C"/>
    <w:rsid w:val="00164AE4"/>
    <w:rsid w:val="00174F18"/>
    <w:rsid w:val="00175757"/>
    <w:rsid w:val="00194834"/>
    <w:rsid w:val="001A467E"/>
    <w:rsid w:val="001B6EB7"/>
    <w:rsid w:val="001D6BFE"/>
    <w:rsid w:val="001F04CC"/>
    <w:rsid w:val="001F4DDD"/>
    <w:rsid w:val="00214491"/>
    <w:rsid w:val="002312D7"/>
    <w:rsid w:val="00231727"/>
    <w:rsid w:val="00232BC1"/>
    <w:rsid w:val="0025317F"/>
    <w:rsid w:val="00273315"/>
    <w:rsid w:val="002B5745"/>
    <w:rsid w:val="002D1265"/>
    <w:rsid w:val="002D200D"/>
    <w:rsid w:val="002D7DA7"/>
    <w:rsid w:val="003063E5"/>
    <w:rsid w:val="0035062B"/>
    <w:rsid w:val="003542D7"/>
    <w:rsid w:val="00371229"/>
    <w:rsid w:val="00395D4D"/>
    <w:rsid w:val="003E7D85"/>
    <w:rsid w:val="003F4018"/>
    <w:rsid w:val="00465489"/>
    <w:rsid w:val="00474FCD"/>
    <w:rsid w:val="0047613C"/>
    <w:rsid w:val="004933DD"/>
    <w:rsid w:val="00495234"/>
    <w:rsid w:val="00497936"/>
    <w:rsid w:val="004B5764"/>
    <w:rsid w:val="004C1FA0"/>
    <w:rsid w:val="004C698B"/>
    <w:rsid w:val="004E2B0F"/>
    <w:rsid w:val="004F7CD7"/>
    <w:rsid w:val="00521654"/>
    <w:rsid w:val="00532CF0"/>
    <w:rsid w:val="00550366"/>
    <w:rsid w:val="00570004"/>
    <w:rsid w:val="005821BB"/>
    <w:rsid w:val="005A53BA"/>
    <w:rsid w:val="005C5403"/>
    <w:rsid w:val="005E245B"/>
    <w:rsid w:val="005F359B"/>
    <w:rsid w:val="00612EFB"/>
    <w:rsid w:val="0061358F"/>
    <w:rsid w:val="00642CF8"/>
    <w:rsid w:val="00684FFB"/>
    <w:rsid w:val="00686ADF"/>
    <w:rsid w:val="006870FD"/>
    <w:rsid w:val="006C2175"/>
    <w:rsid w:val="006D524A"/>
    <w:rsid w:val="006F5D79"/>
    <w:rsid w:val="0072048B"/>
    <w:rsid w:val="007C57FF"/>
    <w:rsid w:val="007D2B6B"/>
    <w:rsid w:val="007D371E"/>
    <w:rsid w:val="007E334D"/>
    <w:rsid w:val="007E6C40"/>
    <w:rsid w:val="00817A24"/>
    <w:rsid w:val="00821EFA"/>
    <w:rsid w:val="008403C3"/>
    <w:rsid w:val="008622BA"/>
    <w:rsid w:val="00877D67"/>
    <w:rsid w:val="008865DC"/>
    <w:rsid w:val="008A0B53"/>
    <w:rsid w:val="008A7858"/>
    <w:rsid w:val="0090042E"/>
    <w:rsid w:val="00901BC6"/>
    <w:rsid w:val="00907334"/>
    <w:rsid w:val="00923FA7"/>
    <w:rsid w:val="0093497B"/>
    <w:rsid w:val="00947DE7"/>
    <w:rsid w:val="0098031D"/>
    <w:rsid w:val="0099128B"/>
    <w:rsid w:val="009B52CC"/>
    <w:rsid w:val="009F28EC"/>
    <w:rsid w:val="00A1617C"/>
    <w:rsid w:val="00A51181"/>
    <w:rsid w:val="00A767D4"/>
    <w:rsid w:val="00A8341B"/>
    <w:rsid w:val="00A869B2"/>
    <w:rsid w:val="00AD039E"/>
    <w:rsid w:val="00AE4E56"/>
    <w:rsid w:val="00AF007A"/>
    <w:rsid w:val="00B241D3"/>
    <w:rsid w:val="00B352B6"/>
    <w:rsid w:val="00B469A1"/>
    <w:rsid w:val="00B504EB"/>
    <w:rsid w:val="00B5472E"/>
    <w:rsid w:val="00B94D07"/>
    <w:rsid w:val="00BA1952"/>
    <w:rsid w:val="00BD096D"/>
    <w:rsid w:val="00BF0C27"/>
    <w:rsid w:val="00C17D24"/>
    <w:rsid w:val="00C4184D"/>
    <w:rsid w:val="00C44543"/>
    <w:rsid w:val="00C50940"/>
    <w:rsid w:val="00C56033"/>
    <w:rsid w:val="00C73448"/>
    <w:rsid w:val="00C73756"/>
    <w:rsid w:val="00C84344"/>
    <w:rsid w:val="00CB7B99"/>
    <w:rsid w:val="00CC384A"/>
    <w:rsid w:val="00CD74DE"/>
    <w:rsid w:val="00D336F2"/>
    <w:rsid w:val="00D70F87"/>
    <w:rsid w:val="00D96D7C"/>
    <w:rsid w:val="00DA1244"/>
    <w:rsid w:val="00DA214C"/>
    <w:rsid w:val="00DC3BE2"/>
    <w:rsid w:val="00DF0471"/>
    <w:rsid w:val="00DF4543"/>
    <w:rsid w:val="00E0677D"/>
    <w:rsid w:val="00E109A7"/>
    <w:rsid w:val="00E23FD0"/>
    <w:rsid w:val="00E40C1C"/>
    <w:rsid w:val="00E44458"/>
    <w:rsid w:val="00E50677"/>
    <w:rsid w:val="00E52047"/>
    <w:rsid w:val="00E763EC"/>
    <w:rsid w:val="00E80118"/>
    <w:rsid w:val="00ED0FC2"/>
    <w:rsid w:val="00EF2C4F"/>
    <w:rsid w:val="00F0460C"/>
    <w:rsid w:val="00F173A2"/>
    <w:rsid w:val="00F2542C"/>
    <w:rsid w:val="00F30B51"/>
    <w:rsid w:val="00F54E81"/>
    <w:rsid w:val="00F737B7"/>
    <w:rsid w:val="00F83012"/>
    <w:rsid w:val="00FC1517"/>
    <w:rsid w:val="00FC29B2"/>
    <w:rsid w:val="00FC51E6"/>
    <w:rsid w:val="00FD3B33"/>
    <w:rsid w:val="00FD68D8"/>
    <w:rsid w:val="00FE1FAD"/>
    <w:rsid w:val="00FE71B8"/>
    <w:rsid w:val="00FF1193"/>
    <w:rsid w:val="47C003E5"/>
    <w:rsid w:val="6B7A13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6B02ED-46AA-42DA-BE7E-7D5A7DF99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Pr>
      <w:b/>
      <w:bCs/>
    </w:rPr>
  </w:style>
  <w:style w:type="paragraph" w:styleId="a4">
    <w:name w:val="annotation text"/>
    <w:basedOn w:val="a"/>
    <w:link w:val="Char0"/>
    <w:uiPriority w:val="99"/>
    <w:semiHidden/>
    <w:unhideWhenUsed/>
    <w:pPr>
      <w:jc w:val="left"/>
    </w:pPr>
  </w:style>
  <w:style w:type="paragraph" w:styleId="a5">
    <w:name w:val="Balloon Text"/>
    <w:basedOn w:val="a"/>
    <w:link w:val="Char1"/>
    <w:uiPriority w:val="99"/>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character" w:styleId="a9">
    <w:name w:val="annotation reference"/>
    <w:basedOn w:val="a0"/>
    <w:uiPriority w:val="99"/>
    <w:semiHidden/>
    <w:unhideWhenUsed/>
    <w:rPr>
      <w:sz w:val="21"/>
      <w:szCs w:val="21"/>
    </w:rPr>
  </w:style>
  <w:style w:type="character" w:customStyle="1" w:styleId="Char3">
    <w:name w:val="页眉 Char"/>
    <w:basedOn w:val="a0"/>
    <w:link w:val="a7"/>
    <w:uiPriority w:val="99"/>
    <w:rPr>
      <w:rFonts w:ascii="Times New Roman" w:eastAsia="宋体" w:hAnsi="Times New Roman" w:cs="Times New Roman"/>
      <w:sz w:val="18"/>
      <w:szCs w:val="18"/>
    </w:rPr>
  </w:style>
  <w:style w:type="character" w:customStyle="1" w:styleId="Char2">
    <w:name w:val="页脚 Char"/>
    <w:basedOn w:val="a0"/>
    <w:link w:val="a6"/>
    <w:uiPriority w:val="99"/>
    <w:rPr>
      <w:rFonts w:ascii="Times New Roman" w:hAnsi="Times New Roman"/>
      <w:kern w:val="2"/>
      <w:sz w:val="18"/>
      <w:szCs w:val="18"/>
    </w:rPr>
  </w:style>
  <w:style w:type="paragraph" w:styleId="aa">
    <w:name w:val="List Paragraph"/>
    <w:basedOn w:val="a"/>
    <w:uiPriority w:val="34"/>
    <w:qFormat/>
    <w:pPr>
      <w:ind w:firstLineChars="200" w:firstLine="420"/>
    </w:pPr>
    <w:rPr>
      <w:rFonts w:asciiTheme="minorHAnsi" w:eastAsiaTheme="minorEastAsia" w:hAnsiTheme="minorHAnsi" w:cstheme="minorBidi"/>
      <w:szCs w:val="22"/>
    </w:rPr>
  </w:style>
  <w:style w:type="character" w:customStyle="1" w:styleId="Char1">
    <w:name w:val="批注框文本 Char"/>
    <w:basedOn w:val="a0"/>
    <w:link w:val="a5"/>
    <w:uiPriority w:val="99"/>
    <w:semiHidden/>
    <w:qFormat/>
    <w:rPr>
      <w:rFonts w:ascii="Times New Roman" w:hAnsi="Times New Roman"/>
      <w:kern w:val="2"/>
      <w:sz w:val="18"/>
      <w:szCs w:val="18"/>
    </w:rPr>
  </w:style>
  <w:style w:type="character" w:customStyle="1" w:styleId="Char0">
    <w:name w:val="批注文字 Char"/>
    <w:basedOn w:val="a0"/>
    <w:link w:val="a4"/>
    <w:uiPriority w:val="99"/>
    <w:semiHidden/>
    <w:rPr>
      <w:rFonts w:ascii="Times New Roman" w:hAnsi="Times New Roman"/>
      <w:kern w:val="2"/>
      <w:sz w:val="21"/>
    </w:rPr>
  </w:style>
  <w:style w:type="character" w:customStyle="1" w:styleId="Char">
    <w:name w:val="批注主题 Char"/>
    <w:basedOn w:val="Char0"/>
    <w:link w:val="a3"/>
    <w:uiPriority w:val="99"/>
    <w:semiHidden/>
    <w:rPr>
      <w:rFonts w:ascii="Times New Roman" w:hAnsi="Times New Roman"/>
      <w:b/>
      <w:bCs/>
      <w:kern w:val="2"/>
      <w:sz w:val="21"/>
    </w:rPr>
  </w:style>
  <w:style w:type="paragraph" w:styleId="HTML">
    <w:name w:val="HTML Preformatted"/>
    <w:basedOn w:val="a"/>
    <w:link w:val="HTMLChar"/>
    <w:uiPriority w:val="99"/>
    <w:semiHidden/>
    <w:unhideWhenUsed/>
    <w:rsid w:val="005216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uiPriority w:val="99"/>
    <w:semiHidden/>
    <w:rsid w:val="00521654"/>
    <w:rPr>
      <w:rFonts w:ascii="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6262">
      <w:bodyDiv w:val="1"/>
      <w:marLeft w:val="0"/>
      <w:marRight w:val="0"/>
      <w:marTop w:val="0"/>
      <w:marBottom w:val="0"/>
      <w:divBdr>
        <w:top w:val="none" w:sz="0" w:space="0" w:color="auto"/>
        <w:left w:val="none" w:sz="0" w:space="0" w:color="auto"/>
        <w:bottom w:val="none" w:sz="0" w:space="0" w:color="auto"/>
        <w:right w:val="none" w:sz="0" w:space="0" w:color="auto"/>
      </w:divBdr>
    </w:div>
    <w:div w:id="56973357">
      <w:bodyDiv w:val="1"/>
      <w:marLeft w:val="0"/>
      <w:marRight w:val="0"/>
      <w:marTop w:val="0"/>
      <w:marBottom w:val="0"/>
      <w:divBdr>
        <w:top w:val="none" w:sz="0" w:space="0" w:color="auto"/>
        <w:left w:val="none" w:sz="0" w:space="0" w:color="auto"/>
        <w:bottom w:val="none" w:sz="0" w:space="0" w:color="auto"/>
        <w:right w:val="none" w:sz="0" w:space="0" w:color="auto"/>
      </w:divBdr>
    </w:div>
    <w:div w:id="819031109">
      <w:bodyDiv w:val="1"/>
      <w:marLeft w:val="0"/>
      <w:marRight w:val="0"/>
      <w:marTop w:val="0"/>
      <w:marBottom w:val="0"/>
      <w:divBdr>
        <w:top w:val="none" w:sz="0" w:space="0" w:color="auto"/>
        <w:left w:val="none" w:sz="0" w:space="0" w:color="auto"/>
        <w:bottom w:val="none" w:sz="0" w:space="0" w:color="auto"/>
        <w:right w:val="none" w:sz="0" w:space="0" w:color="auto"/>
      </w:divBdr>
    </w:div>
    <w:div w:id="842091598">
      <w:bodyDiv w:val="1"/>
      <w:marLeft w:val="0"/>
      <w:marRight w:val="0"/>
      <w:marTop w:val="0"/>
      <w:marBottom w:val="0"/>
      <w:divBdr>
        <w:top w:val="none" w:sz="0" w:space="0" w:color="auto"/>
        <w:left w:val="none" w:sz="0" w:space="0" w:color="auto"/>
        <w:bottom w:val="none" w:sz="0" w:space="0" w:color="auto"/>
        <w:right w:val="none" w:sz="0" w:space="0" w:color="auto"/>
      </w:divBdr>
    </w:div>
    <w:div w:id="914127222">
      <w:bodyDiv w:val="1"/>
      <w:marLeft w:val="0"/>
      <w:marRight w:val="0"/>
      <w:marTop w:val="0"/>
      <w:marBottom w:val="0"/>
      <w:divBdr>
        <w:top w:val="none" w:sz="0" w:space="0" w:color="auto"/>
        <w:left w:val="none" w:sz="0" w:space="0" w:color="auto"/>
        <w:bottom w:val="none" w:sz="0" w:space="0" w:color="auto"/>
        <w:right w:val="none" w:sz="0" w:space="0" w:color="auto"/>
      </w:divBdr>
    </w:div>
    <w:div w:id="1118572545">
      <w:bodyDiv w:val="1"/>
      <w:marLeft w:val="0"/>
      <w:marRight w:val="0"/>
      <w:marTop w:val="0"/>
      <w:marBottom w:val="0"/>
      <w:divBdr>
        <w:top w:val="none" w:sz="0" w:space="0" w:color="auto"/>
        <w:left w:val="none" w:sz="0" w:space="0" w:color="auto"/>
        <w:bottom w:val="none" w:sz="0" w:space="0" w:color="auto"/>
        <w:right w:val="none" w:sz="0" w:space="0" w:color="auto"/>
      </w:divBdr>
    </w:div>
    <w:div w:id="1435444308">
      <w:bodyDiv w:val="1"/>
      <w:marLeft w:val="0"/>
      <w:marRight w:val="0"/>
      <w:marTop w:val="0"/>
      <w:marBottom w:val="0"/>
      <w:divBdr>
        <w:top w:val="none" w:sz="0" w:space="0" w:color="auto"/>
        <w:left w:val="none" w:sz="0" w:space="0" w:color="auto"/>
        <w:bottom w:val="none" w:sz="0" w:space="0" w:color="auto"/>
        <w:right w:val="none" w:sz="0" w:space="0" w:color="auto"/>
      </w:divBdr>
    </w:div>
    <w:div w:id="1600216161">
      <w:bodyDiv w:val="1"/>
      <w:marLeft w:val="0"/>
      <w:marRight w:val="0"/>
      <w:marTop w:val="0"/>
      <w:marBottom w:val="0"/>
      <w:divBdr>
        <w:top w:val="none" w:sz="0" w:space="0" w:color="auto"/>
        <w:left w:val="none" w:sz="0" w:space="0" w:color="auto"/>
        <w:bottom w:val="none" w:sz="0" w:space="0" w:color="auto"/>
        <w:right w:val="none" w:sz="0" w:space="0" w:color="auto"/>
      </w:divBdr>
    </w:div>
    <w:div w:id="1796678958">
      <w:bodyDiv w:val="1"/>
      <w:marLeft w:val="0"/>
      <w:marRight w:val="0"/>
      <w:marTop w:val="0"/>
      <w:marBottom w:val="0"/>
      <w:divBdr>
        <w:top w:val="none" w:sz="0" w:space="0" w:color="auto"/>
        <w:left w:val="none" w:sz="0" w:space="0" w:color="auto"/>
        <w:bottom w:val="none" w:sz="0" w:space="0" w:color="auto"/>
        <w:right w:val="none" w:sz="0" w:space="0" w:color="auto"/>
      </w:divBdr>
    </w:div>
    <w:div w:id="2117023628">
      <w:bodyDiv w:val="1"/>
      <w:marLeft w:val="0"/>
      <w:marRight w:val="0"/>
      <w:marTop w:val="0"/>
      <w:marBottom w:val="0"/>
      <w:divBdr>
        <w:top w:val="none" w:sz="0" w:space="0" w:color="auto"/>
        <w:left w:val="none" w:sz="0" w:space="0" w:color="auto"/>
        <w:bottom w:val="none" w:sz="0" w:space="0" w:color="auto"/>
        <w:right w:val="none" w:sz="0" w:space="0" w:color="auto"/>
      </w:divBdr>
    </w:div>
    <w:div w:id="2130124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74C820-812B-41E2-AE46-F1D7E77F4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183</Words>
  <Characters>1045</Characters>
  <Application>Microsoft Office Word</Application>
  <DocSecurity>0</DocSecurity>
  <Lines>8</Lines>
  <Paragraphs>2</Paragraphs>
  <ScaleCrop>false</ScaleCrop>
  <Company>Microsoft</Company>
  <LinksUpToDate>false</LinksUpToDate>
  <CharactersWithSpaces>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钟情思</cp:lastModifiedBy>
  <cp:revision>23</cp:revision>
  <cp:lastPrinted>2021-05-10T05:02:00Z</cp:lastPrinted>
  <dcterms:created xsi:type="dcterms:W3CDTF">2018-05-09T04:08:00Z</dcterms:created>
  <dcterms:modified xsi:type="dcterms:W3CDTF">2022-04-28T01:29:00Z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