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1A28" w14:textId="43CB2F6E" w:rsidR="00CE2BF6" w:rsidRPr="00274400" w:rsidRDefault="001C2E4E" w:rsidP="00CE2BF6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color w:val="auto"/>
          <w:szCs w:val="28"/>
        </w:rPr>
      </w:pPr>
      <w:bookmarkStart w:id="0" w:name="_GoBack"/>
      <w:proofErr w:type="gramStart"/>
      <w:r w:rsidRPr="00274400">
        <w:rPr>
          <w:rFonts w:ascii="宋体" w:eastAsia="宋体" w:hAnsi="宋体" w:cs="宋体" w:hint="eastAsia"/>
          <w:b/>
          <w:bCs/>
          <w:color w:val="auto"/>
          <w:szCs w:val="28"/>
        </w:rPr>
        <w:t>晶科能源</w:t>
      </w:r>
      <w:proofErr w:type="gramEnd"/>
      <w:r w:rsidR="00CE2BF6" w:rsidRPr="00274400">
        <w:rPr>
          <w:rFonts w:ascii="宋体" w:eastAsia="宋体" w:hAnsi="宋体" w:cs="宋体" w:hint="eastAsia"/>
          <w:b/>
          <w:bCs/>
          <w:color w:val="auto"/>
          <w:szCs w:val="28"/>
        </w:rPr>
        <w:t>股份有限公司</w:t>
      </w:r>
    </w:p>
    <w:p w14:paraId="0E344B93" w14:textId="77777777" w:rsidR="00CE2BF6" w:rsidRPr="00274400" w:rsidRDefault="00CE2BF6" w:rsidP="00CE2BF6">
      <w:pPr>
        <w:pStyle w:val="Default"/>
        <w:spacing w:line="360" w:lineRule="exact"/>
        <w:jc w:val="center"/>
        <w:rPr>
          <w:rFonts w:ascii="宋体" w:eastAsia="宋体" w:hAnsi="宋体" w:cs="宋体"/>
          <w:b/>
          <w:bCs/>
          <w:color w:val="auto"/>
          <w:szCs w:val="28"/>
        </w:rPr>
      </w:pPr>
      <w:r w:rsidRPr="00274400">
        <w:rPr>
          <w:rFonts w:ascii="宋体" w:eastAsia="宋体" w:hAnsi="宋体" w:cs="宋体" w:hint="eastAsia"/>
          <w:b/>
          <w:bCs/>
          <w:color w:val="auto"/>
          <w:szCs w:val="28"/>
        </w:rPr>
        <w:t>投资者关系活动记录表</w:t>
      </w:r>
    </w:p>
    <w:p w14:paraId="0743EE1E" w14:textId="286DA0A8" w:rsidR="00CE2BF6" w:rsidRPr="00274400" w:rsidRDefault="00CE2BF6" w:rsidP="00CE2BF6">
      <w:pPr>
        <w:wordWrap w:val="0"/>
        <w:spacing w:line="360" w:lineRule="auto"/>
        <w:jc w:val="right"/>
        <w:rPr>
          <w:rFonts w:ascii="宋体" w:eastAsia="宋体" w:hAnsi="宋体" w:cs="Times New Roman"/>
          <w:sz w:val="22"/>
        </w:rPr>
      </w:pPr>
      <w:r w:rsidRPr="00274400">
        <w:rPr>
          <w:rFonts w:ascii="宋体" w:eastAsia="宋体" w:hAnsi="宋体" w:cs="Times New Roman" w:hint="eastAsia"/>
          <w:sz w:val="22"/>
        </w:rPr>
        <w:t xml:space="preserve"> </w:t>
      </w:r>
      <w:r w:rsidRPr="00274400">
        <w:rPr>
          <w:rFonts w:ascii="宋体" w:eastAsia="宋体" w:hAnsi="宋体" w:cs="Times New Roman"/>
          <w:sz w:val="22"/>
        </w:rPr>
        <w:t xml:space="preserve">     </w:t>
      </w:r>
      <w:r w:rsidRPr="00274400">
        <w:rPr>
          <w:rFonts w:ascii="宋体" w:eastAsia="宋体" w:hAnsi="宋体" w:cs="Times New Roman" w:hint="eastAsia"/>
          <w:sz w:val="22"/>
        </w:rPr>
        <w:t>编号</w:t>
      </w:r>
      <w:r w:rsidRPr="00274400">
        <w:rPr>
          <w:rFonts w:ascii="宋体" w:eastAsia="宋体" w:hAnsi="宋体" w:cs="Times New Roman"/>
          <w:sz w:val="22"/>
        </w:rPr>
        <w:t>：</w:t>
      </w:r>
      <w:r w:rsidRPr="00274400">
        <w:rPr>
          <w:rFonts w:ascii="宋体" w:eastAsia="宋体" w:hAnsi="宋体" w:cs="Times New Roman" w:hint="eastAsia"/>
          <w:sz w:val="22"/>
        </w:rPr>
        <w:t>2</w:t>
      </w:r>
      <w:r w:rsidRPr="00274400">
        <w:rPr>
          <w:rFonts w:ascii="宋体" w:eastAsia="宋体" w:hAnsi="宋体" w:cs="Times New Roman"/>
          <w:sz w:val="22"/>
        </w:rPr>
        <w:t>02</w:t>
      </w:r>
      <w:r w:rsidR="001C2E4E" w:rsidRPr="00274400">
        <w:rPr>
          <w:rFonts w:ascii="宋体" w:eastAsia="宋体" w:hAnsi="宋体" w:cs="Times New Roman"/>
          <w:sz w:val="22"/>
        </w:rPr>
        <w:t>2</w:t>
      </w:r>
      <w:r w:rsidRPr="00274400">
        <w:rPr>
          <w:rFonts w:ascii="宋体" w:eastAsia="宋体" w:hAnsi="宋体" w:cs="Times New Roman" w:hint="eastAsia"/>
          <w:sz w:val="22"/>
        </w:rPr>
        <w:t>-</w:t>
      </w:r>
      <w:r w:rsidR="0062025D" w:rsidRPr="00274400">
        <w:rPr>
          <w:rFonts w:ascii="宋体" w:eastAsia="宋体" w:hAnsi="宋体" w:cs="Times New Roman" w:hint="eastAsia"/>
          <w:sz w:val="22"/>
        </w:rPr>
        <w:t>0</w:t>
      </w:r>
      <w:r w:rsidR="0062025D" w:rsidRPr="00274400">
        <w:rPr>
          <w:rFonts w:ascii="宋体" w:eastAsia="宋体" w:hAnsi="宋体" w:cs="Times New Roman"/>
          <w:sz w:val="22"/>
        </w:rPr>
        <w:t>0</w:t>
      </w:r>
      <w:r w:rsidR="001C2E4E" w:rsidRPr="00274400">
        <w:rPr>
          <w:rFonts w:ascii="宋体" w:eastAsia="宋体" w:hAnsi="宋体" w:cs="Times New Roman"/>
          <w:sz w:val="22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274400" w:rsidRPr="00274400" w14:paraId="60CF5F23" w14:textId="77777777" w:rsidTr="00D927D8">
        <w:trPr>
          <w:trHeight w:val="1926"/>
        </w:trPr>
        <w:tc>
          <w:tcPr>
            <w:tcW w:w="1838" w:type="dxa"/>
            <w:vAlign w:val="center"/>
          </w:tcPr>
          <w:p w14:paraId="5412B2B7" w14:textId="77777777" w:rsidR="00CE2BF6" w:rsidRPr="00274400" w:rsidRDefault="00CE2BF6" w:rsidP="00D927D8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投资者关系活动类别</w:t>
            </w:r>
          </w:p>
        </w:tc>
        <w:tc>
          <w:tcPr>
            <w:tcW w:w="6458" w:type="dxa"/>
          </w:tcPr>
          <w:p w14:paraId="6C5EEAB3" w14:textId="145F4459" w:rsidR="00CE2BF6" w:rsidRPr="00274400" w:rsidRDefault="00D81EAF" w:rsidP="00D927D8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 xml:space="preserve">□ </w:t>
            </w:r>
            <w:r w:rsidR="00CE2BF6" w:rsidRPr="00274400">
              <w:rPr>
                <w:rFonts w:ascii="宋体" w:eastAsia="宋体" w:hAnsi="宋体" w:cs="Times New Roman" w:hint="eastAsia"/>
                <w:sz w:val="22"/>
              </w:rPr>
              <w:t xml:space="preserve">特定对象调研 </w:t>
            </w:r>
            <w:r w:rsidR="00CE2BF6" w:rsidRPr="00274400">
              <w:rPr>
                <w:rFonts w:ascii="宋体" w:eastAsia="宋体" w:hAnsi="宋体" w:cs="Times New Roman"/>
                <w:sz w:val="22"/>
              </w:rPr>
              <w:t xml:space="preserve">      </w:t>
            </w:r>
            <w:r w:rsidR="00CE2BF6" w:rsidRPr="00274400">
              <w:rPr>
                <w:rFonts w:ascii="宋体" w:eastAsia="宋体" w:hAnsi="宋体" w:cs="Times New Roman" w:hint="eastAsia"/>
                <w:sz w:val="22"/>
              </w:rPr>
              <w:t>□ 分析师会议</w:t>
            </w:r>
          </w:p>
          <w:p w14:paraId="105EB52A" w14:textId="175A90E3" w:rsidR="00CE2BF6" w:rsidRPr="00274400" w:rsidRDefault="00CE2BF6" w:rsidP="00D927D8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Noto Sans CJK JP Regular"/>
                <w:kern w:val="0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 xml:space="preserve">□ </w:t>
            </w:r>
            <w:r w:rsidRPr="00274400">
              <w:rPr>
                <w:rFonts w:ascii="宋体" w:eastAsia="宋体" w:hAnsi="宋体" w:cs="Noto Sans CJK JP Regular" w:hint="eastAsia"/>
                <w:kern w:val="0"/>
                <w:sz w:val="22"/>
              </w:rPr>
              <w:t xml:space="preserve">媒体采访  </w:t>
            </w:r>
            <w:r w:rsidRPr="00274400">
              <w:rPr>
                <w:rFonts w:ascii="宋体" w:eastAsia="宋体" w:hAnsi="宋体" w:cs="Noto Sans CJK JP Regular"/>
                <w:kern w:val="0"/>
                <w:sz w:val="22"/>
              </w:rPr>
              <w:t xml:space="preserve">         </w:t>
            </w:r>
            <w:r w:rsidR="00D81EAF" w:rsidRPr="00274400">
              <w:rPr>
                <w:rFonts w:ascii="宋体" w:eastAsia="宋体" w:hAnsi="宋体" w:cs="Times New Roman" w:hint="eastAsia"/>
                <w:szCs w:val="21"/>
              </w:rPr>
              <w:t>√</w:t>
            </w:r>
            <w:r w:rsidRPr="00274400">
              <w:rPr>
                <w:rFonts w:ascii="宋体" w:eastAsia="宋体" w:hAnsi="宋体" w:cs="Noto Sans CJK JP Regular" w:hint="eastAsia"/>
                <w:kern w:val="0"/>
                <w:sz w:val="22"/>
              </w:rPr>
              <w:t xml:space="preserve"> 业绩说明会</w:t>
            </w:r>
          </w:p>
          <w:p w14:paraId="1C58C189" w14:textId="77777777" w:rsidR="00CE2BF6" w:rsidRPr="00274400" w:rsidRDefault="00CE2BF6" w:rsidP="00D927D8">
            <w:pPr>
              <w:autoSpaceDE w:val="0"/>
              <w:autoSpaceDN w:val="0"/>
              <w:spacing w:line="360" w:lineRule="exact"/>
              <w:jc w:val="left"/>
              <w:rPr>
                <w:rFonts w:ascii="宋体" w:eastAsia="宋体" w:hAnsi="宋体" w:cs="Noto Sans CJK JP Regular"/>
                <w:kern w:val="0"/>
                <w:sz w:val="22"/>
              </w:rPr>
            </w:pPr>
            <w:r w:rsidRPr="00274400">
              <w:rPr>
                <w:rFonts w:ascii="宋体" w:eastAsia="宋体" w:hAnsi="宋体" w:cs="Noto Sans CJK JP Regular" w:hint="eastAsia"/>
                <w:kern w:val="0"/>
                <w:sz w:val="22"/>
              </w:rPr>
              <w:t xml:space="preserve">□ 新闻发布会  </w:t>
            </w:r>
            <w:r w:rsidRPr="00274400">
              <w:rPr>
                <w:rFonts w:ascii="宋体" w:eastAsia="宋体" w:hAnsi="宋体" w:cs="Noto Sans CJK JP Regular"/>
                <w:kern w:val="0"/>
                <w:sz w:val="22"/>
              </w:rPr>
              <w:t xml:space="preserve">       </w:t>
            </w:r>
            <w:r w:rsidRPr="00274400">
              <w:rPr>
                <w:rFonts w:ascii="宋体" w:eastAsia="宋体" w:hAnsi="宋体" w:cs="Noto Sans CJK JP Regular" w:hint="eastAsia"/>
                <w:kern w:val="0"/>
                <w:sz w:val="22"/>
              </w:rPr>
              <w:t>□ 路演活动</w:t>
            </w:r>
          </w:p>
          <w:p w14:paraId="14055DDE" w14:textId="77777777" w:rsidR="00CE2BF6" w:rsidRPr="00274400" w:rsidRDefault="00CE2BF6" w:rsidP="00D927D8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>□ 现场参观</w:t>
            </w:r>
          </w:p>
          <w:p w14:paraId="2CEED0DC" w14:textId="77777777" w:rsidR="00CE2BF6" w:rsidRPr="00274400" w:rsidRDefault="00CE2BF6" w:rsidP="00D927D8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>□ 其他（</w:t>
            </w:r>
            <w:proofErr w:type="gramStart"/>
            <w:r w:rsidRPr="00274400">
              <w:rPr>
                <w:rFonts w:ascii="宋体" w:eastAsia="宋体" w:hAnsi="宋体" w:cs="Times New Roman" w:hint="eastAsia"/>
                <w:sz w:val="22"/>
              </w:rPr>
              <w:t>请文字</w:t>
            </w:r>
            <w:proofErr w:type="gramEnd"/>
            <w:r w:rsidRPr="00274400">
              <w:rPr>
                <w:rFonts w:ascii="宋体" w:eastAsia="宋体" w:hAnsi="宋体" w:cs="Times New Roman" w:hint="eastAsia"/>
                <w:sz w:val="22"/>
              </w:rPr>
              <w:t>说明）</w:t>
            </w:r>
          </w:p>
        </w:tc>
      </w:tr>
      <w:tr w:rsidR="00274400" w:rsidRPr="00274400" w14:paraId="58B384CF" w14:textId="77777777" w:rsidTr="001D71AA">
        <w:trPr>
          <w:trHeight w:val="2670"/>
        </w:trPr>
        <w:tc>
          <w:tcPr>
            <w:tcW w:w="1838" w:type="dxa"/>
            <w:vAlign w:val="center"/>
          </w:tcPr>
          <w:p w14:paraId="0E81AC0B" w14:textId="4C5A5664" w:rsidR="00027983" w:rsidRPr="00274400" w:rsidRDefault="00027983" w:rsidP="00EF6AEF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参与</w:t>
            </w:r>
            <w:r w:rsidRPr="00274400">
              <w:rPr>
                <w:rFonts w:ascii="宋体" w:eastAsia="宋体" w:hAnsi="宋体" w:cs="Times New Roman"/>
                <w:b/>
                <w:bCs/>
                <w:sz w:val="22"/>
              </w:rPr>
              <w:t>单位</w:t>
            </w:r>
          </w:p>
        </w:tc>
        <w:tc>
          <w:tcPr>
            <w:tcW w:w="6458" w:type="dxa"/>
            <w:vAlign w:val="center"/>
          </w:tcPr>
          <w:p w14:paraId="13DB21FC" w14:textId="7960C4AC" w:rsidR="003A4DDB" w:rsidRPr="00274400" w:rsidRDefault="001C2E4E" w:rsidP="008E663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274400">
              <w:rPr>
                <w:rFonts w:ascii="宋体" w:eastAsia="宋体" w:hAnsi="宋体" w:cs="Times New Roman" w:hint="eastAsia"/>
                <w:szCs w:val="21"/>
              </w:rPr>
              <w:t>中</w:t>
            </w:r>
            <w:proofErr w:type="gramStart"/>
            <w:r w:rsidRPr="00274400">
              <w:rPr>
                <w:rFonts w:ascii="宋体" w:eastAsia="宋体" w:hAnsi="宋体" w:cs="Times New Roman" w:hint="eastAsia"/>
                <w:szCs w:val="21"/>
              </w:rPr>
              <w:t>信建投</w:t>
            </w:r>
            <w:r w:rsidR="00344E7F" w:rsidRPr="00274400">
              <w:rPr>
                <w:rFonts w:ascii="宋体" w:eastAsia="宋体" w:hAnsi="宋体" w:cs="Times New Roman" w:hint="eastAsia"/>
                <w:szCs w:val="21"/>
              </w:rPr>
              <w:t>证券</w:t>
            </w:r>
            <w:proofErr w:type="gramEnd"/>
            <w:r w:rsidRPr="00274400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4523E5" w:rsidRPr="00274400">
              <w:rPr>
                <w:rFonts w:ascii="宋体" w:eastAsia="宋体" w:hAnsi="宋体" w:cs="Times New Roman" w:hint="eastAsia"/>
                <w:szCs w:val="21"/>
              </w:rPr>
              <w:t>长江证券</w:t>
            </w:r>
            <w:r w:rsidRPr="00274400">
              <w:rPr>
                <w:rFonts w:ascii="宋体" w:eastAsia="宋体" w:hAnsi="宋体" w:cs="Times New Roman" w:hint="eastAsia"/>
                <w:szCs w:val="21"/>
              </w:rPr>
              <w:t>、东吴证券、招商证券、海通证券、</w:t>
            </w:r>
            <w:r w:rsidR="00170970" w:rsidRPr="00274400">
              <w:rPr>
                <w:rFonts w:ascii="宋体" w:eastAsia="宋体" w:hAnsi="宋体" w:cs="Times New Roman" w:hint="eastAsia"/>
                <w:szCs w:val="21"/>
              </w:rPr>
              <w:t>国泰君安证券、</w:t>
            </w:r>
            <w:r w:rsidR="00D81EAF" w:rsidRPr="00274400">
              <w:rPr>
                <w:rFonts w:ascii="宋体" w:eastAsia="宋体" w:hAnsi="宋体" w:cs="Times New Roman" w:hint="eastAsia"/>
                <w:szCs w:val="21"/>
              </w:rPr>
              <w:t>中金公司</w:t>
            </w:r>
            <w:r w:rsidR="008E6639" w:rsidRPr="00274400">
              <w:rPr>
                <w:rFonts w:ascii="宋体" w:eastAsia="宋体" w:hAnsi="宋体" w:cs="Times New Roman" w:hint="eastAsia"/>
                <w:szCs w:val="21"/>
              </w:rPr>
              <w:t>、国金证券、</w:t>
            </w:r>
            <w:r w:rsidR="00D81EAF" w:rsidRPr="00274400">
              <w:rPr>
                <w:rFonts w:ascii="宋体" w:eastAsia="宋体" w:hAnsi="宋体" w:cs="Times New Roman" w:hint="eastAsia"/>
                <w:szCs w:val="21"/>
              </w:rPr>
              <w:t>兴业证券</w:t>
            </w:r>
            <w:r w:rsidR="008E6639" w:rsidRPr="00274400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170970" w:rsidRPr="00274400">
              <w:rPr>
                <w:rFonts w:ascii="宋体" w:eastAsia="宋体" w:hAnsi="宋体" w:cs="Times New Roman" w:hint="eastAsia"/>
                <w:szCs w:val="21"/>
              </w:rPr>
              <w:t>西部证券、天风证券、开源证券、</w:t>
            </w:r>
            <w:r w:rsidR="00F25AF2" w:rsidRPr="00274400">
              <w:rPr>
                <w:rFonts w:ascii="宋体" w:eastAsia="宋体" w:hAnsi="宋体" w:cs="Times New Roman" w:hint="eastAsia"/>
                <w:szCs w:val="21"/>
              </w:rPr>
              <w:t>太平资产、中国人寿资产、</w:t>
            </w:r>
            <w:r w:rsidR="00170970" w:rsidRPr="00274400">
              <w:rPr>
                <w:rFonts w:ascii="宋体" w:eastAsia="宋体" w:hAnsi="宋体" w:cs="Times New Roman" w:hint="eastAsia"/>
                <w:szCs w:val="21"/>
              </w:rPr>
              <w:t>国家绿色发展基金、</w:t>
            </w:r>
            <w:r w:rsidR="006761E6" w:rsidRPr="00274400">
              <w:rPr>
                <w:rFonts w:ascii="宋体" w:eastAsia="宋体" w:hAnsi="宋体" w:cs="Times New Roman" w:hint="eastAsia"/>
                <w:szCs w:val="21"/>
              </w:rPr>
              <w:t>泰康资产、</w:t>
            </w:r>
            <w:r w:rsidR="00B275E5" w:rsidRPr="00274400">
              <w:rPr>
                <w:rFonts w:ascii="宋体" w:eastAsia="宋体" w:hAnsi="宋体" w:cs="Times New Roman" w:hint="eastAsia"/>
                <w:szCs w:val="21"/>
              </w:rPr>
              <w:t>广发基金、</w:t>
            </w:r>
            <w:r w:rsidR="00701518" w:rsidRPr="00274400">
              <w:rPr>
                <w:rFonts w:ascii="宋体" w:eastAsia="宋体" w:hAnsi="宋体" w:cs="Times New Roman" w:hint="eastAsia"/>
                <w:szCs w:val="21"/>
              </w:rPr>
              <w:t>银华基金、鹏华基金、</w:t>
            </w:r>
            <w:r w:rsidR="008E6639" w:rsidRPr="00274400">
              <w:rPr>
                <w:rFonts w:ascii="宋体" w:eastAsia="宋体" w:hAnsi="宋体" w:cs="Times New Roman" w:hint="eastAsia"/>
                <w:szCs w:val="21"/>
              </w:rPr>
              <w:t>嘉实</w:t>
            </w:r>
            <w:r w:rsidR="00D81EAF" w:rsidRPr="00274400">
              <w:rPr>
                <w:rFonts w:ascii="宋体" w:eastAsia="宋体" w:hAnsi="宋体" w:cs="Times New Roman" w:hint="eastAsia"/>
                <w:szCs w:val="21"/>
              </w:rPr>
              <w:t>基金</w:t>
            </w:r>
            <w:r w:rsidR="008E6639" w:rsidRPr="00274400">
              <w:rPr>
                <w:rFonts w:ascii="宋体" w:eastAsia="宋体" w:hAnsi="宋体" w:cs="Times New Roman" w:hint="eastAsia"/>
                <w:szCs w:val="21"/>
              </w:rPr>
              <w:t>、富国基金、易方达基金、</w:t>
            </w:r>
            <w:r w:rsidR="00701518" w:rsidRPr="00274400">
              <w:rPr>
                <w:rFonts w:ascii="宋体" w:eastAsia="宋体" w:hAnsi="宋体" w:cs="Times New Roman" w:hint="eastAsia"/>
                <w:szCs w:val="21"/>
              </w:rPr>
              <w:t>南方基金、</w:t>
            </w:r>
            <w:r w:rsidR="008E6639" w:rsidRPr="00274400">
              <w:rPr>
                <w:rFonts w:ascii="宋体" w:eastAsia="宋体" w:hAnsi="宋体" w:cs="Times New Roman" w:hint="eastAsia"/>
                <w:szCs w:val="21"/>
              </w:rPr>
              <w:t>贝莱德资产</w:t>
            </w:r>
            <w:r w:rsidR="00701518" w:rsidRPr="00274400">
              <w:rPr>
                <w:rFonts w:ascii="宋体" w:eastAsia="宋体" w:hAnsi="宋体" w:cs="Times New Roman" w:hint="eastAsia"/>
                <w:szCs w:val="21"/>
              </w:rPr>
              <w:t>、上投摩根</w:t>
            </w:r>
            <w:r w:rsidR="00D81EAF" w:rsidRPr="00274400">
              <w:rPr>
                <w:rFonts w:ascii="宋体" w:eastAsia="宋体" w:hAnsi="宋体" w:cs="Times New Roman" w:hint="eastAsia"/>
                <w:szCs w:val="21"/>
              </w:rPr>
              <w:t>等</w:t>
            </w:r>
          </w:p>
        </w:tc>
      </w:tr>
      <w:tr w:rsidR="00274400" w:rsidRPr="00274400" w14:paraId="4EFCA22E" w14:textId="77777777" w:rsidTr="00027983">
        <w:trPr>
          <w:trHeight w:val="1415"/>
        </w:trPr>
        <w:tc>
          <w:tcPr>
            <w:tcW w:w="1838" w:type="dxa"/>
            <w:vAlign w:val="center"/>
          </w:tcPr>
          <w:p w14:paraId="40658E2C" w14:textId="77777777" w:rsidR="00027983" w:rsidRPr="00274400" w:rsidRDefault="00027983" w:rsidP="00027983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公司</w:t>
            </w:r>
            <w:r w:rsidRPr="00274400">
              <w:rPr>
                <w:rFonts w:ascii="宋体" w:eastAsia="宋体" w:hAnsi="宋体" w:cs="Times New Roman"/>
                <w:b/>
                <w:bCs/>
                <w:sz w:val="22"/>
              </w:rPr>
              <w:t>接待人员姓名</w:t>
            </w: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及职务</w:t>
            </w:r>
          </w:p>
        </w:tc>
        <w:tc>
          <w:tcPr>
            <w:tcW w:w="6458" w:type="dxa"/>
            <w:vAlign w:val="center"/>
          </w:tcPr>
          <w:p w14:paraId="09060DE0" w14:textId="77777777" w:rsidR="00AC060B" w:rsidRPr="00274400" w:rsidRDefault="00AC060B" w:rsidP="00F70CA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  <w:p w14:paraId="600EEA02" w14:textId="018C9393" w:rsidR="00F70CA7" w:rsidRPr="00274400" w:rsidRDefault="00F70CA7" w:rsidP="00F70CA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274400">
              <w:rPr>
                <w:rFonts w:ascii="宋体" w:eastAsia="宋体" w:hAnsi="宋体" w:cs="Times New Roman" w:hint="eastAsia"/>
                <w:szCs w:val="21"/>
              </w:rPr>
              <w:t>董事长</w:t>
            </w:r>
            <w:r w:rsidR="001C2E4E" w:rsidRPr="00274400">
              <w:rPr>
                <w:rFonts w:ascii="宋体" w:eastAsia="宋体" w:hAnsi="宋体" w:cs="Times New Roman" w:hint="eastAsia"/>
                <w:szCs w:val="21"/>
              </w:rPr>
              <w:t>：李仙德</w:t>
            </w:r>
          </w:p>
          <w:p w14:paraId="373428CB" w14:textId="2813EDFC" w:rsidR="00F70CA7" w:rsidRPr="00274400" w:rsidRDefault="00364AB3" w:rsidP="00F70CA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274400">
              <w:rPr>
                <w:rFonts w:ascii="宋体" w:eastAsia="宋体" w:hAnsi="宋体" w:cs="Times New Roman" w:hint="eastAsia"/>
                <w:szCs w:val="21"/>
              </w:rPr>
              <w:t>副总经理</w:t>
            </w:r>
            <w:r w:rsidR="00486B50" w:rsidRPr="00274400">
              <w:rPr>
                <w:rFonts w:ascii="宋体" w:eastAsia="宋体" w:hAnsi="宋体" w:cs="Times New Roman" w:hint="eastAsia"/>
                <w:szCs w:val="21"/>
              </w:rPr>
              <w:t>兼财务负责人</w:t>
            </w:r>
            <w:r w:rsidR="001C2E4E" w:rsidRPr="00274400">
              <w:rPr>
                <w:rFonts w:ascii="宋体" w:eastAsia="宋体" w:hAnsi="宋体" w:cs="Times New Roman" w:hint="eastAsia"/>
                <w:szCs w:val="21"/>
              </w:rPr>
              <w:t>：曹海云</w:t>
            </w:r>
          </w:p>
          <w:p w14:paraId="6E2BF177" w14:textId="19355F1F" w:rsidR="00F70CA7" w:rsidRPr="00274400" w:rsidRDefault="001C2E4E" w:rsidP="00F70CA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274400">
              <w:rPr>
                <w:rFonts w:ascii="宋体" w:eastAsia="宋体" w:hAnsi="宋体" w:cs="Times New Roman" w:hint="eastAsia"/>
                <w:szCs w:val="21"/>
              </w:rPr>
              <w:t>副总经理兼首席营销官：苗根</w:t>
            </w:r>
          </w:p>
          <w:p w14:paraId="2DCC7927" w14:textId="629E87E6" w:rsidR="00EF6AEF" w:rsidRPr="00274400" w:rsidRDefault="001C2E4E" w:rsidP="00F70CA7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274400">
              <w:rPr>
                <w:rFonts w:ascii="宋体" w:eastAsia="宋体" w:hAnsi="宋体" w:cs="Times New Roman" w:hint="eastAsia"/>
                <w:szCs w:val="21"/>
              </w:rPr>
              <w:t>副总经理兼首席技术官：金浩</w:t>
            </w:r>
          </w:p>
          <w:p w14:paraId="71F98FBC" w14:textId="77777777" w:rsidR="00027983" w:rsidRPr="00274400" w:rsidRDefault="001C2E4E" w:rsidP="003A4DDB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274400">
              <w:rPr>
                <w:rFonts w:ascii="宋体" w:eastAsia="宋体" w:hAnsi="宋体" w:cs="Times New Roman" w:hint="eastAsia"/>
                <w:szCs w:val="21"/>
              </w:rPr>
              <w:t>董事会秘书：蒋瑞</w:t>
            </w:r>
          </w:p>
          <w:p w14:paraId="4ED21A79" w14:textId="1C6F3965" w:rsidR="001C2E4E" w:rsidRPr="00274400" w:rsidRDefault="001C2E4E" w:rsidP="003A4DDB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4400" w:rsidRPr="00274400" w14:paraId="74A65C0D" w14:textId="77777777" w:rsidTr="00D927D8">
        <w:trPr>
          <w:trHeight w:val="410"/>
        </w:trPr>
        <w:tc>
          <w:tcPr>
            <w:tcW w:w="1838" w:type="dxa"/>
            <w:vAlign w:val="center"/>
          </w:tcPr>
          <w:p w14:paraId="495524D7" w14:textId="77777777" w:rsidR="00027983" w:rsidRPr="00274400" w:rsidRDefault="00027983" w:rsidP="00027983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时间</w:t>
            </w:r>
          </w:p>
        </w:tc>
        <w:tc>
          <w:tcPr>
            <w:tcW w:w="6458" w:type="dxa"/>
          </w:tcPr>
          <w:p w14:paraId="62731981" w14:textId="7ABD7F3C" w:rsidR="0062025D" w:rsidRPr="00274400" w:rsidRDefault="00027983" w:rsidP="004523E5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>2</w:t>
            </w:r>
            <w:r w:rsidRPr="00274400">
              <w:rPr>
                <w:rFonts w:ascii="宋体" w:eastAsia="宋体" w:hAnsi="宋体" w:cs="Times New Roman"/>
                <w:sz w:val="22"/>
              </w:rPr>
              <w:t>02</w:t>
            </w:r>
            <w:r w:rsidR="001C2E4E" w:rsidRPr="00274400">
              <w:rPr>
                <w:rFonts w:ascii="宋体" w:eastAsia="宋体" w:hAnsi="宋体" w:cs="Times New Roman"/>
                <w:sz w:val="22"/>
              </w:rPr>
              <w:t>2</w:t>
            </w:r>
            <w:r w:rsidRPr="00274400">
              <w:rPr>
                <w:rFonts w:ascii="宋体" w:eastAsia="宋体" w:hAnsi="宋体" w:cs="Times New Roman" w:hint="eastAsia"/>
                <w:sz w:val="22"/>
              </w:rPr>
              <w:t>年</w:t>
            </w:r>
            <w:r w:rsidR="001C2E4E" w:rsidRPr="00274400">
              <w:rPr>
                <w:rFonts w:ascii="宋体" w:eastAsia="宋体" w:hAnsi="宋体" w:cs="Times New Roman"/>
                <w:sz w:val="22"/>
              </w:rPr>
              <w:t>4</w:t>
            </w:r>
            <w:r w:rsidRPr="00274400">
              <w:rPr>
                <w:rFonts w:ascii="宋体" w:eastAsia="宋体" w:hAnsi="宋体" w:cs="Times New Roman" w:hint="eastAsia"/>
                <w:sz w:val="22"/>
              </w:rPr>
              <w:t>月</w:t>
            </w:r>
            <w:r w:rsidR="001C2E4E" w:rsidRPr="00274400">
              <w:rPr>
                <w:rFonts w:ascii="宋体" w:eastAsia="宋体" w:hAnsi="宋体" w:cs="Times New Roman"/>
                <w:sz w:val="22"/>
              </w:rPr>
              <w:t>23</w:t>
            </w:r>
            <w:r w:rsidRPr="00274400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</w:tr>
      <w:tr w:rsidR="00274400" w:rsidRPr="00274400" w14:paraId="6F91DFE2" w14:textId="77777777" w:rsidTr="00D927D8">
        <w:trPr>
          <w:trHeight w:val="417"/>
        </w:trPr>
        <w:tc>
          <w:tcPr>
            <w:tcW w:w="1838" w:type="dxa"/>
            <w:vAlign w:val="center"/>
          </w:tcPr>
          <w:p w14:paraId="2D265808" w14:textId="77777777" w:rsidR="00027983" w:rsidRPr="00274400" w:rsidRDefault="00027983" w:rsidP="00027983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地点</w:t>
            </w:r>
          </w:p>
        </w:tc>
        <w:tc>
          <w:tcPr>
            <w:tcW w:w="6458" w:type="dxa"/>
          </w:tcPr>
          <w:p w14:paraId="330C07BE" w14:textId="313D813A" w:rsidR="00027983" w:rsidRPr="00274400" w:rsidRDefault="004523E5" w:rsidP="00027983">
            <w:pPr>
              <w:spacing w:line="36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>电话会议</w:t>
            </w:r>
          </w:p>
        </w:tc>
      </w:tr>
      <w:tr w:rsidR="00274400" w:rsidRPr="00274400" w14:paraId="6A0B7BFA" w14:textId="77777777" w:rsidTr="00207D0F">
        <w:trPr>
          <w:trHeight w:val="1124"/>
        </w:trPr>
        <w:tc>
          <w:tcPr>
            <w:tcW w:w="1838" w:type="dxa"/>
            <w:vAlign w:val="center"/>
          </w:tcPr>
          <w:p w14:paraId="4A46D577" w14:textId="77777777" w:rsidR="00027983" w:rsidRPr="00274400" w:rsidRDefault="00027983" w:rsidP="00027983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投资</w:t>
            </w:r>
            <w:r w:rsidRPr="00274400">
              <w:rPr>
                <w:rFonts w:ascii="宋体" w:eastAsia="宋体" w:hAnsi="宋体" w:cs="Times New Roman"/>
                <w:b/>
                <w:bCs/>
                <w:sz w:val="22"/>
              </w:rPr>
              <w:t>者关系活动</w:t>
            </w: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主要</w:t>
            </w:r>
            <w:r w:rsidRPr="00274400">
              <w:rPr>
                <w:rFonts w:ascii="宋体" w:eastAsia="宋体" w:hAnsi="宋体" w:cs="Times New Roman"/>
                <w:b/>
                <w:bCs/>
                <w:sz w:val="22"/>
              </w:rPr>
              <w:t>内容</w:t>
            </w: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介绍</w:t>
            </w:r>
          </w:p>
        </w:tc>
        <w:tc>
          <w:tcPr>
            <w:tcW w:w="6458" w:type="dxa"/>
          </w:tcPr>
          <w:p w14:paraId="3C9320DD" w14:textId="77777777" w:rsidR="002A1623" w:rsidRPr="00274400" w:rsidRDefault="002A1623" w:rsidP="003B021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B7E3E44" w14:textId="35776001" w:rsidR="001276AE" w:rsidRPr="00274400" w:rsidRDefault="004A2737" w:rsidP="003B021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【</w:t>
            </w:r>
            <w:r w:rsidR="002A1623" w:rsidRPr="0027440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2A1623" w:rsidRPr="00274400">
              <w:rPr>
                <w:rFonts w:ascii="宋体" w:eastAsia="宋体" w:hAnsi="宋体" w:cs="宋体"/>
                <w:kern w:val="0"/>
                <w:szCs w:val="21"/>
              </w:rPr>
              <w:t>021</w:t>
            </w:r>
            <w:r w:rsidR="002A1623" w:rsidRPr="00274400">
              <w:rPr>
                <w:rFonts w:ascii="宋体" w:eastAsia="宋体" w:hAnsi="宋体" w:cs="宋体" w:hint="eastAsia"/>
                <w:kern w:val="0"/>
                <w:szCs w:val="21"/>
              </w:rPr>
              <w:t>年业绩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简介】</w:t>
            </w:r>
          </w:p>
          <w:p w14:paraId="61EE3F81" w14:textId="746B314F" w:rsidR="004A2737" w:rsidRPr="00274400" w:rsidRDefault="00450BE6" w:rsidP="004A273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274400">
              <w:rPr>
                <w:rFonts w:ascii="宋体" w:eastAsia="宋体" w:hAnsi="宋体" w:cs="宋体"/>
                <w:kern w:val="0"/>
                <w:szCs w:val="21"/>
              </w:rPr>
              <w:t>021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年，</w:t>
            </w:r>
            <w:r w:rsidR="004A2737"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公司实现营业收入405.70亿元，同比增长20.53%，实现归属于上市公司股东的净利润11.41亿元，同比增长9.59%。经营性现金流3</w:t>
            </w:r>
            <w:r w:rsidR="004A2737" w:rsidRPr="00274400">
              <w:rPr>
                <w:rFonts w:ascii="宋体" w:eastAsia="宋体" w:hAnsi="宋体" w:cs="宋体"/>
                <w:kern w:val="0"/>
                <w:szCs w:val="21"/>
              </w:rPr>
              <w:t>2.28</w:t>
            </w:r>
            <w:r w:rsidR="004A2737" w:rsidRPr="00274400">
              <w:rPr>
                <w:rFonts w:ascii="宋体" w:eastAsia="宋体" w:hAnsi="宋体" w:cs="宋体" w:hint="eastAsia"/>
                <w:kern w:val="0"/>
                <w:szCs w:val="21"/>
              </w:rPr>
              <w:t>亿元，总资产7</w:t>
            </w:r>
            <w:r w:rsidR="004A2737" w:rsidRPr="00274400">
              <w:rPr>
                <w:rFonts w:ascii="宋体" w:eastAsia="宋体" w:hAnsi="宋体" w:cs="宋体"/>
                <w:kern w:val="0"/>
                <w:szCs w:val="21"/>
              </w:rPr>
              <w:t>28.7</w:t>
            </w:r>
            <w:r w:rsidR="004A2737" w:rsidRPr="00274400">
              <w:rPr>
                <w:rFonts w:ascii="宋体" w:eastAsia="宋体" w:hAnsi="宋体" w:cs="宋体" w:hint="eastAsia"/>
                <w:kern w:val="0"/>
                <w:szCs w:val="21"/>
              </w:rPr>
              <w:t>亿元，总出货量2</w:t>
            </w:r>
            <w:r w:rsidR="004A2737" w:rsidRPr="00274400">
              <w:rPr>
                <w:rFonts w:ascii="宋体" w:eastAsia="宋体" w:hAnsi="宋体" w:cs="宋体"/>
                <w:kern w:val="0"/>
                <w:szCs w:val="21"/>
              </w:rPr>
              <w:t>5.24</w:t>
            </w:r>
            <w:r w:rsidR="004A2737" w:rsidRPr="00274400">
              <w:rPr>
                <w:rFonts w:ascii="宋体" w:eastAsia="宋体" w:hAnsi="宋体" w:cs="宋体" w:hint="eastAsia"/>
                <w:kern w:val="0"/>
                <w:szCs w:val="21"/>
              </w:rPr>
              <w:t>GW</w:t>
            </w:r>
            <w:r w:rsidR="00C81AEE" w:rsidRPr="00274400">
              <w:rPr>
                <w:rFonts w:ascii="宋体" w:eastAsia="宋体" w:hAnsi="宋体" w:cs="宋体" w:hint="eastAsia"/>
                <w:kern w:val="0"/>
                <w:szCs w:val="21"/>
              </w:rPr>
              <w:t>，其中组件</w:t>
            </w:r>
            <w:r w:rsidR="00AC69EB" w:rsidRPr="00274400">
              <w:rPr>
                <w:rFonts w:ascii="宋体" w:eastAsia="宋体" w:hAnsi="宋体" w:cs="宋体" w:hint="eastAsia"/>
                <w:kern w:val="0"/>
                <w:szCs w:val="21"/>
              </w:rPr>
              <w:t>出货</w:t>
            </w:r>
            <w:r w:rsidR="00C81AEE" w:rsidRPr="0027440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C81AEE" w:rsidRPr="00274400">
              <w:rPr>
                <w:rFonts w:ascii="宋体" w:eastAsia="宋体" w:hAnsi="宋体" w:cs="宋体"/>
                <w:kern w:val="0"/>
                <w:szCs w:val="21"/>
              </w:rPr>
              <w:t>2.23</w:t>
            </w:r>
            <w:r w:rsidR="00C81AEE" w:rsidRPr="00274400">
              <w:rPr>
                <w:rFonts w:ascii="宋体" w:eastAsia="宋体" w:hAnsi="宋体" w:cs="宋体" w:hint="eastAsia"/>
                <w:kern w:val="0"/>
                <w:szCs w:val="21"/>
              </w:rPr>
              <w:t>GW</w:t>
            </w:r>
            <w:r w:rsidR="004A2737" w:rsidRPr="0027440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14:paraId="08E8396A" w14:textId="62928869" w:rsidR="004A2737" w:rsidRPr="00274400" w:rsidRDefault="004A2737" w:rsidP="004A273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截至2021年年末，公司单晶硅片产能达到约32.5GW，电池片产能达到约24GW，组件产能达到约45GW。2021年年末，公司在马来西亚基地电池和组件产能达7GW左右。与此同时，随着2022年初在越南7GW硅片产能投产，公司在海外拥有行业领先的完整垂直一体化产能。</w:t>
            </w:r>
          </w:p>
          <w:p w14:paraId="4D0B8D72" w14:textId="55D5BF42" w:rsidR="004A2737" w:rsidRPr="00274400" w:rsidRDefault="004A2737" w:rsidP="004A273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主要业绩亮点：全球市场龙头地位稳固</w:t>
            </w:r>
            <w:r w:rsidR="0020227A" w:rsidRPr="00274400">
              <w:rPr>
                <w:rFonts w:ascii="宋体" w:eastAsia="宋体" w:hAnsi="宋体" w:cs="宋体" w:hint="eastAsia"/>
                <w:kern w:val="0"/>
                <w:szCs w:val="21"/>
              </w:rPr>
              <w:t xml:space="preserve">；研发成果丰硕 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技术储备深厚</w:t>
            </w:r>
            <w:r w:rsidR="0020227A" w:rsidRPr="00274400">
              <w:rPr>
                <w:rFonts w:ascii="宋体" w:eastAsia="宋体" w:hAnsi="宋体" w:cs="宋体" w:hint="eastAsia"/>
                <w:kern w:val="0"/>
                <w:szCs w:val="21"/>
              </w:rPr>
              <w:t xml:space="preserve">；整合产业资源 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促行业健康发展</w:t>
            </w:r>
            <w:r w:rsidR="0020227A" w:rsidRPr="00274400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274400">
              <w:rPr>
                <w:rFonts w:ascii="宋体" w:eastAsia="宋体" w:hAnsi="宋体" w:cs="宋体"/>
                <w:kern w:val="0"/>
                <w:szCs w:val="21"/>
              </w:rPr>
              <w:t>N</w:t>
            </w:r>
            <w:r w:rsidR="0020227A" w:rsidRPr="00274400">
              <w:rPr>
                <w:rFonts w:ascii="宋体" w:eastAsia="宋体" w:hAnsi="宋体" w:cs="宋体" w:hint="eastAsia"/>
                <w:kern w:val="0"/>
                <w:szCs w:val="21"/>
              </w:rPr>
              <w:t>型先发优势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红利逐渐释放</w:t>
            </w:r>
            <w:r w:rsidR="0020227A" w:rsidRPr="00274400">
              <w:rPr>
                <w:rFonts w:ascii="宋体" w:eastAsia="宋体" w:hAnsi="宋体" w:cs="宋体" w:hint="eastAsia"/>
                <w:kern w:val="0"/>
                <w:szCs w:val="21"/>
              </w:rPr>
              <w:t xml:space="preserve">；夯实一体化产能 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降本持续推进</w:t>
            </w:r>
            <w:r w:rsidR="0020227A" w:rsidRPr="00274400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proofErr w:type="gramStart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登陆科创板</w:t>
            </w:r>
            <w:proofErr w:type="gramEnd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，治理再上台阶。</w:t>
            </w:r>
          </w:p>
          <w:p w14:paraId="411F0775" w14:textId="69DFD2F0" w:rsidR="004A2737" w:rsidRPr="00274400" w:rsidRDefault="004A2737" w:rsidP="003B021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1765D539" w14:textId="21F2BAEC" w:rsidR="002A1623" w:rsidRPr="00274400" w:rsidRDefault="004A2737" w:rsidP="003B021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【</w:t>
            </w:r>
            <w:r w:rsidR="002A1623" w:rsidRPr="00274400">
              <w:rPr>
                <w:rFonts w:ascii="宋体" w:eastAsia="宋体" w:hAnsi="宋体" w:cs="宋体" w:hint="eastAsia"/>
                <w:kern w:val="0"/>
                <w:szCs w:val="21"/>
              </w:rPr>
              <w:t>投资者问答环节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】</w:t>
            </w:r>
          </w:p>
          <w:p w14:paraId="252790D8" w14:textId="45572C8D" w:rsidR="003B021C" w:rsidRPr="00274400" w:rsidRDefault="00ED158A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应对</w:t>
            </w:r>
            <w:r w:rsidR="003B021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海外市场</w:t>
            </w:r>
            <w:r w:rsidR="00B8229A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需求，</w:t>
            </w: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公司策略</w:t>
            </w:r>
            <w:r w:rsidR="003B021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如何变化？国内外占比规划？</w:t>
            </w:r>
          </w:p>
          <w:p w14:paraId="79EC75A6" w14:textId="047EC4BC" w:rsidR="003B021C" w:rsidRPr="00274400" w:rsidRDefault="00ED158A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今年海外</w:t>
            </w:r>
            <w:r w:rsidR="00C46707" w:rsidRPr="00274400">
              <w:rPr>
                <w:rFonts w:ascii="宋体" w:eastAsia="宋体" w:hAnsi="宋体" w:cs="宋体" w:hint="eastAsia"/>
                <w:kern w:val="0"/>
                <w:szCs w:val="21"/>
              </w:rPr>
              <w:t>市场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需求</w:t>
            </w:r>
            <w:r w:rsidR="00410C08" w:rsidRPr="00274400">
              <w:rPr>
                <w:rFonts w:ascii="宋体" w:eastAsia="宋体" w:hAnsi="宋体" w:cs="宋体" w:hint="eastAsia"/>
                <w:kern w:val="0"/>
                <w:szCs w:val="21"/>
              </w:rPr>
              <w:t>旺盛，尤其是欧洲市场进入了加速爆发期。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欧洲一直是</w:t>
            </w:r>
            <w:r w:rsidR="00410C08"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N型</w:t>
            </w:r>
            <w:r w:rsidR="00410C08" w:rsidRPr="00274400">
              <w:rPr>
                <w:rFonts w:ascii="宋体" w:eastAsia="宋体" w:hAnsi="宋体" w:cs="宋体" w:hint="eastAsia"/>
                <w:kern w:val="0"/>
                <w:szCs w:val="21"/>
              </w:rPr>
              <w:t>出货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的主力市场，</w:t>
            </w:r>
            <w:r w:rsidR="008B0295" w:rsidRPr="00274400">
              <w:rPr>
                <w:rFonts w:ascii="宋体" w:eastAsia="宋体" w:hAnsi="宋体" w:cs="宋体" w:hint="eastAsia"/>
                <w:kern w:val="0"/>
                <w:szCs w:val="21"/>
              </w:rPr>
              <w:t>未来将</w:t>
            </w:r>
            <w:r w:rsidR="00B87948" w:rsidRPr="00274400">
              <w:rPr>
                <w:rFonts w:ascii="宋体" w:eastAsia="宋体" w:hAnsi="宋体" w:cs="宋体" w:hint="eastAsia"/>
                <w:kern w:val="0"/>
                <w:szCs w:val="21"/>
              </w:rPr>
              <w:t>持续加大</w:t>
            </w:r>
            <w:r w:rsidR="00804ADB" w:rsidRPr="00274400">
              <w:rPr>
                <w:rFonts w:ascii="宋体" w:eastAsia="宋体" w:hAnsi="宋体" w:cs="宋体" w:hint="eastAsia"/>
                <w:kern w:val="0"/>
                <w:szCs w:val="21"/>
              </w:rPr>
              <w:t>欧洲市场的</w:t>
            </w:r>
            <w:r w:rsidR="00B87948" w:rsidRPr="00274400">
              <w:rPr>
                <w:rFonts w:ascii="宋体" w:eastAsia="宋体" w:hAnsi="宋体" w:cs="宋体" w:hint="eastAsia"/>
                <w:kern w:val="0"/>
                <w:szCs w:val="21"/>
              </w:rPr>
              <w:t>投入</w:t>
            </w:r>
            <w:r w:rsidR="00804ADB" w:rsidRPr="00274400">
              <w:rPr>
                <w:rFonts w:ascii="宋体" w:eastAsia="宋体" w:hAnsi="宋体" w:cs="宋体" w:hint="eastAsia"/>
                <w:kern w:val="0"/>
                <w:szCs w:val="21"/>
              </w:rPr>
              <w:t>和布局。</w:t>
            </w:r>
            <w:r w:rsidR="00274400"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公司也会保持全球各主流市场领先份额，并重视加大国内市场的开拓。</w:t>
            </w:r>
          </w:p>
          <w:p w14:paraId="7F6A5092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2CA1E734" w14:textId="7E21A57D" w:rsidR="003B021C" w:rsidRPr="00274400" w:rsidRDefault="00DE340E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</w:t>
            </w:r>
            <w:r w:rsidR="00C403B9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对</w:t>
            </w: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中长期</w:t>
            </w:r>
            <w:r w:rsidR="003B021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竞争格局如何展望？</w:t>
            </w:r>
          </w:p>
          <w:p w14:paraId="5A2F7A99" w14:textId="43AB23DC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公司以市场头部</w:t>
            </w:r>
            <w:r w:rsidR="00C670E0" w:rsidRPr="00274400">
              <w:rPr>
                <w:rFonts w:ascii="宋体" w:eastAsia="宋体" w:hAnsi="宋体" w:cs="宋体" w:hint="eastAsia"/>
                <w:kern w:val="0"/>
                <w:szCs w:val="21"/>
              </w:rPr>
              <w:t>企业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为目标</w:t>
            </w:r>
            <w:r w:rsidR="00C670E0" w:rsidRPr="0027440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保持领先市场份额，同时追求平衡的回报，</w:t>
            </w:r>
            <w:r w:rsidR="00804ADB" w:rsidRPr="00274400">
              <w:rPr>
                <w:rFonts w:ascii="宋体" w:eastAsia="宋体" w:hAnsi="宋体" w:cs="宋体" w:hint="eastAsia"/>
                <w:kern w:val="0"/>
                <w:szCs w:val="21"/>
              </w:rPr>
              <w:t>争取</w:t>
            </w:r>
            <w:r w:rsidR="009F6D8F" w:rsidRPr="00274400">
              <w:rPr>
                <w:rFonts w:ascii="宋体" w:eastAsia="宋体" w:hAnsi="宋体" w:cs="宋体" w:hint="eastAsia"/>
                <w:kern w:val="0"/>
                <w:szCs w:val="21"/>
              </w:rPr>
              <w:t>给股东和投资人带来合理财务回报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="005F141B"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公司也关注到很多同业关注N型产品升级，也看到不少扩产计划，公司欢迎通过良性竞争推动行业发展。</w:t>
            </w:r>
          </w:p>
          <w:p w14:paraId="6A7F2F13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14:paraId="2C3DD088" w14:textId="2601591C" w:rsidR="003B021C" w:rsidRPr="00274400" w:rsidRDefault="00967CC8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公司一体化战略布局？</w:t>
            </w:r>
            <w:r w:rsidR="003B021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储能业务如何规划？</w:t>
            </w:r>
          </w:p>
          <w:p w14:paraId="5A75C912" w14:textId="4CEB708D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="00967CC8" w:rsidRPr="00274400">
              <w:rPr>
                <w:rFonts w:ascii="宋体" w:eastAsia="宋体" w:hAnsi="宋体" w:cs="宋体" w:hint="eastAsia"/>
                <w:kern w:val="0"/>
                <w:szCs w:val="21"/>
              </w:rPr>
              <w:t>通过一体化研发保持技术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领先</w:t>
            </w:r>
            <w:r w:rsidR="00967CC8" w:rsidRPr="00274400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，未来</w:t>
            </w:r>
            <w:r w:rsidR="00967CC8" w:rsidRPr="00274400">
              <w:rPr>
                <w:rFonts w:ascii="宋体" w:eastAsia="宋体" w:hAnsi="宋体" w:cs="宋体" w:hint="eastAsia"/>
                <w:kern w:val="0"/>
                <w:szCs w:val="21"/>
              </w:rPr>
              <w:t>也</w:t>
            </w:r>
            <w:r w:rsidR="008B0295" w:rsidRPr="00274400">
              <w:rPr>
                <w:rFonts w:ascii="宋体" w:eastAsia="宋体" w:hAnsi="宋体" w:cs="宋体" w:hint="eastAsia"/>
                <w:kern w:val="0"/>
                <w:szCs w:val="21"/>
              </w:rPr>
              <w:t>将持续提升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一体化产能和一体化率</w:t>
            </w:r>
            <w:r w:rsidR="00967CC8" w:rsidRPr="00274400">
              <w:rPr>
                <w:rFonts w:ascii="宋体" w:eastAsia="宋体" w:hAnsi="宋体" w:cs="宋体" w:hint="eastAsia"/>
                <w:kern w:val="0"/>
                <w:szCs w:val="21"/>
              </w:rPr>
              <w:t>，投入先进产能提升竞争力</w:t>
            </w:r>
            <w:r w:rsidR="008B0295" w:rsidRPr="00274400">
              <w:rPr>
                <w:rFonts w:ascii="宋体" w:eastAsia="宋体" w:hAnsi="宋体" w:cs="宋体" w:hint="eastAsia"/>
                <w:kern w:val="0"/>
                <w:szCs w:val="21"/>
              </w:rPr>
              <w:t>。储能业务方面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967CC8"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="008B0295" w:rsidRPr="00274400">
              <w:rPr>
                <w:rFonts w:ascii="宋体" w:eastAsia="宋体" w:hAnsi="宋体" w:cs="宋体" w:hint="eastAsia"/>
                <w:kern w:val="0"/>
                <w:szCs w:val="21"/>
              </w:rPr>
              <w:t>会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针对分销商组件与系统方案的需求</w:t>
            </w:r>
            <w:r w:rsidR="00967CC8" w:rsidRPr="00274400">
              <w:rPr>
                <w:rFonts w:ascii="宋体" w:eastAsia="宋体" w:hAnsi="宋体" w:cs="宋体" w:hint="eastAsia"/>
                <w:kern w:val="0"/>
                <w:szCs w:val="21"/>
              </w:rPr>
              <w:t>，持续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布局光伏一体化加储能。</w:t>
            </w:r>
          </w:p>
          <w:p w14:paraId="73AFA54E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14:paraId="3465A583" w14:textId="77777777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gramStart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2022年一季度单瓦盈利</w:t>
            </w:r>
            <w:proofErr w:type="gramEnd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水平？公司未来盈利展望？</w:t>
            </w:r>
          </w:p>
          <w:p w14:paraId="3A8B55F3" w14:textId="70E4C895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公司一季度</w:t>
            </w:r>
            <w:r w:rsidR="00F62529" w:rsidRPr="00274400">
              <w:rPr>
                <w:rFonts w:ascii="宋体" w:eastAsia="宋体" w:hAnsi="宋体" w:cs="宋体" w:hint="eastAsia"/>
                <w:kern w:val="0"/>
                <w:szCs w:val="21"/>
              </w:rPr>
              <w:t>业绩</w:t>
            </w:r>
            <w:proofErr w:type="gramStart"/>
            <w:r w:rsidR="00F62529" w:rsidRPr="00274400">
              <w:rPr>
                <w:rFonts w:ascii="宋体" w:eastAsia="宋体" w:hAnsi="宋体" w:cs="宋体" w:hint="eastAsia"/>
                <w:kern w:val="0"/>
                <w:szCs w:val="21"/>
              </w:rPr>
              <w:t>预告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扣非净利</w:t>
            </w:r>
            <w:proofErr w:type="gramEnd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2.8-3.2亿</w:t>
            </w:r>
            <w:r w:rsidR="008B0295" w:rsidRPr="00274400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407BEE" w:rsidRPr="00274400">
              <w:rPr>
                <w:rFonts w:ascii="宋体" w:eastAsia="宋体" w:hAnsi="宋体" w:cs="宋体" w:hint="eastAsia"/>
                <w:kern w:val="0"/>
                <w:szCs w:val="21"/>
              </w:rPr>
              <w:t>预计一季度实现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7.5-8GW出货量，</w:t>
            </w:r>
            <w:proofErr w:type="gramStart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单瓦利润</w:t>
            </w:r>
            <w:r w:rsidR="00F62529" w:rsidRPr="00274400">
              <w:rPr>
                <w:rFonts w:ascii="宋体" w:eastAsia="宋体" w:hAnsi="宋体" w:cs="宋体" w:hint="eastAsia"/>
                <w:kern w:val="0"/>
                <w:szCs w:val="21"/>
              </w:rPr>
              <w:t>季度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环</w:t>
            </w:r>
            <w:proofErr w:type="gramEnd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比有明显上升。随着新投入</w:t>
            </w:r>
            <w:proofErr w:type="spellStart"/>
            <w:r w:rsidRPr="00274400">
              <w:rPr>
                <w:rFonts w:ascii="宋体" w:eastAsia="宋体" w:hAnsi="宋体" w:cs="宋体"/>
                <w:kern w:val="0"/>
                <w:szCs w:val="21"/>
              </w:rPr>
              <w:t>TOPCon</w:t>
            </w:r>
            <w:proofErr w:type="spellEnd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产能满产，预期未来一体化成本能够和PERC持平，满产后N型组件的</w:t>
            </w:r>
            <w:r w:rsidR="005D1C17" w:rsidRPr="00274400">
              <w:rPr>
                <w:rFonts w:ascii="宋体" w:eastAsia="宋体" w:hAnsi="宋体" w:cs="宋体" w:hint="eastAsia"/>
                <w:kern w:val="0"/>
                <w:szCs w:val="21"/>
              </w:rPr>
              <w:t>利润空间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会有明显改善。</w:t>
            </w:r>
          </w:p>
          <w:p w14:paraId="0E6D306F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DE7CE0C" w14:textId="77777777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公司一体化</w:t>
            </w:r>
            <w:proofErr w:type="gramStart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的非硅成本</w:t>
            </w:r>
            <w:proofErr w:type="gramEnd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？</w:t>
            </w:r>
          </w:p>
          <w:p w14:paraId="10D84CEC" w14:textId="353CD43A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="007F2B15" w:rsidRPr="00274400"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  <w:proofErr w:type="gramStart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非硅成本</w:t>
            </w:r>
            <w:proofErr w:type="gramEnd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具有竞争力，公司</w:t>
            </w:r>
            <w:r w:rsidR="00B87948" w:rsidRPr="00274400">
              <w:rPr>
                <w:rFonts w:ascii="宋体" w:eastAsia="宋体" w:hAnsi="宋体" w:cs="宋体" w:hint="eastAsia"/>
                <w:kern w:val="0"/>
                <w:szCs w:val="21"/>
              </w:rPr>
              <w:t>硅片</w:t>
            </w:r>
            <w:r w:rsidR="007F2B15" w:rsidRPr="00274400">
              <w:rPr>
                <w:rFonts w:ascii="宋体" w:eastAsia="宋体" w:hAnsi="宋体" w:cs="宋体" w:hint="eastAsia"/>
                <w:kern w:val="0"/>
                <w:szCs w:val="21"/>
              </w:rPr>
              <w:t>在</w:t>
            </w:r>
            <w:r w:rsidR="00B87948" w:rsidRPr="00274400">
              <w:rPr>
                <w:rFonts w:ascii="宋体" w:eastAsia="宋体" w:hAnsi="宋体" w:cs="宋体" w:hint="eastAsia"/>
                <w:kern w:val="0"/>
                <w:szCs w:val="21"/>
              </w:rPr>
              <w:t>产能</w:t>
            </w:r>
            <w:r w:rsidR="007F2B15" w:rsidRPr="00274400">
              <w:rPr>
                <w:rFonts w:ascii="宋体" w:eastAsia="宋体" w:hAnsi="宋体" w:cs="宋体" w:hint="eastAsia"/>
                <w:kern w:val="0"/>
                <w:szCs w:val="21"/>
              </w:rPr>
              <w:t>、技术方面在</w:t>
            </w:r>
            <w:r w:rsidR="00BD4097" w:rsidRPr="00274400">
              <w:rPr>
                <w:rFonts w:ascii="宋体" w:eastAsia="宋体" w:hAnsi="宋体" w:cs="宋体" w:hint="eastAsia"/>
                <w:kern w:val="0"/>
                <w:szCs w:val="21"/>
              </w:rPr>
              <w:t>行业里面属于比较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领先地位。</w:t>
            </w:r>
          </w:p>
          <w:p w14:paraId="550BB3CE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3CFDB6E9" w14:textId="57ACB0C2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公司考虑如何发展</w:t>
            </w:r>
            <w:r w:rsidR="00447E9A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分布式市场</w:t>
            </w: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？</w:t>
            </w:r>
          </w:p>
          <w:p w14:paraId="6C5ED0A6" w14:textId="225B5C28" w:rsidR="003B021C" w:rsidRPr="00274400" w:rsidRDefault="00226B4E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分销市场符合行业发展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方向，也是公司比较重视的部分。其中欧洲市场</w:t>
            </w:r>
            <w:r w:rsidR="00447E9A" w:rsidRPr="00274400">
              <w:rPr>
                <w:rFonts w:ascii="宋体" w:eastAsia="宋体" w:hAnsi="宋体" w:cs="宋体" w:hint="eastAsia"/>
                <w:kern w:val="0"/>
                <w:szCs w:val="21"/>
              </w:rPr>
              <w:t>在品牌溢价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="00447E9A" w:rsidRPr="00274400">
              <w:rPr>
                <w:rFonts w:ascii="宋体" w:eastAsia="宋体" w:hAnsi="宋体" w:cs="宋体" w:hint="eastAsia"/>
                <w:kern w:val="0"/>
                <w:szCs w:val="21"/>
              </w:rPr>
              <w:t>技术接受度等方面发展成熟，当地电网结构、用电价格决定其适合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分销市场</w:t>
            </w:r>
            <w:r w:rsidR="00447E9A" w:rsidRPr="00274400">
              <w:rPr>
                <w:rFonts w:ascii="宋体" w:eastAsia="宋体" w:hAnsi="宋体" w:cs="宋体" w:hint="eastAsia"/>
                <w:kern w:val="0"/>
                <w:szCs w:val="21"/>
              </w:rPr>
              <w:t>发展。借助全球化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10多年积累的客户基础与品牌溢价，</w:t>
            </w:r>
            <w:r w:rsidR="00447E9A"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也将着力拓展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澳洲、日本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巴西等分销市场。</w:t>
            </w:r>
          </w:p>
          <w:p w14:paraId="0C775F80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5A977A41" w14:textId="6882505F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合肥、海宁两个</w:t>
            </w:r>
            <w:proofErr w:type="spellStart"/>
            <w:r w:rsidR="00447E9A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TOPCon</w:t>
            </w:r>
            <w:proofErr w:type="spellEnd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基地的效率、良率和成本的情况？</w:t>
            </w:r>
          </w:p>
          <w:p w14:paraId="0039F7C5" w14:textId="6D289487" w:rsidR="003B021C" w:rsidRPr="00274400" w:rsidRDefault="00447E9A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新投产大尺寸</w:t>
            </w:r>
            <w:proofErr w:type="spellStart"/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TOPCon</w:t>
            </w:r>
            <w:proofErr w:type="spellEnd"/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电池产能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目前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效率已经超过24.6%，良率已经接近PERC量产水平。预期未来</w:t>
            </w:r>
            <w:r w:rsidR="009004E7" w:rsidRPr="00274400">
              <w:rPr>
                <w:rFonts w:ascii="宋体" w:eastAsia="宋体" w:hAnsi="宋体" w:cs="宋体" w:hint="eastAsia"/>
                <w:kern w:val="0"/>
                <w:szCs w:val="21"/>
              </w:rPr>
              <w:t>能够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实现N型和P</w:t>
            </w:r>
            <w:r w:rsidR="009B7D35" w:rsidRPr="00274400">
              <w:rPr>
                <w:rFonts w:ascii="宋体" w:eastAsia="宋体" w:hAnsi="宋体" w:cs="宋体" w:hint="eastAsia"/>
                <w:kern w:val="0"/>
                <w:szCs w:val="21"/>
              </w:rPr>
              <w:t>型一体化</w:t>
            </w:r>
            <w:r w:rsidR="00290BB5" w:rsidRPr="00274400">
              <w:rPr>
                <w:rFonts w:ascii="宋体" w:eastAsia="宋体" w:hAnsi="宋体" w:cs="宋体" w:hint="eastAsia"/>
                <w:kern w:val="0"/>
                <w:szCs w:val="21"/>
              </w:rPr>
              <w:t>成本</w:t>
            </w:r>
            <w:r w:rsidR="009B7D35" w:rsidRPr="00274400">
              <w:rPr>
                <w:rFonts w:ascii="宋体" w:eastAsia="宋体" w:hAnsi="宋体" w:cs="宋体" w:hint="eastAsia"/>
                <w:kern w:val="0"/>
                <w:szCs w:val="21"/>
              </w:rPr>
              <w:t>趋同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14:paraId="4AE2E01C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7CBC7E11" w14:textId="6D5354F9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目前硅料价格的趋势怎么看？</w:t>
            </w:r>
          </w:p>
          <w:p w14:paraId="663D4FFA" w14:textId="4BDF56E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202</w:t>
            </w:r>
            <w:r w:rsidR="009004E7" w:rsidRPr="00274400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年第一季度，</w:t>
            </w:r>
            <w:r w:rsidR="00902833" w:rsidRPr="00274400">
              <w:rPr>
                <w:rFonts w:ascii="宋体" w:eastAsia="宋体" w:hAnsi="宋体" w:cs="宋体" w:hint="eastAsia"/>
                <w:kern w:val="0"/>
                <w:szCs w:val="21"/>
              </w:rPr>
              <w:t>市场短期供需错配，</w:t>
            </w:r>
            <w:r w:rsidR="007D530A" w:rsidRPr="00274400">
              <w:rPr>
                <w:rFonts w:ascii="宋体" w:eastAsia="宋体" w:hAnsi="宋体" w:cs="宋体" w:hint="eastAsia"/>
                <w:kern w:val="0"/>
                <w:szCs w:val="21"/>
              </w:rPr>
              <w:t>包括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印度抢装以及工商业分布式的需求</w:t>
            </w:r>
            <w:r w:rsidR="009B7D35" w:rsidRPr="00274400">
              <w:rPr>
                <w:rFonts w:ascii="宋体" w:eastAsia="宋体" w:hAnsi="宋体" w:cs="宋体" w:hint="eastAsia"/>
                <w:kern w:val="0"/>
                <w:szCs w:val="21"/>
              </w:rPr>
              <w:t>大涨</w:t>
            </w:r>
            <w:r w:rsidR="007D530A" w:rsidRPr="00274400">
              <w:rPr>
                <w:rFonts w:ascii="宋体" w:eastAsia="宋体" w:hAnsi="宋体" w:cs="宋体" w:hint="eastAsia"/>
                <w:kern w:val="0"/>
                <w:szCs w:val="21"/>
              </w:rPr>
              <w:t>等因素</w:t>
            </w:r>
            <w:r w:rsidR="009B7D35" w:rsidRPr="00274400">
              <w:rPr>
                <w:rFonts w:ascii="宋体" w:eastAsia="宋体" w:hAnsi="宋体" w:cs="宋体" w:hint="eastAsia"/>
                <w:kern w:val="0"/>
                <w:szCs w:val="21"/>
              </w:rPr>
              <w:t>带动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硅料</w:t>
            </w:r>
            <w:r w:rsidR="007D530A" w:rsidRPr="00274400">
              <w:rPr>
                <w:rFonts w:ascii="宋体" w:eastAsia="宋体" w:hAnsi="宋体" w:cs="宋体" w:hint="eastAsia"/>
                <w:kern w:val="0"/>
                <w:szCs w:val="21"/>
              </w:rPr>
              <w:t>价格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上涨。2022年二季度硅料价格预计仍处于较高水平。随</w:t>
            </w:r>
            <w:r w:rsidR="00186C6F" w:rsidRPr="00274400">
              <w:rPr>
                <w:rFonts w:ascii="宋体" w:eastAsia="宋体" w:hAnsi="宋体" w:cs="宋体" w:hint="eastAsia"/>
                <w:kern w:val="0"/>
                <w:szCs w:val="21"/>
              </w:rPr>
              <w:t>着</w:t>
            </w:r>
            <w:r w:rsidR="00186C6F" w:rsidRPr="00274400">
              <w:rPr>
                <w:rFonts w:ascii="宋体" w:eastAsia="宋体" w:hAnsi="宋体" w:cs="宋体"/>
                <w:kern w:val="0"/>
                <w:szCs w:val="21"/>
              </w:rPr>
              <w:t>2022</w:t>
            </w:r>
            <w:r w:rsidR="00186C6F" w:rsidRPr="00274400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5B1DFE" w:rsidRPr="00274400">
              <w:rPr>
                <w:rFonts w:ascii="宋体" w:eastAsia="宋体" w:hAnsi="宋体" w:cs="宋体" w:hint="eastAsia"/>
                <w:kern w:val="0"/>
                <w:szCs w:val="21"/>
              </w:rPr>
              <w:t>四季度硅料产量大幅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提升</w:t>
            </w:r>
            <w:r w:rsidR="009004E7" w:rsidRPr="0027440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预</w:t>
            </w:r>
            <w:r w:rsidR="009004E7" w:rsidRPr="00274400">
              <w:rPr>
                <w:rFonts w:ascii="宋体" w:eastAsia="宋体" w:hAnsi="宋体" w:cs="宋体" w:hint="eastAsia"/>
                <w:kern w:val="0"/>
                <w:szCs w:val="21"/>
              </w:rPr>
              <w:t>计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硅料价格在</w:t>
            </w:r>
            <w:r w:rsidR="00B87948" w:rsidRPr="00274400">
              <w:rPr>
                <w:rFonts w:ascii="宋体" w:eastAsia="宋体" w:hAnsi="宋体" w:cs="宋体" w:hint="eastAsia"/>
                <w:kern w:val="0"/>
                <w:szCs w:val="21"/>
              </w:rPr>
              <w:t>四季度有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可能</w:t>
            </w:r>
            <w:r w:rsidR="00902833" w:rsidRPr="00274400">
              <w:rPr>
                <w:rFonts w:ascii="宋体" w:eastAsia="宋体" w:hAnsi="宋体" w:cs="宋体" w:hint="eastAsia"/>
                <w:kern w:val="0"/>
                <w:szCs w:val="21"/>
              </w:rPr>
              <w:t>回归合理价格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14:paraId="5932291F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14:paraId="74607B67" w14:textId="478F9D30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疫情影响下，</w:t>
            </w:r>
            <w:r w:rsidR="00DB760E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</w:t>
            </w: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二季度的出货展望如何？</w:t>
            </w:r>
          </w:p>
          <w:p w14:paraId="346B02E6" w14:textId="3285FF59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第二季度</w:t>
            </w:r>
            <w:r w:rsidR="00C403B9" w:rsidRPr="00274400">
              <w:rPr>
                <w:rFonts w:ascii="宋体" w:eastAsia="宋体" w:hAnsi="宋体" w:cs="宋体" w:hint="eastAsia"/>
                <w:kern w:val="0"/>
                <w:szCs w:val="21"/>
              </w:rPr>
              <w:t>出货预期在一季度</w:t>
            </w:r>
            <w:r w:rsidR="00696C65" w:rsidRPr="00274400">
              <w:rPr>
                <w:rFonts w:ascii="宋体" w:eastAsia="宋体" w:hAnsi="宋体" w:cs="宋体" w:hint="eastAsia"/>
                <w:kern w:val="0"/>
                <w:szCs w:val="21"/>
              </w:rPr>
              <w:t>基础上小幅上升，具体</w:t>
            </w:r>
            <w:r w:rsidR="000B1214" w:rsidRPr="00274400">
              <w:rPr>
                <w:rFonts w:ascii="宋体" w:eastAsia="宋体" w:hAnsi="宋体" w:cs="宋体" w:hint="eastAsia"/>
                <w:kern w:val="0"/>
                <w:szCs w:val="21"/>
              </w:rPr>
              <w:t>业务落地</w:t>
            </w:r>
            <w:r w:rsidR="00696C65" w:rsidRPr="00274400">
              <w:rPr>
                <w:rFonts w:ascii="宋体" w:eastAsia="宋体" w:hAnsi="宋体" w:cs="宋体" w:hint="eastAsia"/>
                <w:kern w:val="0"/>
                <w:szCs w:val="21"/>
              </w:rPr>
              <w:t>情况需关注疫情给物流带来的影响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14:paraId="085AFB5D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2569CF0A" w14:textId="77777777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spellStart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TOPCon</w:t>
            </w:r>
            <w:proofErr w:type="spellEnd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已经有16GW产能，明年</w:t>
            </w:r>
            <w:proofErr w:type="spellStart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TOPCon</w:t>
            </w:r>
            <w:proofErr w:type="spellEnd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产能的规划以及展望？</w:t>
            </w:r>
          </w:p>
          <w:p w14:paraId="67388B92" w14:textId="7B2DFE96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="002055B2" w:rsidRPr="00274400">
              <w:rPr>
                <w:rFonts w:ascii="宋体" w:eastAsia="宋体" w:hAnsi="宋体" w:cs="宋体" w:hint="eastAsia"/>
                <w:kern w:val="0"/>
                <w:szCs w:val="21"/>
              </w:rPr>
              <w:t>已投产的1</w:t>
            </w:r>
            <w:r w:rsidR="002055B2" w:rsidRPr="00274400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="002055B2" w:rsidRPr="00274400">
              <w:rPr>
                <w:rFonts w:ascii="宋体" w:eastAsia="宋体" w:hAnsi="宋体" w:cs="宋体" w:hint="eastAsia"/>
                <w:kern w:val="0"/>
                <w:szCs w:val="21"/>
              </w:rPr>
              <w:t>GW大尺寸N型产能爬坡顺利，</w:t>
            </w:r>
            <w:r w:rsidR="00064BE5" w:rsidRPr="00274400">
              <w:rPr>
                <w:rFonts w:ascii="宋体" w:eastAsia="宋体" w:hAnsi="宋体" w:cs="宋体" w:hint="eastAsia"/>
                <w:kern w:val="0"/>
                <w:szCs w:val="21"/>
              </w:rPr>
              <w:t>各项指标符合预期，</w:t>
            </w:r>
            <w:r w:rsidR="00C403B9" w:rsidRPr="00274400">
              <w:rPr>
                <w:rFonts w:ascii="宋体" w:eastAsia="宋体" w:hAnsi="宋体" w:cs="宋体" w:hint="eastAsia"/>
                <w:kern w:val="0"/>
                <w:szCs w:val="21"/>
              </w:rPr>
              <w:t>对</w:t>
            </w:r>
            <w:r w:rsidR="002055B2" w:rsidRPr="00274400">
              <w:rPr>
                <w:rFonts w:ascii="宋体" w:eastAsia="宋体" w:hAnsi="宋体" w:cs="宋体" w:hint="eastAsia"/>
                <w:kern w:val="0"/>
                <w:szCs w:val="21"/>
              </w:rPr>
              <w:t>后</w:t>
            </w:r>
            <w:r w:rsidR="007C31C1" w:rsidRPr="00274400">
              <w:rPr>
                <w:rFonts w:ascii="宋体" w:eastAsia="宋体" w:hAnsi="宋体" w:cs="宋体" w:hint="eastAsia"/>
                <w:kern w:val="0"/>
                <w:szCs w:val="21"/>
              </w:rPr>
              <w:t>续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N型</w:t>
            </w:r>
            <w:proofErr w:type="spellStart"/>
            <w:r w:rsidR="00C403B9" w:rsidRPr="00274400">
              <w:rPr>
                <w:rFonts w:ascii="宋体" w:eastAsia="宋体" w:hAnsi="宋体" w:cs="宋体" w:hint="eastAsia"/>
                <w:kern w:val="0"/>
                <w:szCs w:val="21"/>
              </w:rPr>
              <w:t>TOPCon</w:t>
            </w:r>
            <w:proofErr w:type="spellEnd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电池投入产出</w:t>
            </w:r>
            <w:r w:rsidR="008B764F" w:rsidRPr="00274400">
              <w:rPr>
                <w:rFonts w:ascii="宋体" w:eastAsia="宋体" w:hAnsi="宋体" w:cs="宋体" w:hint="eastAsia"/>
                <w:kern w:val="0"/>
                <w:szCs w:val="21"/>
              </w:rPr>
              <w:t>也</w:t>
            </w:r>
            <w:r w:rsidR="00B41C12" w:rsidRPr="00274400">
              <w:rPr>
                <w:rFonts w:ascii="宋体" w:eastAsia="宋体" w:hAnsi="宋体" w:cs="宋体" w:hint="eastAsia"/>
                <w:kern w:val="0"/>
                <w:szCs w:val="21"/>
              </w:rPr>
              <w:t>较为乐观，将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持续扩产N型电池</w:t>
            </w:r>
            <w:r w:rsidR="00B41C12" w:rsidRPr="00274400">
              <w:rPr>
                <w:rFonts w:ascii="宋体" w:eastAsia="宋体" w:hAnsi="宋体" w:cs="宋体" w:hint="eastAsia"/>
                <w:kern w:val="0"/>
                <w:szCs w:val="21"/>
              </w:rPr>
              <w:t>产能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，以确保领先于行业。</w:t>
            </w:r>
          </w:p>
          <w:p w14:paraId="7F4F512D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20EA3631" w14:textId="75FCB046" w:rsidR="003B021C" w:rsidRPr="00274400" w:rsidRDefault="000121C4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年报中非经常性损益和资产减值增加较多，</w:t>
            </w:r>
            <w:r w:rsidR="00157E20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请问</w:t>
            </w:r>
            <w:r w:rsidR="003B021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如何理解？</w:t>
            </w:r>
          </w:p>
          <w:p w14:paraId="542DBF9B" w14:textId="72E54FB2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非经常</w:t>
            </w:r>
            <w:r w:rsidR="00E819BC" w:rsidRPr="00274400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损益主要</w:t>
            </w:r>
            <w:r w:rsidR="00374CF7" w:rsidRPr="00274400">
              <w:rPr>
                <w:rFonts w:ascii="宋体" w:eastAsia="宋体" w:hAnsi="宋体" w:cs="宋体" w:hint="eastAsia"/>
                <w:kern w:val="0"/>
                <w:szCs w:val="21"/>
              </w:rPr>
              <w:t>包括政府</w:t>
            </w:r>
            <w:r w:rsidR="00B87948" w:rsidRPr="00274400">
              <w:rPr>
                <w:rFonts w:ascii="宋体" w:eastAsia="宋体" w:hAnsi="宋体" w:cs="宋体" w:hint="eastAsia"/>
                <w:kern w:val="0"/>
                <w:szCs w:val="21"/>
              </w:rPr>
              <w:t>补贴</w:t>
            </w:r>
            <w:r w:rsidR="00374CF7" w:rsidRPr="00274400">
              <w:rPr>
                <w:rFonts w:ascii="宋体" w:eastAsia="宋体" w:hAnsi="宋体" w:cs="宋体" w:hint="eastAsia"/>
                <w:kern w:val="0"/>
                <w:szCs w:val="21"/>
              </w:rPr>
              <w:t>和汇兑收益</w:t>
            </w:r>
            <w:r w:rsidR="00B87948" w:rsidRPr="0027440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374CF7" w:rsidRPr="00274400">
              <w:rPr>
                <w:rFonts w:ascii="宋体" w:eastAsia="宋体" w:hAnsi="宋体" w:cs="宋体" w:hint="eastAsia"/>
                <w:kern w:val="0"/>
                <w:szCs w:val="21"/>
              </w:rPr>
              <w:t>在未来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仍有一定持续性。资产减值方面，在</w:t>
            </w:r>
            <w:r w:rsidR="00D974F9" w:rsidRPr="00274400">
              <w:rPr>
                <w:rFonts w:ascii="宋体" w:eastAsia="宋体" w:hAnsi="宋体" w:cs="宋体" w:hint="eastAsia"/>
                <w:kern w:val="0"/>
                <w:szCs w:val="21"/>
              </w:rPr>
              <w:t>行业产品升级过程中，公司对切片、电池的产能进行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升级改造，</w:t>
            </w:r>
            <w:r w:rsidR="001A09EA" w:rsidRPr="00274400">
              <w:rPr>
                <w:rFonts w:ascii="宋体" w:eastAsia="宋体" w:hAnsi="宋体" w:cs="宋体" w:hint="eastAsia"/>
                <w:kern w:val="0"/>
                <w:szCs w:val="21"/>
              </w:rPr>
              <w:t>因此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部分闲置设备有所减值。</w:t>
            </w:r>
          </w:p>
          <w:p w14:paraId="7A1C73EC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3098240A" w14:textId="0D03F8BB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N型BC</w:t>
            </w:r>
            <w:r w:rsidR="00B829D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钝化接触技术储备的</w:t>
            </w: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特点？</w:t>
            </w:r>
            <w:r w:rsidR="00157E20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</w:t>
            </w: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未来在这个技术路线上布局和考虑？</w:t>
            </w:r>
          </w:p>
          <w:p w14:paraId="57AB5E7C" w14:textId="28A144E9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N型BC结构电池是公司中长期开发的结构，在现有单面电池的结构下，BC</w:t>
            </w:r>
            <w:r w:rsidR="00B829DC" w:rsidRPr="00274400">
              <w:rPr>
                <w:rFonts w:ascii="宋体" w:eastAsia="宋体" w:hAnsi="宋体" w:cs="宋体" w:hint="eastAsia"/>
                <w:kern w:val="0"/>
                <w:szCs w:val="21"/>
              </w:rPr>
              <w:t>技术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的效率更高。在</w:t>
            </w:r>
            <w:r w:rsidR="00E5513F" w:rsidRPr="00274400">
              <w:rPr>
                <w:rFonts w:ascii="宋体" w:eastAsia="宋体" w:hAnsi="宋体" w:cs="宋体" w:hint="eastAsia"/>
                <w:kern w:val="0"/>
                <w:szCs w:val="21"/>
              </w:rPr>
              <w:t>N型</w:t>
            </w:r>
            <w:proofErr w:type="spellStart"/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TOPCon</w:t>
            </w:r>
            <w:proofErr w:type="spellEnd"/>
            <w:r w:rsidR="00442838" w:rsidRPr="00274400">
              <w:rPr>
                <w:rFonts w:ascii="宋体" w:eastAsia="宋体" w:hAnsi="宋体" w:cs="宋体" w:hint="eastAsia"/>
                <w:kern w:val="0"/>
                <w:szCs w:val="21"/>
              </w:rPr>
              <w:t>与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BC</w:t>
            </w:r>
            <w:r w:rsidR="00E5513F" w:rsidRPr="00274400">
              <w:rPr>
                <w:rFonts w:ascii="宋体" w:eastAsia="宋体" w:hAnsi="宋体" w:cs="宋体" w:hint="eastAsia"/>
                <w:kern w:val="0"/>
                <w:szCs w:val="21"/>
              </w:rPr>
              <w:t>电池</w:t>
            </w:r>
            <w:r w:rsidR="00442838" w:rsidRPr="00274400">
              <w:rPr>
                <w:rFonts w:ascii="宋体" w:eastAsia="宋体" w:hAnsi="宋体" w:cs="宋体" w:hint="eastAsia"/>
                <w:kern w:val="0"/>
                <w:szCs w:val="21"/>
              </w:rPr>
              <w:t>技术的结合上，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公司在做了中长期的</w:t>
            </w:r>
            <w:r w:rsidR="00442838" w:rsidRPr="00274400">
              <w:rPr>
                <w:rFonts w:ascii="宋体" w:eastAsia="宋体" w:hAnsi="宋体" w:cs="宋体" w:hint="eastAsia"/>
                <w:kern w:val="0"/>
                <w:szCs w:val="21"/>
              </w:rPr>
              <w:t>研发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布局。</w:t>
            </w:r>
          </w:p>
          <w:p w14:paraId="6454A67E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1E841BBF" w14:textId="27CF5DDB" w:rsidR="003B021C" w:rsidRPr="00274400" w:rsidRDefault="00E5513F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</w:t>
            </w:r>
            <w:r w:rsidR="003B021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TIGER NEO</w:t>
            </w: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组件</w:t>
            </w:r>
            <w:r w:rsidR="003B021C"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的功率？</w:t>
            </w:r>
          </w:p>
          <w:p w14:paraId="4D293E69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TIGER NEO组件功率平均比PERC组件高15-20W。</w:t>
            </w:r>
          </w:p>
          <w:p w14:paraId="424C1BAF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7CCEE4BC" w14:textId="77777777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N型组件中标价格的情况？定价策略是什么？</w:t>
            </w:r>
          </w:p>
          <w:p w14:paraId="2829EA2C" w14:textId="10BD558A" w:rsidR="003B021C" w:rsidRPr="00274400" w:rsidRDefault="00B87948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从单一项目来看，影响</w:t>
            </w:r>
            <w:r w:rsidR="00D45F21" w:rsidRPr="00274400">
              <w:rPr>
                <w:rFonts w:ascii="宋体" w:eastAsia="宋体" w:hAnsi="宋体" w:cs="宋体" w:hint="eastAsia"/>
                <w:kern w:val="0"/>
                <w:szCs w:val="21"/>
              </w:rPr>
              <w:t>中标价格</w:t>
            </w:r>
            <w:r w:rsidR="00442362" w:rsidRPr="00274400"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因素包括客户合作、技术条款、商务条款</w:t>
            </w:r>
            <w:r w:rsidR="00FF61A4" w:rsidRPr="00274400">
              <w:rPr>
                <w:rFonts w:ascii="宋体" w:eastAsia="宋体" w:hAnsi="宋体" w:cs="宋体" w:hint="eastAsia"/>
                <w:kern w:val="0"/>
                <w:szCs w:val="21"/>
              </w:rPr>
              <w:t>匹配等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。国内市场对N型的溢价还是有接受度的，</w:t>
            </w:r>
            <w:r w:rsidR="00D45F21" w:rsidRPr="00274400">
              <w:rPr>
                <w:rFonts w:ascii="宋体" w:eastAsia="宋体" w:hAnsi="宋体" w:cs="宋体" w:hint="eastAsia"/>
                <w:kern w:val="0"/>
                <w:szCs w:val="21"/>
              </w:rPr>
              <w:t>海外市场N型溢价更高，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预期后续会持续带来</w:t>
            </w:r>
            <w:r w:rsidR="00066DB2" w:rsidRPr="00274400">
              <w:rPr>
                <w:rFonts w:ascii="宋体" w:eastAsia="宋体" w:hAnsi="宋体" w:cs="宋体" w:hint="eastAsia"/>
                <w:kern w:val="0"/>
                <w:szCs w:val="21"/>
              </w:rPr>
              <w:t>溢价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回报，公司对</w:t>
            </w:r>
            <w:r w:rsidR="00066DB2" w:rsidRPr="00274400">
              <w:rPr>
                <w:rFonts w:ascii="宋体" w:eastAsia="宋体" w:hAnsi="宋体" w:cs="宋体" w:hint="eastAsia"/>
                <w:kern w:val="0"/>
                <w:szCs w:val="21"/>
              </w:rPr>
              <w:t>N型产品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长期溢价水平有信心。</w:t>
            </w:r>
          </w:p>
          <w:p w14:paraId="6B0966C9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62B90DD3" w14:textId="77777777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公司的</w:t>
            </w:r>
            <w:proofErr w:type="spellStart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TOPCon</w:t>
            </w:r>
            <w:proofErr w:type="spellEnd"/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领先优势能保持多久？</w:t>
            </w:r>
          </w:p>
          <w:p w14:paraId="70544B90" w14:textId="3BF4BE6F" w:rsidR="003B021C" w:rsidRPr="00274400" w:rsidRDefault="00781B7F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希望通过持续的技术投入，保证</w:t>
            </w:r>
            <w:proofErr w:type="spellStart"/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TOPCon</w:t>
            </w:r>
            <w:proofErr w:type="spellEnd"/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产品的技术领先。</w:t>
            </w:r>
            <w:r w:rsidR="00491410" w:rsidRPr="00274400">
              <w:rPr>
                <w:rFonts w:ascii="宋体" w:eastAsia="宋体" w:hAnsi="宋体" w:cs="宋体" w:hint="eastAsia"/>
                <w:kern w:val="0"/>
                <w:szCs w:val="21"/>
              </w:rPr>
              <w:t>努力争取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转换效率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到今年年底前及未来两年每年都</w:t>
            </w:r>
            <w:r w:rsidR="008109E6" w:rsidRPr="00274400">
              <w:rPr>
                <w:rFonts w:ascii="宋体" w:eastAsia="宋体" w:hAnsi="宋体" w:cs="宋体" w:hint="eastAsia"/>
                <w:kern w:val="0"/>
                <w:szCs w:val="21"/>
              </w:rPr>
              <w:t>有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稳定提升。</w:t>
            </w:r>
          </w:p>
          <w:p w14:paraId="52EEE0B4" w14:textId="49B59DAA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312F2C56" w14:textId="378CB6E2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N型硅片和P型硅片成本的差异？</w:t>
            </w:r>
          </w:p>
          <w:p w14:paraId="79C4BC00" w14:textId="6782C09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N型硅片对品质要求大幅高于P</w:t>
            </w:r>
            <w:r w:rsidR="00810E9F" w:rsidRPr="00274400">
              <w:rPr>
                <w:rFonts w:ascii="宋体" w:eastAsia="宋体" w:hAnsi="宋体" w:cs="宋体" w:hint="eastAsia"/>
                <w:kern w:val="0"/>
                <w:szCs w:val="21"/>
              </w:rPr>
              <w:t>型，对工艺、材料的要求会更高</w:t>
            </w:r>
            <w:r w:rsidR="00A25E28" w:rsidRPr="00274400">
              <w:rPr>
                <w:rFonts w:ascii="宋体" w:eastAsia="宋体" w:hAnsi="宋体" w:cs="宋体" w:hint="eastAsia"/>
                <w:kern w:val="0"/>
                <w:szCs w:val="21"/>
              </w:rPr>
              <w:t>。公司在硅片厚度减薄方面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竞争力，N型硅片</w:t>
            </w:r>
            <w:r w:rsidR="00A25E28" w:rsidRPr="00274400">
              <w:rPr>
                <w:rFonts w:ascii="宋体" w:eastAsia="宋体" w:hAnsi="宋体" w:cs="宋体" w:hint="eastAsia"/>
                <w:kern w:val="0"/>
                <w:szCs w:val="21"/>
              </w:rPr>
              <w:t>比P型厚度薄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5-10μm，</w:t>
            </w:r>
            <w:r w:rsidR="00A25E28" w:rsidRPr="00274400">
              <w:rPr>
                <w:rFonts w:ascii="宋体" w:eastAsia="宋体" w:hAnsi="宋体" w:cs="宋体" w:hint="eastAsia"/>
                <w:kern w:val="0"/>
                <w:szCs w:val="21"/>
              </w:rPr>
              <w:t>总体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成本比P型</w:t>
            </w:r>
            <w:r w:rsidR="005559A1" w:rsidRPr="00274400">
              <w:rPr>
                <w:rFonts w:ascii="宋体" w:eastAsia="宋体" w:hAnsi="宋体" w:cs="宋体" w:hint="eastAsia"/>
                <w:kern w:val="0"/>
                <w:szCs w:val="21"/>
              </w:rPr>
              <w:t>硅片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成本</w:t>
            </w:r>
            <w:r w:rsidR="00D31FD3" w:rsidRPr="00274400">
              <w:rPr>
                <w:rFonts w:ascii="宋体" w:eastAsia="宋体" w:hAnsi="宋体" w:cs="宋体" w:hint="eastAsia"/>
                <w:kern w:val="0"/>
                <w:szCs w:val="21"/>
              </w:rPr>
              <w:t>略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低一些。</w:t>
            </w:r>
          </w:p>
          <w:p w14:paraId="0B6D4743" w14:textId="77777777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14:paraId="7A53812B" w14:textId="77777777" w:rsidR="003B021C" w:rsidRPr="00274400" w:rsidRDefault="003B021C" w:rsidP="003B021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b/>
                <w:kern w:val="0"/>
                <w:szCs w:val="21"/>
              </w:rPr>
              <w:t>2022年二季度组件价格走势如何判断？各个地区对组件价格的接受度如何？</w:t>
            </w:r>
          </w:p>
          <w:p w14:paraId="708F58C9" w14:textId="70331F38" w:rsidR="003B021C" w:rsidRPr="00274400" w:rsidRDefault="003C2DC5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可以看到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t>月后中国市场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招投标、海外市场的报价都是上升的趋势，预判二季度平均销售</w:t>
            </w:r>
            <w:proofErr w:type="gramStart"/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单价环</w:t>
            </w:r>
            <w:proofErr w:type="gramEnd"/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比会有小幅上升。中长期来看，</w:t>
            </w:r>
            <w:r w:rsidR="009741EA" w:rsidRPr="00274400">
              <w:rPr>
                <w:rFonts w:ascii="宋体" w:eastAsia="宋体" w:hAnsi="宋体" w:cs="宋体" w:hint="eastAsia"/>
                <w:kern w:val="0"/>
                <w:szCs w:val="21"/>
              </w:rPr>
              <w:t>当前因为</w:t>
            </w:r>
            <w:r w:rsidR="00337DF5" w:rsidRPr="00274400">
              <w:rPr>
                <w:rFonts w:ascii="宋体" w:eastAsia="宋体" w:hAnsi="宋体" w:cs="宋体" w:hint="eastAsia"/>
                <w:kern w:val="0"/>
                <w:szCs w:val="21"/>
              </w:rPr>
              <w:t>需求旺盛和</w:t>
            </w:r>
            <w:r w:rsidR="009741EA" w:rsidRPr="00274400">
              <w:rPr>
                <w:rFonts w:ascii="宋体" w:eastAsia="宋体" w:hAnsi="宋体" w:cs="宋体" w:hint="eastAsia"/>
                <w:kern w:val="0"/>
                <w:szCs w:val="21"/>
              </w:rPr>
              <w:t>供应链</w:t>
            </w:r>
            <w:r w:rsidR="000A7538" w:rsidRPr="00274400">
              <w:rPr>
                <w:rFonts w:ascii="宋体" w:eastAsia="宋体" w:hAnsi="宋体" w:cs="宋体" w:hint="eastAsia"/>
                <w:kern w:val="0"/>
                <w:szCs w:val="21"/>
              </w:rPr>
              <w:t>价格</w:t>
            </w:r>
            <w:r w:rsidR="009741EA" w:rsidRPr="00274400">
              <w:rPr>
                <w:rFonts w:ascii="宋体" w:eastAsia="宋体" w:hAnsi="宋体" w:cs="宋体" w:hint="eastAsia"/>
                <w:kern w:val="0"/>
                <w:szCs w:val="21"/>
              </w:rPr>
              <w:t>上涨</w:t>
            </w:r>
            <w:r w:rsidR="00BE2917" w:rsidRPr="00274400">
              <w:rPr>
                <w:rFonts w:ascii="宋体" w:eastAsia="宋体" w:hAnsi="宋体" w:cs="宋体" w:hint="eastAsia"/>
                <w:kern w:val="0"/>
                <w:szCs w:val="21"/>
              </w:rPr>
              <w:t>因素</w:t>
            </w:r>
            <w:r w:rsidR="00337DF5" w:rsidRPr="00274400">
              <w:rPr>
                <w:rFonts w:ascii="宋体" w:eastAsia="宋体" w:hAnsi="宋体" w:cs="宋体" w:hint="eastAsia"/>
                <w:kern w:val="0"/>
                <w:szCs w:val="21"/>
              </w:rPr>
              <w:t>作用下形成</w:t>
            </w:r>
            <w:r w:rsidR="009741EA" w:rsidRPr="00274400">
              <w:rPr>
                <w:rFonts w:ascii="宋体" w:eastAsia="宋体" w:hAnsi="宋体" w:cs="宋体" w:hint="eastAsia"/>
                <w:kern w:val="0"/>
                <w:szCs w:val="21"/>
              </w:rPr>
              <w:t>的组件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价格已经被绝大多数的市场接纳，因此公司对今年</w:t>
            </w:r>
            <w:r w:rsidR="00D81A02" w:rsidRPr="00274400">
              <w:rPr>
                <w:rFonts w:ascii="宋体" w:eastAsia="宋体" w:hAnsi="宋体" w:cs="宋体" w:hint="eastAsia"/>
                <w:kern w:val="0"/>
                <w:szCs w:val="21"/>
              </w:rPr>
              <w:t>总体</w:t>
            </w:r>
            <w:r w:rsidR="003B021C" w:rsidRPr="00274400">
              <w:rPr>
                <w:rFonts w:ascii="宋体" w:eastAsia="宋体" w:hAnsi="宋体" w:cs="宋体" w:hint="eastAsia"/>
                <w:kern w:val="0"/>
                <w:szCs w:val="21"/>
              </w:rPr>
              <w:t>需求持乐观态度。</w:t>
            </w:r>
          </w:p>
          <w:p w14:paraId="0B918E44" w14:textId="5C2E2128" w:rsidR="003B021C" w:rsidRPr="00274400" w:rsidRDefault="003B021C" w:rsidP="003B021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7440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274400" w:rsidRPr="00274400" w14:paraId="1DAFC11C" w14:textId="77777777" w:rsidTr="00D927D8">
        <w:trPr>
          <w:trHeight w:val="77"/>
        </w:trPr>
        <w:tc>
          <w:tcPr>
            <w:tcW w:w="1838" w:type="dxa"/>
            <w:vAlign w:val="center"/>
          </w:tcPr>
          <w:p w14:paraId="55A00547" w14:textId="77777777" w:rsidR="00027983" w:rsidRPr="00274400" w:rsidRDefault="00027983" w:rsidP="00027983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lastRenderedPageBreak/>
              <w:t>附件</w:t>
            </w:r>
            <w:r w:rsidRPr="00274400">
              <w:rPr>
                <w:rFonts w:ascii="宋体" w:eastAsia="宋体" w:hAnsi="宋体" w:cs="Times New Roman"/>
                <w:b/>
                <w:bCs/>
                <w:sz w:val="22"/>
              </w:rPr>
              <w:t>清单</w:t>
            </w:r>
          </w:p>
          <w:p w14:paraId="76F75E5D" w14:textId="77777777" w:rsidR="00027983" w:rsidRPr="00274400" w:rsidRDefault="00027983" w:rsidP="00027983">
            <w:pPr>
              <w:spacing w:line="360" w:lineRule="exact"/>
              <w:jc w:val="center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（</w:t>
            </w:r>
            <w:r w:rsidRPr="00274400">
              <w:rPr>
                <w:rFonts w:ascii="宋体" w:eastAsia="宋体" w:hAnsi="宋体" w:cs="Times New Roman"/>
                <w:b/>
                <w:bCs/>
                <w:sz w:val="22"/>
              </w:rPr>
              <w:t>如有）</w:t>
            </w:r>
          </w:p>
        </w:tc>
        <w:tc>
          <w:tcPr>
            <w:tcW w:w="6458" w:type="dxa"/>
            <w:vAlign w:val="center"/>
          </w:tcPr>
          <w:p w14:paraId="0AEC135E" w14:textId="280D43E0" w:rsidR="00027983" w:rsidRPr="00274400" w:rsidRDefault="00027983" w:rsidP="00027983">
            <w:pPr>
              <w:spacing w:line="360" w:lineRule="exact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>无</w:t>
            </w:r>
          </w:p>
        </w:tc>
      </w:tr>
      <w:tr w:rsidR="00027983" w:rsidRPr="00274400" w14:paraId="2C1D12A0" w14:textId="77777777" w:rsidTr="00D927D8">
        <w:trPr>
          <w:trHeight w:val="77"/>
        </w:trPr>
        <w:tc>
          <w:tcPr>
            <w:tcW w:w="1838" w:type="dxa"/>
            <w:vAlign w:val="center"/>
          </w:tcPr>
          <w:p w14:paraId="60DB44FC" w14:textId="2AF42D0B" w:rsidR="00027983" w:rsidRPr="00274400" w:rsidRDefault="00027983" w:rsidP="00027983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b/>
                <w:bCs/>
                <w:sz w:val="22"/>
              </w:rPr>
              <w:t>日期</w:t>
            </w:r>
          </w:p>
        </w:tc>
        <w:tc>
          <w:tcPr>
            <w:tcW w:w="6458" w:type="dxa"/>
            <w:vAlign w:val="center"/>
          </w:tcPr>
          <w:p w14:paraId="56F26517" w14:textId="3EC3D8A0" w:rsidR="00027983" w:rsidRPr="00274400" w:rsidRDefault="007A76E3" w:rsidP="0046353E">
            <w:pPr>
              <w:spacing w:line="360" w:lineRule="exact"/>
              <w:rPr>
                <w:rFonts w:ascii="宋体" w:eastAsia="宋体" w:hAnsi="宋体" w:cs="Times New Roman"/>
                <w:sz w:val="22"/>
              </w:rPr>
            </w:pPr>
            <w:r w:rsidRPr="00274400">
              <w:rPr>
                <w:rFonts w:ascii="宋体" w:eastAsia="宋体" w:hAnsi="宋体" w:cs="Times New Roman" w:hint="eastAsia"/>
                <w:sz w:val="22"/>
              </w:rPr>
              <w:t>2</w:t>
            </w:r>
            <w:r w:rsidRPr="00274400">
              <w:rPr>
                <w:rFonts w:ascii="宋体" w:eastAsia="宋体" w:hAnsi="宋体" w:cs="Times New Roman"/>
                <w:sz w:val="22"/>
              </w:rPr>
              <w:t>02</w:t>
            </w:r>
            <w:r w:rsidR="00EF6AEF" w:rsidRPr="00274400">
              <w:rPr>
                <w:rFonts w:ascii="宋体" w:eastAsia="宋体" w:hAnsi="宋体" w:cs="Times New Roman"/>
                <w:sz w:val="22"/>
              </w:rPr>
              <w:t>1</w:t>
            </w:r>
            <w:r w:rsidRPr="00274400">
              <w:rPr>
                <w:rFonts w:ascii="宋体" w:eastAsia="宋体" w:hAnsi="宋体" w:cs="Times New Roman" w:hint="eastAsia"/>
                <w:sz w:val="22"/>
              </w:rPr>
              <w:t>年</w:t>
            </w:r>
            <w:r w:rsidR="001C2E4E" w:rsidRPr="00274400">
              <w:rPr>
                <w:rFonts w:ascii="宋体" w:eastAsia="宋体" w:hAnsi="宋体" w:cs="Times New Roman"/>
                <w:sz w:val="22"/>
              </w:rPr>
              <w:t>4</w:t>
            </w:r>
            <w:r w:rsidRPr="00274400">
              <w:rPr>
                <w:rFonts w:ascii="宋体" w:eastAsia="宋体" w:hAnsi="宋体" w:cs="Times New Roman" w:hint="eastAsia"/>
                <w:sz w:val="22"/>
              </w:rPr>
              <w:t>月</w:t>
            </w:r>
            <w:r w:rsidR="001C2E4E" w:rsidRPr="00274400">
              <w:rPr>
                <w:rFonts w:ascii="宋体" w:eastAsia="宋体" w:hAnsi="宋体" w:cs="Times New Roman" w:hint="eastAsia"/>
                <w:sz w:val="22"/>
              </w:rPr>
              <w:t>2</w:t>
            </w:r>
            <w:r w:rsidR="001C2E4E" w:rsidRPr="00274400">
              <w:rPr>
                <w:rFonts w:ascii="宋体" w:eastAsia="宋体" w:hAnsi="宋体" w:cs="Times New Roman"/>
                <w:sz w:val="22"/>
              </w:rPr>
              <w:t>3</w:t>
            </w:r>
            <w:r w:rsidRPr="00274400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</w:tr>
      <w:bookmarkEnd w:id="0"/>
    </w:tbl>
    <w:p w14:paraId="411C954F" w14:textId="1079BFD4" w:rsidR="000971E0" w:rsidRPr="00274400" w:rsidRDefault="000971E0">
      <w:pPr>
        <w:rPr>
          <w:rFonts w:ascii="宋体" w:eastAsia="宋体" w:hAnsi="宋体"/>
          <w:sz w:val="20"/>
        </w:rPr>
      </w:pPr>
    </w:p>
    <w:sectPr w:rsidR="000971E0" w:rsidRPr="00274400" w:rsidSect="00F302D5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9BB4" w14:textId="77777777" w:rsidR="007E6546" w:rsidRDefault="007E6546">
      <w:r>
        <w:separator/>
      </w:r>
    </w:p>
  </w:endnote>
  <w:endnote w:type="continuationSeparator" w:id="0">
    <w:p w14:paraId="60FEBDBB" w14:textId="77777777" w:rsidR="007E6546" w:rsidRDefault="007E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微软雅黑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F3E7C" w14:textId="77777777" w:rsidR="007E6546" w:rsidRDefault="007E6546">
      <w:r>
        <w:separator/>
      </w:r>
    </w:p>
  </w:footnote>
  <w:footnote w:type="continuationSeparator" w:id="0">
    <w:p w14:paraId="4127CB45" w14:textId="77777777" w:rsidR="007E6546" w:rsidRDefault="007E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2039" w14:textId="4439B024" w:rsidR="00027983" w:rsidRPr="0089250B" w:rsidRDefault="00027983">
    <w:pPr>
      <w:pStyle w:val="a6"/>
      <w:rPr>
        <w:rFonts w:ascii="宋体" w:eastAsia="宋体" w:hAnsi="宋体"/>
      </w:rPr>
    </w:pPr>
    <w:r w:rsidRPr="0089250B">
      <w:rPr>
        <w:rFonts w:ascii="宋体" w:eastAsia="宋体" w:hAnsi="宋体" w:hint="eastAsia"/>
      </w:rPr>
      <w:t>证券代码：6</w:t>
    </w:r>
    <w:r w:rsidR="001C2E4E">
      <w:rPr>
        <w:rFonts w:ascii="宋体" w:eastAsia="宋体" w:hAnsi="宋体"/>
      </w:rPr>
      <w:t>88223</w:t>
    </w:r>
    <w:r w:rsidRPr="0089250B">
      <w:rPr>
        <w:rFonts w:ascii="宋体" w:eastAsia="宋体" w:hAnsi="宋体"/>
      </w:rPr>
      <w:ptab w:relativeTo="margin" w:alignment="center" w:leader="none"/>
    </w:r>
    <w:r w:rsidRPr="0089250B">
      <w:rPr>
        <w:rFonts w:ascii="宋体" w:eastAsia="宋体" w:hAnsi="宋体"/>
      </w:rPr>
      <w:ptab w:relativeTo="margin" w:alignment="right" w:leader="none"/>
    </w:r>
    <w:r w:rsidR="001C2E4E">
      <w:rPr>
        <w:rFonts w:ascii="宋体" w:eastAsia="宋体" w:hAnsi="宋体" w:hint="eastAsia"/>
      </w:rPr>
      <w:t>证券简称：</w:t>
    </w:r>
    <w:proofErr w:type="gramStart"/>
    <w:r w:rsidR="001C2E4E">
      <w:rPr>
        <w:rFonts w:ascii="宋体" w:eastAsia="宋体" w:hAnsi="宋体" w:hint="eastAsia"/>
      </w:rPr>
      <w:t>晶科能源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B18"/>
    <w:multiLevelType w:val="hybridMultilevel"/>
    <w:tmpl w:val="A056A7D0"/>
    <w:lvl w:ilvl="0" w:tplc="A2703FEC">
      <w:start w:val="1"/>
      <w:numFmt w:val="japaneseCounting"/>
      <w:lvlText w:val="%1、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C4C44FF"/>
    <w:multiLevelType w:val="hybridMultilevel"/>
    <w:tmpl w:val="5B2E48F4"/>
    <w:lvl w:ilvl="0" w:tplc="2F983B6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2443543B"/>
    <w:multiLevelType w:val="hybridMultilevel"/>
    <w:tmpl w:val="36EA4050"/>
    <w:lvl w:ilvl="0" w:tplc="79F2B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14978"/>
    <w:multiLevelType w:val="hybridMultilevel"/>
    <w:tmpl w:val="1A0ED1BA"/>
    <w:lvl w:ilvl="0" w:tplc="1FECFDCC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F6F78B8"/>
    <w:multiLevelType w:val="hybridMultilevel"/>
    <w:tmpl w:val="5ADE604E"/>
    <w:lvl w:ilvl="0" w:tplc="1778B05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5" w15:restartNumberingAfterBreak="0">
    <w:nsid w:val="2F796892"/>
    <w:multiLevelType w:val="hybridMultilevel"/>
    <w:tmpl w:val="553EC7DC"/>
    <w:lvl w:ilvl="0" w:tplc="88FA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1F716AF"/>
    <w:multiLevelType w:val="hybridMultilevel"/>
    <w:tmpl w:val="6C6E31BC"/>
    <w:lvl w:ilvl="0" w:tplc="329609C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3B0D1513"/>
    <w:multiLevelType w:val="hybridMultilevel"/>
    <w:tmpl w:val="9F62DF94"/>
    <w:lvl w:ilvl="0" w:tplc="BB20449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4B165324"/>
    <w:multiLevelType w:val="hybridMultilevel"/>
    <w:tmpl w:val="9ADEC2AE"/>
    <w:lvl w:ilvl="0" w:tplc="281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303852"/>
    <w:multiLevelType w:val="hybridMultilevel"/>
    <w:tmpl w:val="F244A9DA"/>
    <w:lvl w:ilvl="0" w:tplc="C8D0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1DF0FA6"/>
    <w:multiLevelType w:val="hybridMultilevel"/>
    <w:tmpl w:val="230CF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E610AF"/>
    <w:multiLevelType w:val="hybridMultilevel"/>
    <w:tmpl w:val="3926AF82"/>
    <w:lvl w:ilvl="0" w:tplc="9A24022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2" w15:restartNumberingAfterBreak="0">
    <w:nsid w:val="646A04DB"/>
    <w:multiLevelType w:val="hybridMultilevel"/>
    <w:tmpl w:val="E8B87F86"/>
    <w:lvl w:ilvl="0" w:tplc="2AE8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F107782"/>
    <w:multiLevelType w:val="hybridMultilevel"/>
    <w:tmpl w:val="FCD2B28A"/>
    <w:lvl w:ilvl="0" w:tplc="72F49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F6"/>
    <w:rsid w:val="000121C4"/>
    <w:rsid w:val="00027983"/>
    <w:rsid w:val="00050D7D"/>
    <w:rsid w:val="00050F62"/>
    <w:rsid w:val="00064BE5"/>
    <w:rsid w:val="00066DB2"/>
    <w:rsid w:val="00071508"/>
    <w:rsid w:val="00082E2E"/>
    <w:rsid w:val="00095562"/>
    <w:rsid w:val="000971E0"/>
    <w:rsid w:val="000A7538"/>
    <w:rsid w:val="000B1214"/>
    <w:rsid w:val="000B130E"/>
    <w:rsid w:val="000D1531"/>
    <w:rsid w:val="000D2DAB"/>
    <w:rsid w:val="001217AD"/>
    <w:rsid w:val="00124A62"/>
    <w:rsid w:val="001276AE"/>
    <w:rsid w:val="0013199C"/>
    <w:rsid w:val="00133E52"/>
    <w:rsid w:val="00157E20"/>
    <w:rsid w:val="00162C87"/>
    <w:rsid w:val="00170970"/>
    <w:rsid w:val="001854E9"/>
    <w:rsid w:val="00186C6F"/>
    <w:rsid w:val="001A09EA"/>
    <w:rsid w:val="001A2DB6"/>
    <w:rsid w:val="001A3BD7"/>
    <w:rsid w:val="001A67D8"/>
    <w:rsid w:val="001B4888"/>
    <w:rsid w:val="001C295B"/>
    <w:rsid w:val="001C2E4E"/>
    <w:rsid w:val="001D1072"/>
    <w:rsid w:val="001D71AA"/>
    <w:rsid w:val="001E4764"/>
    <w:rsid w:val="001E55CE"/>
    <w:rsid w:val="001F43C2"/>
    <w:rsid w:val="0020227A"/>
    <w:rsid w:val="002055B2"/>
    <w:rsid w:val="00207D0F"/>
    <w:rsid w:val="00216477"/>
    <w:rsid w:val="00223383"/>
    <w:rsid w:val="00226B4E"/>
    <w:rsid w:val="002378D8"/>
    <w:rsid w:val="00270E7E"/>
    <w:rsid w:val="00274400"/>
    <w:rsid w:val="0028017B"/>
    <w:rsid w:val="00290BB5"/>
    <w:rsid w:val="002A1623"/>
    <w:rsid w:val="002F70B5"/>
    <w:rsid w:val="002F7539"/>
    <w:rsid w:val="003065C3"/>
    <w:rsid w:val="0031222F"/>
    <w:rsid w:val="003126C1"/>
    <w:rsid w:val="00333EFB"/>
    <w:rsid w:val="00337DF5"/>
    <w:rsid w:val="00344E7F"/>
    <w:rsid w:val="00364AB3"/>
    <w:rsid w:val="00367F53"/>
    <w:rsid w:val="003716F9"/>
    <w:rsid w:val="00372E05"/>
    <w:rsid w:val="00374CF7"/>
    <w:rsid w:val="003A01A7"/>
    <w:rsid w:val="003A4DDB"/>
    <w:rsid w:val="003B021C"/>
    <w:rsid w:val="003C2DC5"/>
    <w:rsid w:val="003D664C"/>
    <w:rsid w:val="003E2935"/>
    <w:rsid w:val="00407BEE"/>
    <w:rsid w:val="004104AE"/>
    <w:rsid w:val="00410C08"/>
    <w:rsid w:val="00441A4E"/>
    <w:rsid w:val="00442362"/>
    <w:rsid w:val="00442838"/>
    <w:rsid w:val="00447E9A"/>
    <w:rsid w:val="00450BE6"/>
    <w:rsid w:val="004523E5"/>
    <w:rsid w:val="0046353E"/>
    <w:rsid w:val="00470E9A"/>
    <w:rsid w:val="0047698E"/>
    <w:rsid w:val="00486B50"/>
    <w:rsid w:val="00491410"/>
    <w:rsid w:val="004A2737"/>
    <w:rsid w:val="004A6937"/>
    <w:rsid w:val="00507F63"/>
    <w:rsid w:val="00513FBA"/>
    <w:rsid w:val="00515F1C"/>
    <w:rsid w:val="00521B75"/>
    <w:rsid w:val="0052664D"/>
    <w:rsid w:val="005445F5"/>
    <w:rsid w:val="005559A1"/>
    <w:rsid w:val="00565297"/>
    <w:rsid w:val="00586AB0"/>
    <w:rsid w:val="00590094"/>
    <w:rsid w:val="005A1BCA"/>
    <w:rsid w:val="005B1DFE"/>
    <w:rsid w:val="005C0D11"/>
    <w:rsid w:val="005D1C17"/>
    <w:rsid w:val="005D76D0"/>
    <w:rsid w:val="005F141B"/>
    <w:rsid w:val="005F7772"/>
    <w:rsid w:val="0062025D"/>
    <w:rsid w:val="00626C24"/>
    <w:rsid w:val="00633381"/>
    <w:rsid w:val="006364F2"/>
    <w:rsid w:val="0065021A"/>
    <w:rsid w:val="00651F36"/>
    <w:rsid w:val="0066615A"/>
    <w:rsid w:val="006726E0"/>
    <w:rsid w:val="006761E6"/>
    <w:rsid w:val="00696C65"/>
    <w:rsid w:val="006F29C4"/>
    <w:rsid w:val="00701518"/>
    <w:rsid w:val="007328AA"/>
    <w:rsid w:val="00734EC9"/>
    <w:rsid w:val="00781B7F"/>
    <w:rsid w:val="00790A89"/>
    <w:rsid w:val="007A76E3"/>
    <w:rsid w:val="007C31C1"/>
    <w:rsid w:val="007C3789"/>
    <w:rsid w:val="007D530A"/>
    <w:rsid w:val="007E0003"/>
    <w:rsid w:val="007E6546"/>
    <w:rsid w:val="007F2B15"/>
    <w:rsid w:val="00804ADB"/>
    <w:rsid w:val="00804DE4"/>
    <w:rsid w:val="008109E6"/>
    <w:rsid w:val="00810E9F"/>
    <w:rsid w:val="00823D01"/>
    <w:rsid w:val="008250DE"/>
    <w:rsid w:val="00826079"/>
    <w:rsid w:val="00885B40"/>
    <w:rsid w:val="0089250B"/>
    <w:rsid w:val="00897A9D"/>
    <w:rsid w:val="008B0295"/>
    <w:rsid w:val="008B764F"/>
    <w:rsid w:val="008C027A"/>
    <w:rsid w:val="008D2F49"/>
    <w:rsid w:val="008E3189"/>
    <w:rsid w:val="008E6639"/>
    <w:rsid w:val="008F63AD"/>
    <w:rsid w:val="009004E7"/>
    <w:rsid w:val="00902833"/>
    <w:rsid w:val="0090511E"/>
    <w:rsid w:val="00913B1D"/>
    <w:rsid w:val="00916B27"/>
    <w:rsid w:val="00940F7C"/>
    <w:rsid w:val="009413A3"/>
    <w:rsid w:val="00961892"/>
    <w:rsid w:val="00963367"/>
    <w:rsid w:val="00965EAE"/>
    <w:rsid w:val="00967CC8"/>
    <w:rsid w:val="00970EF0"/>
    <w:rsid w:val="009741EA"/>
    <w:rsid w:val="00987302"/>
    <w:rsid w:val="009955CA"/>
    <w:rsid w:val="009B7D35"/>
    <w:rsid w:val="009C4244"/>
    <w:rsid w:val="009C6013"/>
    <w:rsid w:val="009D38F0"/>
    <w:rsid w:val="009E3C92"/>
    <w:rsid w:val="009F6D8F"/>
    <w:rsid w:val="00A016AD"/>
    <w:rsid w:val="00A01E26"/>
    <w:rsid w:val="00A07BC9"/>
    <w:rsid w:val="00A25E28"/>
    <w:rsid w:val="00A31DAD"/>
    <w:rsid w:val="00A5109B"/>
    <w:rsid w:val="00A644DC"/>
    <w:rsid w:val="00A747DF"/>
    <w:rsid w:val="00A80CB0"/>
    <w:rsid w:val="00A81C51"/>
    <w:rsid w:val="00A83D07"/>
    <w:rsid w:val="00AC060B"/>
    <w:rsid w:val="00AC69EB"/>
    <w:rsid w:val="00AE3BEF"/>
    <w:rsid w:val="00AF74EF"/>
    <w:rsid w:val="00B10A42"/>
    <w:rsid w:val="00B275E5"/>
    <w:rsid w:val="00B41C12"/>
    <w:rsid w:val="00B42F3D"/>
    <w:rsid w:val="00B57C56"/>
    <w:rsid w:val="00B658AF"/>
    <w:rsid w:val="00B73ADC"/>
    <w:rsid w:val="00B8229A"/>
    <w:rsid w:val="00B829DC"/>
    <w:rsid w:val="00B87948"/>
    <w:rsid w:val="00BA4F14"/>
    <w:rsid w:val="00BC0989"/>
    <w:rsid w:val="00BD4097"/>
    <w:rsid w:val="00BE00B1"/>
    <w:rsid w:val="00BE0EED"/>
    <w:rsid w:val="00BE2917"/>
    <w:rsid w:val="00BF603E"/>
    <w:rsid w:val="00C01B19"/>
    <w:rsid w:val="00C0724F"/>
    <w:rsid w:val="00C079D7"/>
    <w:rsid w:val="00C130AB"/>
    <w:rsid w:val="00C15B17"/>
    <w:rsid w:val="00C24E88"/>
    <w:rsid w:val="00C3257E"/>
    <w:rsid w:val="00C403B9"/>
    <w:rsid w:val="00C46707"/>
    <w:rsid w:val="00C500E8"/>
    <w:rsid w:val="00C51214"/>
    <w:rsid w:val="00C670E0"/>
    <w:rsid w:val="00C71E0C"/>
    <w:rsid w:val="00C73F21"/>
    <w:rsid w:val="00C81AEE"/>
    <w:rsid w:val="00CA05E7"/>
    <w:rsid w:val="00CA4DB0"/>
    <w:rsid w:val="00CA5C16"/>
    <w:rsid w:val="00CC6431"/>
    <w:rsid w:val="00CE2BF6"/>
    <w:rsid w:val="00D159F1"/>
    <w:rsid w:val="00D172E2"/>
    <w:rsid w:val="00D21B68"/>
    <w:rsid w:val="00D31FD3"/>
    <w:rsid w:val="00D433F3"/>
    <w:rsid w:val="00D45F21"/>
    <w:rsid w:val="00D81A02"/>
    <w:rsid w:val="00D81EAF"/>
    <w:rsid w:val="00D84BA2"/>
    <w:rsid w:val="00D90E2C"/>
    <w:rsid w:val="00D974F9"/>
    <w:rsid w:val="00DA1B06"/>
    <w:rsid w:val="00DB760E"/>
    <w:rsid w:val="00DC16A6"/>
    <w:rsid w:val="00DD4AC4"/>
    <w:rsid w:val="00DE340E"/>
    <w:rsid w:val="00E137A4"/>
    <w:rsid w:val="00E425A1"/>
    <w:rsid w:val="00E42829"/>
    <w:rsid w:val="00E50FA3"/>
    <w:rsid w:val="00E5513F"/>
    <w:rsid w:val="00E819BC"/>
    <w:rsid w:val="00E83405"/>
    <w:rsid w:val="00E90D0D"/>
    <w:rsid w:val="00EB14B2"/>
    <w:rsid w:val="00ED158A"/>
    <w:rsid w:val="00EE6956"/>
    <w:rsid w:val="00EF6AEF"/>
    <w:rsid w:val="00F0175E"/>
    <w:rsid w:val="00F229D9"/>
    <w:rsid w:val="00F25AF2"/>
    <w:rsid w:val="00F302D5"/>
    <w:rsid w:val="00F56CF5"/>
    <w:rsid w:val="00F57369"/>
    <w:rsid w:val="00F62529"/>
    <w:rsid w:val="00F676BC"/>
    <w:rsid w:val="00F70CA7"/>
    <w:rsid w:val="00F71553"/>
    <w:rsid w:val="00F85411"/>
    <w:rsid w:val="00FB19DB"/>
    <w:rsid w:val="00FB3E0E"/>
    <w:rsid w:val="00FB533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364F"/>
  <w15:chartTrackingRefBased/>
  <w15:docId w15:val="{3DBCE95F-0B94-48F8-BD72-3CAB83F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E2BF6"/>
    <w:rPr>
      <w:sz w:val="18"/>
      <w:szCs w:val="18"/>
    </w:rPr>
  </w:style>
  <w:style w:type="paragraph" w:customStyle="1" w:styleId="Default">
    <w:name w:val="Default"/>
    <w:rsid w:val="00CE2B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1">
    <w:name w:val="网格型1"/>
    <w:basedOn w:val="a1"/>
    <w:next w:val="a5"/>
    <w:uiPriority w:val="39"/>
    <w:rsid w:val="00C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00E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28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2829"/>
    <w:rPr>
      <w:sz w:val="18"/>
      <w:szCs w:val="18"/>
    </w:rPr>
  </w:style>
  <w:style w:type="paragraph" w:styleId="aa">
    <w:name w:val="List Paragraph"/>
    <w:basedOn w:val="a"/>
    <w:uiPriority w:val="99"/>
    <w:qFormat/>
    <w:rsid w:val="0013199C"/>
    <w:pPr>
      <w:ind w:firstLineChars="200" w:firstLine="420"/>
    </w:pPr>
  </w:style>
  <w:style w:type="paragraph" w:styleId="ab">
    <w:name w:val="Title"/>
    <w:basedOn w:val="a"/>
    <w:next w:val="a"/>
    <w:link w:val="ac"/>
    <w:uiPriority w:val="10"/>
    <w:qFormat/>
    <w:rsid w:val="009E3C92"/>
    <w:pPr>
      <w:spacing w:before="120" w:after="120"/>
      <w:ind w:firstLineChars="200" w:firstLine="200"/>
      <w:jc w:val="left"/>
      <w:outlineLvl w:val="0"/>
    </w:pPr>
    <w:rPr>
      <w:rFonts w:asciiTheme="majorHAnsi" w:hAnsiTheme="majorHAnsi" w:cstheme="majorBidi"/>
      <w:bCs/>
      <w:szCs w:val="32"/>
    </w:rPr>
  </w:style>
  <w:style w:type="character" w:customStyle="1" w:styleId="ac">
    <w:name w:val="标题 字符"/>
    <w:basedOn w:val="a0"/>
    <w:link w:val="ab"/>
    <w:uiPriority w:val="10"/>
    <w:rsid w:val="009E3C92"/>
    <w:rPr>
      <w:rFonts w:asciiTheme="majorHAnsi" w:hAnsiTheme="majorHAnsi" w:cstheme="majorBidi"/>
      <w:bCs/>
      <w:szCs w:val="32"/>
    </w:rPr>
  </w:style>
  <w:style w:type="paragraph" w:styleId="ad">
    <w:name w:val="Normal (Web)"/>
    <w:basedOn w:val="a"/>
    <w:uiPriority w:val="99"/>
    <w:semiHidden/>
    <w:unhideWhenUsed/>
    <w:rsid w:val="004A2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26079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826079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8260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607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826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olivia</dc:creator>
  <cp:keywords/>
  <dc:description/>
  <cp:lastModifiedBy>魏添 Victor</cp:lastModifiedBy>
  <cp:revision>97</cp:revision>
  <cp:lastPrinted>2020-06-19T01:05:00Z</cp:lastPrinted>
  <dcterms:created xsi:type="dcterms:W3CDTF">2022-04-27T06:37:00Z</dcterms:created>
  <dcterms:modified xsi:type="dcterms:W3CDTF">2022-04-27T16:01:00Z</dcterms:modified>
</cp:coreProperties>
</file>