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0" w:line="259" w:lineRule="auto"/>
        <w:jc w:val="left"/>
        <w:rPr>
          <w:rFonts w:hint="eastAsia" w:ascii="Calibri" w:hAnsi="Calibri" w:eastAsia="宋体" w:cs="Calibri"/>
          <w:b/>
          <w:color w:val="000000"/>
          <w:sz w:val="22"/>
          <w:lang w:eastAsia="zh-CN"/>
        </w:rPr>
      </w:pPr>
      <w:r>
        <w:rPr>
          <w:rFonts w:hint="eastAsia" w:ascii="宋体" w:hAnsi="宋体" w:eastAsia="宋体" w:cs="宋体"/>
          <w:b/>
          <w:color w:val="000000"/>
          <w:sz w:val="24"/>
        </w:rPr>
        <w:t>证券代码：</w:t>
      </w:r>
      <w:r>
        <w:rPr>
          <w:rFonts w:ascii="宋体" w:hAnsi="宋体" w:eastAsia="宋体" w:cs="宋体"/>
          <w:b/>
          <w:color w:val="000000"/>
          <w:sz w:val="24"/>
        </w:rPr>
        <w:t>688</w:t>
      </w:r>
      <w:r>
        <w:rPr>
          <w:rFonts w:hint="eastAsia" w:ascii="宋体" w:hAnsi="宋体" w:eastAsia="宋体" w:cs="宋体"/>
          <w:b/>
          <w:color w:val="000000"/>
          <w:sz w:val="24"/>
          <w:lang w:val="en-US" w:eastAsia="zh-CN"/>
        </w:rPr>
        <w:t>707</w:t>
      </w:r>
      <w:r>
        <w:rPr>
          <w:rFonts w:ascii="宋体" w:hAnsi="宋体" w:eastAsia="宋体" w:cs="宋体"/>
          <w:b/>
          <w:color w:val="000000"/>
          <w:sz w:val="24"/>
        </w:rPr>
        <w:t xml:space="preserve">          </w:t>
      </w:r>
      <w:r>
        <w:rPr>
          <w:rFonts w:hint="eastAsia" w:ascii="宋体" w:hAnsi="宋体" w:eastAsia="宋体" w:cs="宋体"/>
          <w:b/>
          <w:color w:val="000000"/>
          <w:sz w:val="24"/>
        </w:rPr>
        <w:t>证券简称：</w:t>
      </w:r>
      <w:r>
        <w:rPr>
          <w:rFonts w:hint="eastAsia" w:ascii="宋体" w:hAnsi="宋体" w:eastAsia="宋体" w:cs="宋体"/>
          <w:b/>
          <w:color w:val="000000"/>
          <w:sz w:val="24"/>
          <w:lang w:val="en-US" w:eastAsia="zh-CN"/>
        </w:rPr>
        <w:t>振华新材</w:t>
      </w:r>
      <w:r>
        <w:rPr>
          <w:rFonts w:ascii="宋体" w:hAnsi="宋体" w:eastAsia="宋体" w:cs="宋体"/>
          <w:b/>
          <w:color w:val="000000"/>
          <w:sz w:val="24"/>
        </w:rPr>
        <w:t xml:space="preserve">          </w:t>
      </w:r>
      <w:r>
        <w:rPr>
          <w:rFonts w:hint="eastAsia" w:ascii="宋体" w:hAnsi="宋体" w:eastAsia="宋体" w:cs="宋体"/>
          <w:b/>
          <w:color w:val="000000"/>
          <w:sz w:val="24"/>
        </w:rPr>
        <w:t>编号：</w:t>
      </w:r>
      <w:r>
        <w:rPr>
          <w:rFonts w:ascii="宋体" w:hAnsi="宋体" w:eastAsia="宋体" w:cs="宋体"/>
          <w:b/>
          <w:color w:val="000000"/>
          <w:sz w:val="24"/>
        </w:rPr>
        <w:t>202</w:t>
      </w:r>
      <w:r>
        <w:rPr>
          <w:rFonts w:hint="eastAsia" w:ascii="宋体" w:hAnsi="宋体" w:eastAsia="宋体" w:cs="宋体"/>
          <w:b/>
          <w:color w:val="000000"/>
          <w:sz w:val="24"/>
          <w:lang w:val="en-US" w:eastAsia="zh-CN"/>
        </w:rPr>
        <w:t>2</w:t>
      </w:r>
      <w:r>
        <w:rPr>
          <w:rFonts w:ascii="宋体" w:hAnsi="宋体" w:eastAsia="宋体" w:cs="宋体"/>
          <w:b/>
          <w:color w:val="000000"/>
          <w:sz w:val="24"/>
        </w:rPr>
        <w:t>-00</w:t>
      </w:r>
      <w:r>
        <w:rPr>
          <w:rFonts w:hint="eastAsia" w:ascii="宋体" w:hAnsi="宋体" w:eastAsia="宋体" w:cs="宋体"/>
          <w:b/>
          <w:color w:val="000000"/>
          <w:sz w:val="24"/>
          <w:lang w:val="en-US" w:eastAsia="zh-CN"/>
        </w:rPr>
        <w:t>3</w:t>
      </w:r>
    </w:p>
    <w:p>
      <w:pPr>
        <w:widowControl/>
        <w:spacing w:after="217" w:line="259" w:lineRule="auto"/>
        <w:ind w:left="4153"/>
        <w:jc w:val="left"/>
        <w:rPr>
          <w:rFonts w:ascii="Calibri" w:hAnsi="Calibri" w:eastAsia="Times New Roman" w:cs="Calibri"/>
          <w:color w:val="000000"/>
          <w:sz w:val="22"/>
        </w:rPr>
      </w:pPr>
      <w:r>
        <w:rPr>
          <w:rFonts w:ascii="宋体" w:hAnsi="宋体" w:eastAsia="宋体" w:cs="宋体"/>
          <w:color w:val="000000"/>
          <w:sz w:val="24"/>
        </w:rPr>
        <w:t xml:space="preserve"> </w:t>
      </w:r>
    </w:p>
    <w:p>
      <w:pPr>
        <w:widowControl/>
        <w:spacing w:line="259" w:lineRule="auto"/>
        <w:jc w:val="center"/>
        <w:rPr>
          <w:rFonts w:ascii="宋体" w:hAnsi="宋体" w:eastAsia="宋体" w:cs="宋体"/>
          <w:b/>
          <w:color w:val="000000"/>
          <w:sz w:val="32"/>
        </w:rPr>
      </w:pPr>
      <w:r>
        <w:rPr>
          <w:rFonts w:hint="eastAsia" w:ascii="宋体" w:hAnsi="宋体" w:eastAsia="宋体" w:cs="宋体"/>
          <w:b/>
          <w:color w:val="000000"/>
          <w:sz w:val="32"/>
          <w:lang w:val="en-US" w:eastAsia="zh-CN"/>
        </w:rPr>
        <w:t>贵州振华新材料</w:t>
      </w:r>
      <w:r>
        <w:rPr>
          <w:rFonts w:hint="eastAsia" w:ascii="宋体" w:hAnsi="宋体" w:eastAsia="宋体" w:cs="宋体"/>
          <w:b/>
          <w:color w:val="000000"/>
          <w:sz w:val="32"/>
        </w:rPr>
        <w:t>股份有限公司</w:t>
      </w:r>
    </w:p>
    <w:p>
      <w:pPr>
        <w:widowControl/>
        <w:spacing w:line="259" w:lineRule="auto"/>
        <w:jc w:val="center"/>
        <w:rPr>
          <w:rFonts w:ascii="宋体" w:hAnsi="宋体" w:eastAsia="宋体" w:cs="宋体"/>
          <w:b/>
          <w:color w:val="000000"/>
          <w:sz w:val="32"/>
        </w:rPr>
      </w:pPr>
      <w:r>
        <w:rPr>
          <w:rFonts w:hint="eastAsia" w:ascii="宋体" w:hAnsi="宋体" w:eastAsia="宋体" w:cs="宋体"/>
          <w:b/>
          <w:color w:val="000000"/>
          <w:sz w:val="32"/>
        </w:rPr>
        <w:t>投资者关系活动记录表</w:t>
      </w:r>
    </w:p>
    <w:p>
      <w:pPr>
        <w:widowControl/>
        <w:spacing w:line="259" w:lineRule="auto"/>
        <w:ind w:left="1179" w:right="105"/>
        <w:jc w:val="right"/>
        <w:rPr>
          <w:rFonts w:ascii="Calibri" w:hAnsi="Calibri" w:eastAsia="Times New Roman" w:cs="Calibri"/>
          <w:color w:val="000000"/>
          <w:sz w:val="22"/>
        </w:rPr>
      </w:pPr>
    </w:p>
    <w:tbl>
      <w:tblPr>
        <w:tblStyle w:val="7"/>
        <w:tblW w:w="9976" w:type="dxa"/>
        <w:tblInd w:w="-744" w:type="dxa"/>
        <w:tblLayout w:type="autofit"/>
        <w:tblCellMar>
          <w:top w:w="0" w:type="dxa"/>
          <w:left w:w="108" w:type="dxa"/>
          <w:bottom w:w="41" w:type="dxa"/>
          <w:right w:w="0" w:type="dxa"/>
        </w:tblCellMar>
      </w:tblPr>
      <w:tblGrid>
        <w:gridCol w:w="1448"/>
        <w:gridCol w:w="8528"/>
      </w:tblGrid>
      <w:tr>
        <w:tblPrEx>
          <w:tblCellMar>
            <w:top w:w="0" w:type="dxa"/>
            <w:left w:w="108" w:type="dxa"/>
            <w:bottom w:w="41" w:type="dxa"/>
            <w:right w:w="0" w:type="dxa"/>
          </w:tblCellMar>
        </w:tblPrEx>
        <w:trPr>
          <w:trHeight w:val="2413" w:hRule="atLeast"/>
        </w:trPr>
        <w:tc>
          <w:tcPr>
            <w:tcW w:w="14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ascii="宋体" w:hAnsi="宋体" w:eastAsia="宋体" w:cs="Calibri"/>
                <w:b/>
                <w:color w:val="000000"/>
                <w:sz w:val="24"/>
                <w:szCs w:val="24"/>
              </w:rPr>
            </w:pPr>
            <w:r>
              <w:rPr>
                <w:rFonts w:hint="eastAsia" w:ascii="宋体" w:hAnsi="宋体" w:eastAsia="宋体" w:cs="宋体"/>
                <w:b/>
                <w:color w:val="000000"/>
                <w:sz w:val="24"/>
                <w:szCs w:val="24"/>
              </w:rPr>
              <w:t>投资者关系活动类别</w:t>
            </w:r>
          </w:p>
        </w:tc>
        <w:tc>
          <w:tcPr>
            <w:tcW w:w="8528" w:type="dxa"/>
            <w:tcBorders>
              <w:top w:val="single" w:color="000000" w:sz="4" w:space="0"/>
              <w:left w:val="single" w:color="000000" w:sz="4" w:space="0"/>
              <w:bottom w:val="single" w:color="000000" w:sz="4" w:space="0"/>
              <w:right w:val="single" w:color="000000" w:sz="4" w:space="0"/>
            </w:tcBorders>
            <w:vAlign w:val="bottom"/>
          </w:tcPr>
          <w:p>
            <w:pPr>
              <w:widowControl/>
              <w:snapToGrid w:val="0"/>
              <w:spacing w:line="360" w:lineRule="auto"/>
              <w:jc w:val="left"/>
              <w:rPr>
                <w:rFonts w:ascii="宋体" w:hAnsi="宋体" w:eastAsia="宋体" w:cs="Calibri"/>
                <w:color w:val="000000"/>
                <w:sz w:val="24"/>
                <w:szCs w:val="24"/>
              </w:rPr>
            </w:pPr>
            <w:r>
              <w:rPr>
                <w:rFonts w:ascii="宋体" w:hAnsi="宋体" w:eastAsia="宋体" w:cs="宋体"/>
                <w:color w:val="000000"/>
                <w:sz w:val="24"/>
                <w:szCs w:val="24"/>
              </w:rPr>
              <w:sym w:font="Wingdings 2" w:char="0052"/>
            </w:r>
            <w:r>
              <w:rPr>
                <w:rFonts w:hint="eastAsia" w:ascii="宋体" w:hAnsi="宋体" w:eastAsia="宋体" w:cs="宋体"/>
                <w:color w:val="000000"/>
                <w:sz w:val="24"/>
                <w:szCs w:val="24"/>
              </w:rPr>
              <w:t>特定对象调研</w:t>
            </w:r>
            <w:r>
              <w:rPr>
                <w:rFonts w:ascii="宋体" w:hAnsi="宋体" w:eastAsia="宋体" w:cs="宋体"/>
                <w:color w:val="000000"/>
                <w:sz w:val="24"/>
                <w:szCs w:val="24"/>
              </w:rPr>
              <w:t xml:space="preserve">        </w:t>
            </w:r>
            <w:r>
              <w:rPr>
                <w:rFonts w:hint="eastAsia" w:ascii="宋体" w:hAnsi="宋体" w:eastAsia="宋体" w:cs="宋体"/>
                <w:color w:val="000000"/>
                <w:sz w:val="24"/>
                <w:szCs w:val="24"/>
              </w:rPr>
              <w:sym w:font="Wingdings 2" w:char="00A3"/>
            </w:r>
            <w:r>
              <w:rPr>
                <w:rFonts w:hint="eastAsia" w:ascii="宋体" w:hAnsi="宋体" w:eastAsia="宋体" w:cs="宋体"/>
                <w:color w:val="000000"/>
                <w:sz w:val="24"/>
                <w:szCs w:val="24"/>
              </w:rPr>
              <w:t>分析师会议</w:t>
            </w:r>
            <w:r>
              <w:rPr>
                <w:rFonts w:ascii="宋体" w:hAnsi="宋体" w:eastAsia="宋体" w:cs="宋体"/>
                <w:color w:val="000000"/>
                <w:sz w:val="24"/>
                <w:szCs w:val="24"/>
              </w:rPr>
              <w:t xml:space="preserve"> </w:t>
            </w:r>
          </w:p>
          <w:p>
            <w:pPr>
              <w:widowControl/>
              <w:snapToGrid w:val="0"/>
              <w:spacing w:line="360" w:lineRule="auto"/>
              <w:jc w:val="left"/>
              <w:rPr>
                <w:rFonts w:ascii="宋体" w:hAnsi="宋体" w:eastAsia="宋体" w:cs="Calibri"/>
                <w:color w:val="000000"/>
                <w:sz w:val="24"/>
                <w:szCs w:val="24"/>
              </w:rPr>
            </w:pPr>
            <w:r>
              <w:rPr>
                <w:rFonts w:ascii="宋体" w:hAnsi="宋体" w:eastAsia="宋体" w:cs="宋体"/>
                <w:color w:val="000000"/>
                <w:sz w:val="24"/>
                <w:szCs w:val="24"/>
              </w:rPr>
              <w:t>□</w:t>
            </w:r>
            <w:r>
              <w:rPr>
                <w:rFonts w:hint="eastAsia" w:ascii="宋体" w:hAnsi="宋体" w:eastAsia="宋体" w:cs="宋体"/>
                <w:color w:val="000000"/>
                <w:sz w:val="24"/>
                <w:szCs w:val="24"/>
              </w:rPr>
              <w:t>媒体采访</w:t>
            </w:r>
            <w:r>
              <w:rPr>
                <w:rFonts w:ascii="宋体" w:hAnsi="宋体" w:eastAsia="宋体" w:cs="宋体"/>
                <w:color w:val="000000"/>
                <w:sz w:val="24"/>
                <w:szCs w:val="24"/>
              </w:rPr>
              <w:t xml:space="preserve">            □</w:t>
            </w:r>
            <w:r>
              <w:rPr>
                <w:rFonts w:hint="eastAsia" w:ascii="宋体" w:hAnsi="宋体" w:eastAsia="宋体" w:cs="宋体"/>
                <w:color w:val="000000"/>
                <w:sz w:val="24"/>
                <w:szCs w:val="24"/>
              </w:rPr>
              <w:t>业绩说明会</w:t>
            </w:r>
            <w:r>
              <w:rPr>
                <w:rFonts w:ascii="宋体" w:hAnsi="宋体" w:eastAsia="宋体" w:cs="宋体"/>
                <w:color w:val="000000"/>
                <w:sz w:val="24"/>
                <w:szCs w:val="24"/>
              </w:rPr>
              <w:t xml:space="preserve"> </w:t>
            </w:r>
          </w:p>
          <w:p>
            <w:pPr>
              <w:widowControl/>
              <w:snapToGrid w:val="0"/>
              <w:spacing w:line="360" w:lineRule="auto"/>
              <w:jc w:val="left"/>
              <w:rPr>
                <w:rFonts w:ascii="宋体" w:hAnsi="宋体" w:eastAsia="宋体" w:cs="Calibri"/>
                <w:color w:val="000000"/>
                <w:sz w:val="24"/>
                <w:szCs w:val="24"/>
              </w:rPr>
            </w:pPr>
            <w:r>
              <w:rPr>
                <w:rFonts w:ascii="宋体" w:hAnsi="宋体" w:eastAsia="宋体" w:cs="宋体"/>
                <w:color w:val="000000"/>
                <w:sz w:val="24"/>
                <w:szCs w:val="24"/>
              </w:rPr>
              <w:t>□</w:t>
            </w:r>
            <w:r>
              <w:rPr>
                <w:rFonts w:hint="eastAsia" w:ascii="宋体" w:hAnsi="宋体" w:eastAsia="宋体" w:cs="宋体"/>
                <w:color w:val="000000"/>
                <w:sz w:val="24"/>
                <w:szCs w:val="24"/>
              </w:rPr>
              <w:t>新闻发布会</w:t>
            </w:r>
            <w:r>
              <w:rPr>
                <w:rFonts w:ascii="宋体" w:hAnsi="宋体" w:eastAsia="宋体" w:cs="宋体"/>
                <w:color w:val="000000"/>
                <w:sz w:val="24"/>
                <w:szCs w:val="24"/>
              </w:rPr>
              <w:t xml:space="preserve">          □</w:t>
            </w:r>
            <w:r>
              <w:rPr>
                <w:rFonts w:hint="eastAsia" w:ascii="宋体" w:hAnsi="宋体" w:eastAsia="宋体" w:cs="宋体"/>
                <w:color w:val="000000"/>
                <w:sz w:val="24"/>
                <w:szCs w:val="24"/>
              </w:rPr>
              <w:t>路演活动</w:t>
            </w:r>
            <w:r>
              <w:rPr>
                <w:rFonts w:ascii="宋体" w:hAnsi="宋体" w:eastAsia="宋体" w:cs="宋体"/>
                <w:color w:val="000000"/>
                <w:sz w:val="24"/>
                <w:szCs w:val="24"/>
              </w:rPr>
              <w:t xml:space="preserve"> </w:t>
            </w:r>
          </w:p>
          <w:p>
            <w:pPr>
              <w:widowControl/>
              <w:snapToGrid w:val="0"/>
              <w:spacing w:line="360" w:lineRule="auto"/>
              <w:jc w:val="left"/>
              <w:rPr>
                <w:rFonts w:ascii="宋体" w:hAnsi="宋体" w:eastAsia="宋体" w:cs="宋体"/>
                <w:color w:val="000000"/>
                <w:sz w:val="24"/>
                <w:szCs w:val="24"/>
              </w:rPr>
            </w:pPr>
            <w:r>
              <w:rPr>
                <w:rFonts w:ascii="宋体" w:hAnsi="宋体" w:eastAsia="宋体" w:cs="宋体"/>
                <w:color w:val="000000"/>
                <w:sz w:val="24"/>
                <w:szCs w:val="24"/>
              </w:rPr>
              <w:sym w:font="Wingdings 2" w:char="00A3"/>
            </w:r>
            <w:r>
              <w:rPr>
                <w:rFonts w:hint="eastAsia" w:ascii="宋体" w:hAnsi="宋体" w:eastAsia="宋体" w:cs="宋体"/>
                <w:color w:val="000000"/>
                <w:sz w:val="24"/>
                <w:szCs w:val="24"/>
              </w:rPr>
              <w:t>现场参观</w:t>
            </w:r>
            <w:r>
              <w:rPr>
                <w:rFonts w:ascii="宋体" w:hAnsi="宋体" w:eastAsia="宋体" w:cs="宋体"/>
                <w:color w:val="000000"/>
                <w:sz w:val="24"/>
                <w:szCs w:val="24"/>
              </w:rPr>
              <w:t xml:space="preserve">            </w:t>
            </w:r>
            <w:r>
              <w:rPr>
                <w:rFonts w:hint="eastAsia" w:ascii="宋体" w:hAnsi="宋体" w:eastAsia="宋体" w:cs="宋体"/>
                <w:color w:val="000000"/>
                <w:sz w:val="24"/>
                <w:szCs w:val="24"/>
              </w:rPr>
              <w:t>□一对一沟通</w:t>
            </w:r>
            <w:r>
              <w:rPr>
                <w:rFonts w:ascii="宋体" w:hAnsi="宋体" w:eastAsia="宋体" w:cs="宋体"/>
                <w:color w:val="000000"/>
                <w:sz w:val="24"/>
                <w:szCs w:val="24"/>
              </w:rPr>
              <w:t xml:space="preserve"> </w:t>
            </w:r>
          </w:p>
          <w:p>
            <w:pPr>
              <w:widowControl/>
              <w:snapToGrid w:val="0"/>
              <w:spacing w:line="360" w:lineRule="auto"/>
              <w:jc w:val="left"/>
              <w:rPr>
                <w:rFonts w:hint="default" w:ascii="宋体" w:hAnsi="宋体" w:eastAsia="宋体" w:cs="Calibri"/>
                <w:color w:val="000000"/>
                <w:sz w:val="24"/>
                <w:szCs w:val="24"/>
                <w:u w:val="single"/>
                <w:lang w:val="en-US" w:eastAsia="zh-CN"/>
              </w:rPr>
            </w:pPr>
            <w:r>
              <w:rPr>
                <w:rFonts w:hint="eastAsia" w:ascii="宋体" w:hAnsi="宋体" w:eastAsia="宋体" w:cs="宋体"/>
                <w:color w:val="000000"/>
                <w:sz w:val="24"/>
                <w:szCs w:val="24"/>
              </w:rPr>
              <w:t>□券商</w:t>
            </w:r>
            <w:r>
              <w:rPr>
                <w:rFonts w:ascii="宋体" w:hAnsi="宋体" w:eastAsia="宋体" w:cs="宋体"/>
                <w:color w:val="000000"/>
                <w:sz w:val="24"/>
                <w:szCs w:val="24"/>
              </w:rPr>
              <w:t>策略会</w:t>
            </w:r>
            <w:r>
              <w:rPr>
                <w:rFonts w:hint="eastAsia" w:ascii="宋体" w:hAnsi="宋体" w:eastAsia="宋体" w:cs="宋体"/>
                <w:color w:val="000000"/>
                <w:sz w:val="24"/>
                <w:szCs w:val="24"/>
              </w:rPr>
              <w:t xml:space="preserve">          □其他</w:t>
            </w:r>
            <w:r>
              <w:rPr>
                <w:rFonts w:hint="eastAsia" w:ascii="宋体" w:hAnsi="宋体" w:eastAsia="宋体" w:cs="宋体"/>
                <w:color w:val="000000"/>
                <w:sz w:val="24"/>
                <w:szCs w:val="24"/>
                <w:u w:val="single"/>
                <w:lang w:val="en-US" w:eastAsia="zh-CN"/>
              </w:rPr>
              <w:t xml:space="preserve">      </w:t>
            </w:r>
          </w:p>
        </w:tc>
      </w:tr>
      <w:tr>
        <w:tblPrEx>
          <w:tblCellMar>
            <w:top w:w="0" w:type="dxa"/>
            <w:left w:w="108" w:type="dxa"/>
            <w:bottom w:w="41" w:type="dxa"/>
            <w:right w:w="0" w:type="dxa"/>
          </w:tblCellMar>
        </w:tblPrEx>
        <w:trPr>
          <w:trHeight w:val="564" w:hRule="atLeast"/>
        </w:trPr>
        <w:tc>
          <w:tcPr>
            <w:tcW w:w="14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right="110"/>
              <w:jc w:val="center"/>
              <w:rPr>
                <w:rFonts w:ascii="宋体" w:hAnsi="宋体" w:eastAsia="宋体" w:cs="Calibri"/>
                <w:b/>
                <w:color w:val="000000"/>
                <w:sz w:val="24"/>
                <w:szCs w:val="24"/>
              </w:rPr>
            </w:pPr>
            <w:r>
              <w:rPr>
                <w:rFonts w:hint="eastAsia" w:ascii="宋体" w:hAnsi="宋体" w:eastAsia="宋体" w:cs="宋体"/>
                <w:b/>
                <w:sz w:val="24"/>
                <w:szCs w:val="24"/>
              </w:rPr>
              <w:t>参与单位及人员</w:t>
            </w:r>
          </w:p>
        </w:tc>
        <w:tc>
          <w:tcPr>
            <w:tcW w:w="8528" w:type="dxa"/>
            <w:tcBorders>
              <w:top w:val="single" w:color="000000" w:sz="4" w:space="0"/>
              <w:left w:val="single" w:color="000000" w:sz="4" w:space="0"/>
              <w:bottom w:val="single" w:color="000000" w:sz="4" w:space="0"/>
              <w:right w:val="single" w:color="000000" w:sz="4" w:space="0"/>
            </w:tcBorders>
            <w:vAlign w:val="center"/>
          </w:tcPr>
          <w:p>
            <w:pPr>
              <w:rPr>
                <w:rFonts w:hint="default"/>
                <w:sz w:val="24"/>
                <w:lang w:val="en-US" w:eastAsia="zh-CN"/>
              </w:rPr>
            </w:pPr>
            <w:r>
              <w:rPr>
                <w:rFonts w:hint="default"/>
                <w:sz w:val="24"/>
                <w:lang w:val="en-US" w:eastAsia="zh-CN"/>
              </w:rPr>
              <w:t>国泰君安：石岩、牟俊宇、庞钧文</w:t>
            </w:r>
          </w:p>
          <w:p>
            <w:pPr>
              <w:spacing w:line="240" w:lineRule="auto"/>
              <w:rPr>
                <w:rFonts w:hint="default" w:asciiTheme="minorEastAsia" w:hAnsiTheme="minorEastAsia" w:eastAsiaTheme="minorEastAsia" w:cstheme="minorEastAsia"/>
                <w:sz w:val="24"/>
                <w:szCs w:val="24"/>
                <w:lang w:val="en-US" w:eastAsia="zh-CN"/>
              </w:rPr>
            </w:pPr>
            <w:r>
              <w:rPr>
                <w:rFonts w:hint="default"/>
                <w:sz w:val="24"/>
                <w:lang w:val="en-US" w:eastAsia="zh-CN"/>
              </w:rPr>
              <w:t>富国基金：邬华宇、王泉涌、徐智翔、杨栋、吴畏、祝帧哲、肖威兵、孟浩之、孙彬、孙萌、孙权、王佳晨、毕天宇、崔宇、顾飞飞、厉叶淼、侯梧、朱少醒、林浩祥</w:t>
            </w:r>
          </w:p>
        </w:tc>
      </w:tr>
      <w:tr>
        <w:tblPrEx>
          <w:tblCellMar>
            <w:top w:w="0" w:type="dxa"/>
            <w:left w:w="108" w:type="dxa"/>
            <w:bottom w:w="41" w:type="dxa"/>
            <w:right w:w="0" w:type="dxa"/>
          </w:tblCellMar>
        </w:tblPrEx>
        <w:trPr>
          <w:trHeight w:val="375" w:hRule="atLeast"/>
        </w:trPr>
        <w:tc>
          <w:tcPr>
            <w:tcW w:w="144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时间</w:t>
            </w:r>
          </w:p>
        </w:tc>
        <w:tc>
          <w:tcPr>
            <w:tcW w:w="8528" w:type="dxa"/>
            <w:tcBorders>
              <w:top w:val="single" w:color="000000" w:sz="4" w:space="0"/>
              <w:left w:val="single" w:color="000000" w:sz="4" w:space="0"/>
              <w:bottom w:val="single" w:color="000000" w:sz="4" w:space="0"/>
              <w:right w:val="single" w:color="000000" w:sz="4" w:space="0"/>
            </w:tcBorders>
            <w:vAlign w:val="bottom"/>
          </w:tcPr>
          <w:p>
            <w:pPr>
              <w:spacing w:line="240" w:lineRule="auto"/>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2022年4月8日</w:t>
            </w:r>
          </w:p>
        </w:tc>
      </w:tr>
      <w:tr>
        <w:tblPrEx>
          <w:tblCellMar>
            <w:top w:w="0" w:type="dxa"/>
            <w:left w:w="108" w:type="dxa"/>
            <w:bottom w:w="41" w:type="dxa"/>
            <w:right w:w="0" w:type="dxa"/>
          </w:tblCellMar>
        </w:tblPrEx>
        <w:trPr>
          <w:trHeight w:val="490" w:hRule="atLeast"/>
        </w:trPr>
        <w:tc>
          <w:tcPr>
            <w:tcW w:w="14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right="110"/>
              <w:jc w:val="center"/>
              <w:rPr>
                <w:rFonts w:ascii="宋体" w:hAnsi="宋体" w:eastAsia="宋体" w:cs="Calibri"/>
                <w:b/>
                <w:color w:val="000000"/>
                <w:sz w:val="24"/>
                <w:szCs w:val="24"/>
              </w:rPr>
            </w:pPr>
            <w:r>
              <w:rPr>
                <w:rFonts w:hint="eastAsia" w:asciiTheme="minorEastAsia" w:hAnsiTheme="minorEastAsia" w:eastAsiaTheme="minorEastAsia" w:cstheme="minorEastAsia"/>
                <w:b/>
                <w:bCs/>
                <w:sz w:val="24"/>
                <w:szCs w:val="24"/>
                <w:lang w:val="en-US" w:eastAsia="zh-CN"/>
              </w:rPr>
              <w:t>地点</w:t>
            </w:r>
          </w:p>
        </w:tc>
        <w:tc>
          <w:tcPr>
            <w:tcW w:w="8528" w:type="dxa"/>
            <w:tcBorders>
              <w:top w:val="single" w:color="000000" w:sz="4" w:space="0"/>
              <w:left w:val="single" w:color="000000" w:sz="4" w:space="0"/>
              <w:bottom w:val="single" w:color="000000" w:sz="4" w:space="0"/>
              <w:right w:val="single" w:color="000000" w:sz="4" w:space="0"/>
            </w:tcBorders>
            <w:vAlign w:val="bottom"/>
          </w:tcPr>
          <w:p>
            <w:pPr>
              <w:spacing w:line="24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电话会议</w:t>
            </w:r>
          </w:p>
        </w:tc>
      </w:tr>
      <w:tr>
        <w:tblPrEx>
          <w:tblCellMar>
            <w:top w:w="0" w:type="dxa"/>
            <w:left w:w="108" w:type="dxa"/>
            <w:bottom w:w="41" w:type="dxa"/>
            <w:right w:w="0" w:type="dxa"/>
          </w:tblCellMar>
        </w:tblPrEx>
        <w:trPr>
          <w:trHeight w:val="490" w:hRule="atLeast"/>
        </w:trPr>
        <w:tc>
          <w:tcPr>
            <w:tcW w:w="14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right="110"/>
              <w:jc w:val="center"/>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接待人员</w:t>
            </w:r>
          </w:p>
        </w:tc>
        <w:tc>
          <w:tcPr>
            <w:tcW w:w="8528" w:type="dxa"/>
            <w:tcBorders>
              <w:top w:val="single" w:color="000000" w:sz="4" w:space="0"/>
              <w:left w:val="single" w:color="000000" w:sz="4" w:space="0"/>
              <w:bottom w:val="single" w:color="000000" w:sz="4" w:space="0"/>
              <w:right w:val="single" w:color="000000" w:sz="4" w:space="0"/>
            </w:tcBorders>
            <w:vAlign w:val="bottom"/>
          </w:tcPr>
          <w:p>
            <w:pPr>
              <w:spacing w:line="240" w:lineRule="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总经理向黔新、</w:t>
            </w:r>
            <w:r>
              <w:rPr>
                <w:rFonts w:hint="eastAsia" w:asciiTheme="minorEastAsia" w:hAnsiTheme="minorEastAsia" w:eastAsiaTheme="minorEastAsia" w:cstheme="minorEastAsia"/>
                <w:sz w:val="24"/>
                <w:szCs w:val="24"/>
                <w:lang w:val="en-US" w:eastAsia="zh-CN"/>
              </w:rPr>
              <w:t>总会计师刘进、董事会秘书王敬</w:t>
            </w:r>
          </w:p>
        </w:tc>
      </w:tr>
      <w:tr>
        <w:tblPrEx>
          <w:tblCellMar>
            <w:top w:w="0" w:type="dxa"/>
            <w:left w:w="108" w:type="dxa"/>
            <w:bottom w:w="41" w:type="dxa"/>
            <w:right w:w="0" w:type="dxa"/>
          </w:tblCellMar>
        </w:tblPrEx>
        <w:trPr>
          <w:trHeight w:val="490" w:hRule="atLeast"/>
        </w:trPr>
        <w:tc>
          <w:tcPr>
            <w:tcW w:w="14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ind w:right="110"/>
              <w:jc w:val="center"/>
              <w:rPr>
                <w:rFonts w:ascii="宋体" w:hAnsi="宋体" w:eastAsia="宋体" w:cs="宋体"/>
                <w:b/>
                <w:color w:val="000000"/>
                <w:sz w:val="24"/>
                <w:szCs w:val="24"/>
              </w:rPr>
            </w:pPr>
            <w:r>
              <w:rPr>
                <w:rFonts w:hint="eastAsia" w:ascii="宋体" w:hAnsi="宋体" w:eastAsia="宋体" w:cs="宋体"/>
                <w:b/>
                <w:color w:val="000000"/>
                <w:sz w:val="24"/>
                <w:szCs w:val="24"/>
              </w:rPr>
              <w:t>投资者关系活动主要内容介绍</w:t>
            </w:r>
          </w:p>
        </w:tc>
        <w:tc>
          <w:tcPr>
            <w:tcW w:w="8528"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kinsoku/>
              <w:wordWrap/>
              <w:overflowPunct/>
              <w:topLinePunct w:val="0"/>
              <w:autoSpaceDE/>
              <w:autoSpaceDN/>
              <w:bidi w:val="0"/>
              <w:adjustRightInd/>
              <w:snapToGrid/>
              <w:spacing w:before="156" w:beforeLines="50" w:after="156" w:afterLines="50" w:line="240" w:lineRule="auto"/>
              <w:textAlignment w:val="auto"/>
              <w:rPr>
                <w:rFonts w:asciiTheme="minorEastAsia" w:hAnsiTheme="minorEastAsia" w:cstheme="minorEastAsia"/>
                <w:sz w:val="24"/>
              </w:rPr>
            </w:pPr>
            <w:r>
              <w:rPr>
                <w:rFonts w:hint="eastAsia" w:asciiTheme="minorEastAsia" w:hAnsiTheme="minorEastAsia" w:cstheme="minorEastAsia"/>
                <w:sz w:val="24"/>
                <w:lang w:val="en-US" w:eastAsia="zh-CN"/>
              </w:rPr>
              <w:t>问题</w:t>
            </w:r>
            <w:r>
              <w:rPr>
                <w:rFonts w:hint="eastAsia" w:asciiTheme="minorEastAsia" w:hAnsiTheme="minorEastAsia" w:cstheme="minorEastAsia"/>
                <w:sz w:val="24"/>
              </w:rPr>
              <w:t>1</w:t>
            </w:r>
            <w:r>
              <w:rPr>
                <w:rFonts w:hint="eastAsia" w:asciiTheme="minorEastAsia" w:hAnsiTheme="minorEastAsia" w:cstheme="minorEastAsia"/>
                <w:sz w:val="24"/>
                <w:lang w:val="en-US" w:eastAsia="zh-CN"/>
              </w:rPr>
              <w:t>：</w:t>
            </w:r>
            <w:r>
              <w:rPr>
                <w:rFonts w:hint="eastAsia" w:asciiTheme="minorEastAsia" w:hAnsiTheme="minorEastAsia" w:cstheme="minorEastAsia"/>
                <w:sz w:val="24"/>
              </w:rPr>
              <w:t>请问公司2022年</w:t>
            </w:r>
            <w:r>
              <w:rPr>
                <w:rFonts w:hint="eastAsia" w:asciiTheme="minorEastAsia" w:hAnsiTheme="minorEastAsia" w:cstheme="minorEastAsia"/>
                <w:sz w:val="24"/>
                <w:lang w:val="en-US" w:eastAsia="zh-CN"/>
              </w:rPr>
              <w:t>的第一季度的出货量</w:t>
            </w:r>
            <w:r>
              <w:rPr>
                <w:rFonts w:hint="eastAsia" w:asciiTheme="minorEastAsia" w:hAnsiTheme="minorEastAsia" w:cstheme="minorEastAsia"/>
                <w:sz w:val="24"/>
              </w:rPr>
              <w:t>情况</w:t>
            </w:r>
            <w:r>
              <w:rPr>
                <w:rFonts w:hint="eastAsia" w:asciiTheme="minorEastAsia" w:hAnsiTheme="minorEastAsia" w:cstheme="minorEastAsia"/>
                <w:sz w:val="24"/>
                <w:lang w:val="en-US" w:eastAsia="zh-CN"/>
              </w:rPr>
              <w:t>怎样</w:t>
            </w:r>
            <w:r>
              <w:rPr>
                <w:rFonts w:hint="eastAsia" w:asciiTheme="minorEastAsia" w:hAnsi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rPr>
              <w:t>答：</w:t>
            </w:r>
            <w:r>
              <w:rPr>
                <w:rFonts w:hint="eastAsia" w:asciiTheme="minorEastAsia" w:hAnsiTheme="minorEastAsia" w:cstheme="minorEastAsia"/>
                <w:sz w:val="24"/>
                <w:lang w:val="en-US" w:eastAsia="zh-CN"/>
              </w:rPr>
              <w:t>公司生产经营从2021年四季度到2022年一季度都比较持续稳定，具体数据不便透露。</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问题2：请问公司产能释放情况？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答：公司募投项目在按计划正常推进，在建项目的新增产能是一个逐渐释放过程。</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asciiTheme="minorEastAsia" w:hAnsiTheme="minorEastAsia" w:cstheme="minorEastAsia"/>
                <w:sz w:val="24"/>
              </w:rPr>
            </w:pPr>
            <w:r>
              <w:rPr>
                <w:rFonts w:hint="eastAsia" w:asciiTheme="minorEastAsia" w:hAnsiTheme="minorEastAsia" w:cstheme="minorEastAsia"/>
                <w:sz w:val="24"/>
                <w:lang w:val="en-US" w:eastAsia="zh-CN"/>
              </w:rPr>
              <w:t>问题3：</w:t>
            </w:r>
            <w:r>
              <w:rPr>
                <w:rFonts w:hint="eastAsia" w:asciiTheme="minorEastAsia" w:hAnsiTheme="minorEastAsia" w:cstheme="minorEastAsia"/>
                <w:sz w:val="24"/>
              </w:rPr>
              <w:t>请问</w:t>
            </w:r>
            <w:r>
              <w:rPr>
                <w:rFonts w:hint="eastAsia" w:asciiTheme="minorEastAsia" w:hAnsiTheme="minorEastAsia" w:cstheme="minorEastAsia"/>
                <w:sz w:val="24"/>
                <w:lang w:val="en-US" w:eastAsia="zh-CN"/>
              </w:rPr>
              <w:t>公司如何预计今年的订单情况？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rPr>
              <w:t>答：</w:t>
            </w:r>
            <w:r>
              <w:rPr>
                <w:rFonts w:hint="eastAsia" w:asciiTheme="minorEastAsia" w:hAnsiTheme="minorEastAsia" w:cstheme="minorEastAsia"/>
                <w:sz w:val="24"/>
                <w:lang w:val="en-US" w:eastAsia="zh-CN"/>
              </w:rPr>
              <w:t>考虑到目前的疫情和锂盐价格上涨的影响，今年订单的情况不好预计。</w:t>
            </w:r>
          </w:p>
          <w:p>
            <w:pPr>
              <w:numPr>
                <w:ilvl w:val="0"/>
                <w:numId w:val="0"/>
              </w:numPr>
              <w:spacing w:before="156" w:beforeLines="50" w:after="156" w:afterLines="50" w:line="360" w:lineRule="auto"/>
              <w:ind w:leftChars="0"/>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问题4：目前市场上有听说各个三元材料企业的订单需求有下降？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答：因为锂盐价格较高以及疫情原因，整个行业4月份的订单需求可能有所减少。问题5：现在锂盐价格没有继续疯狂上涨，请问下游市场有没有一些变化？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eastAsiaTheme="minorEastAsia" w:cstheme="minorEastAsia"/>
                <w:b w:val="0"/>
                <w:kern w:val="2"/>
                <w:sz w:val="24"/>
                <w:szCs w:val="24"/>
                <w:lang w:val="en-US" w:eastAsia="zh-CN" w:bidi="ar-SA"/>
              </w:rPr>
            </w:pPr>
            <w:r>
              <w:rPr>
                <w:rFonts w:hint="eastAsia"/>
                <w:b w:val="0"/>
                <w:bCs/>
                <w:sz w:val="24"/>
                <w:szCs w:val="24"/>
                <w:lang w:val="en-US" w:eastAsia="zh-CN"/>
              </w:rPr>
              <w:t>答：</w:t>
            </w:r>
            <w:r>
              <w:rPr>
                <w:rFonts w:hint="eastAsia" w:asciiTheme="minorEastAsia" w:hAnsiTheme="minorEastAsia" w:eastAsiaTheme="minorEastAsia" w:cstheme="minorEastAsia"/>
                <w:b w:val="0"/>
                <w:kern w:val="2"/>
                <w:sz w:val="24"/>
                <w:szCs w:val="24"/>
                <w:lang w:val="en-US" w:eastAsia="zh-CN" w:bidi="ar-SA"/>
              </w:rPr>
              <w:t>上游的锂盐价格不再</w:t>
            </w:r>
            <w:r>
              <w:rPr>
                <w:rFonts w:hint="eastAsia" w:asciiTheme="minorEastAsia" w:hAnsiTheme="minorEastAsia" w:cstheme="minorEastAsia"/>
                <w:b w:val="0"/>
                <w:kern w:val="2"/>
                <w:sz w:val="24"/>
                <w:szCs w:val="24"/>
                <w:lang w:val="en-US" w:eastAsia="zh-CN" w:bidi="ar-SA"/>
              </w:rPr>
              <w:t>飞</w:t>
            </w:r>
            <w:r>
              <w:rPr>
                <w:rFonts w:hint="eastAsia" w:asciiTheme="minorEastAsia" w:hAnsiTheme="minorEastAsia" w:eastAsiaTheme="minorEastAsia" w:cstheme="minorEastAsia"/>
                <w:b w:val="0"/>
                <w:kern w:val="2"/>
                <w:sz w:val="24"/>
                <w:szCs w:val="24"/>
                <w:lang w:val="en-US" w:eastAsia="zh-CN" w:bidi="ar-SA"/>
              </w:rPr>
              <w:t>涨，是一个好信号。在这种预期下，如果疫情能够控制，应该还是比较谨慎乐观，但市场的</w:t>
            </w:r>
            <w:r>
              <w:rPr>
                <w:rFonts w:hint="eastAsia" w:asciiTheme="minorEastAsia" w:hAnsiTheme="minorEastAsia" w:cstheme="minorEastAsia"/>
                <w:b w:val="0"/>
                <w:kern w:val="2"/>
                <w:sz w:val="24"/>
                <w:szCs w:val="24"/>
                <w:lang w:val="en-US" w:eastAsia="zh-CN" w:bidi="ar-SA"/>
              </w:rPr>
              <w:t>传导</w:t>
            </w:r>
            <w:r>
              <w:rPr>
                <w:rFonts w:hint="eastAsia" w:asciiTheme="minorEastAsia" w:hAnsiTheme="minorEastAsia" w:eastAsiaTheme="minorEastAsia" w:cstheme="minorEastAsia"/>
                <w:b w:val="0"/>
                <w:kern w:val="2"/>
                <w:sz w:val="24"/>
                <w:szCs w:val="24"/>
                <w:lang w:val="en-US" w:eastAsia="zh-CN" w:bidi="ar-SA"/>
              </w:rPr>
              <w:t>需要</w:t>
            </w:r>
            <w:r>
              <w:rPr>
                <w:rFonts w:hint="eastAsia" w:asciiTheme="minorEastAsia" w:hAnsiTheme="minorEastAsia" w:cstheme="minorEastAsia"/>
                <w:b w:val="0"/>
                <w:kern w:val="2"/>
                <w:sz w:val="24"/>
                <w:szCs w:val="24"/>
                <w:lang w:val="en-US" w:eastAsia="zh-CN" w:bidi="ar-SA"/>
              </w:rPr>
              <w:t>一定</w:t>
            </w:r>
            <w:r>
              <w:rPr>
                <w:rFonts w:hint="eastAsia" w:asciiTheme="minorEastAsia" w:hAnsiTheme="minorEastAsia" w:eastAsiaTheme="minorEastAsia" w:cstheme="minorEastAsia"/>
                <w:b w:val="0"/>
                <w:kern w:val="2"/>
                <w:sz w:val="24"/>
                <w:szCs w:val="24"/>
                <w:lang w:val="en-US" w:eastAsia="zh-CN" w:bidi="ar-SA"/>
              </w:rPr>
              <w:t>时间。</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问题6：请问一季度的单吨盈利怎样？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具体数据不便透露，随着募投项目义龙二期的建设投产，一季度产能利用率相对较高，同时公司由于地处西部，具有一定的成本优势；此外结合公司2021年年末原材料库存情况，一季度的单吨盈利相较前期可能有改善。</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问题7：请问公司怎么看钴和镍的价格？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答：前段时间镍的价格反映在实物上的变化相对有限，它主要是期货上波动较大。</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问题8：请问加工费的情况？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答：目前加工费相对比较稳定。</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问题9：请问红星电子一季度是否为公司贡献了利润或者后续是否会和公司有更多的合作？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答：公司2021年年报里有披露红星电子的情况，红星电子经过前期的磨合，从2021年四季度开始逐渐稳定。</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问题10：请问公司如何看待单晶的趋势？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答：单晶在长续航和电化学方面有一些优势，但多晶在高倍率，高能量密度有优势，单晶和多晶两个市场都会共存。我们公司大部分产品都是用在汽车上，所以目前还是单晶产品会比较多。</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问题11：高镍/超高镍是不是未来会往单晶方向走？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单晶和多晶都各有所长，但针对超高镍，由于锂镍混排、碱度、储存等各方面要求更高，所以可能传统两烧工艺做起来比较难。同时，中镍的低钴/低钴材料将来如果想在更高的电压下提高能量密度，可能三烧是一个大趋势。</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问题12：请问2021年的产品结构情况怎样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答：今年和去年差不多，目前来看，还是以中镍和高镍为主。</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问题13：请问高镍材料的首要追求是能量密度还是稳定性？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答：能量密度。</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问题14：请问三元材料的往后迭代情况？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答：公司认为高镍可以努力继续提容量，中镍如果容量空间有限，就努力把性能做得更好；此外还可以往锰基材料方向发展。</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问题15：请问公司的客户开拓计划？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答：目前主要是产能有限，公司希望能</w:t>
            </w:r>
            <w:bookmarkStart w:id="0" w:name="_GoBack"/>
            <w:bookmarkEnd w:id="0"/>
            <w:r>
              <w:rPr>
                <w:rFonts w:hint="eastAsia" w:asciiTheme="minorEastAsia" w:hAnsiTheme="minorEastAsia" w:cstheme="minorEastAsia"/>
                <w:sz w:val="24"/>
                <w:lang w:val="en-US" w:eastAsia="zh-CN"/>
              </w:rPr>
              <w:t>和更多的客户合作。</w:t>
            </w:r>
          </w:p>
          <w:p>
            <w:pPr>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Chars="0"/>
              <w:textAlignment w:val="auto"/>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问题16：请问公司如何看待钠离子电池？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heme="minorEastAsia" w:hAnsiTheme="minorEastAsia" w:cstheme="minorEastAsia"/>
                <w:sz w:val="24"/>
                <w:lang w:val="en-US" w:eastAsia="zh-CN"/>
              </w:rPr>
            </w:pPr>
            <w:r>
              <w:rPr>
                <w:rFonts w:hint="eastAsia" w:asciiTheme="minorEastAsia" w:hAnsiTheme="minorEastAsia" w:cstheme="minorEastAsia"/>
                <w:sz w:val="24"/>
                <w:lang w:val="en-US" w:eastAsia="zh-CN"/>
              </w:rPr>
              <w:t>答：钠离子电池的合成难度非常大，钠离子电池正极材料方面目前主要需要解决容量、成本和碱度问题，正极材料方面的问题解决后，如果负极和电解液等配套解决了，整个钠离子电池产业化进程会非常快。</w:t>
            </w:r>
          </w:p>
        </w:tc>
      </w:tr>
    </w:tbl>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860E5"/>
    <w:rsid w:val="00B36740"/>
    <w:rsid w:val="01EA2720"/>
    <w:rsid w:val="02D721A1"/>
    <w:rsid w:val="09A80F73"/>
    <w:rsid w:val="09C83568"/>
    <w:rsid w:val="0B380786"/>
    <w:rsid w:val="1473284E"/>
    <w:rsid w:val="1A0716B7"/>
    <w:rsid w:val="1B02138F"/>
    <w:rsid w:val="1B32327C"/>
    <w:rsid w:val="1BCF41AF"/>
    <w:rsid w:val="1BFD53A8"/>
    <w:rsid w:val="20AA0B41"/>
    <w:rsid w:val="23A95810"/>
    <w:rsid w:val="29145E10"/>
    <w:rsid w:val="310559B2"/>
    <w:rsid w:val="375E11F6"/>
    <w:rsid w:val="39DC6954"/>
    <w:rsid w:val="3A9054A1"/>
    <w:rsid w:val="3EC90A3B"/>
    <w:rsid w:val="3ED4020B"/>
    <w:rsid w:val="3EDF5884"/>
    <w:rsid w:val="3F1A3537"/>
    <w:rsid w:val="406860E5"/>
    <w:rsid w:val="41C8141C"/>
    <w:rsid w:val="43192950"/>
    <w:rsid w:val="439B59F8"/>
    <w:rsid w:val="43CC3513"/>
    <w:rsid w:val="46B6350A"/>
    <w:rsid w:val="4A4965B8"/>
    <w:rsid w:val="4AB66B25"/>
    <w:rsid w:val="4CC11CC9"/>
    <w:rsid w:val="4D1F46E6"/>
    <w:rsid w:val="4DD55691"/>
    <w:rsid w:val="555327DE"/>
    <w:rsid w:val="55923273"/>
    <w:rsid w:val="56217836"/>
    <w:rsid w:val="589750EE"/>
    <w:rsid w:val="5929057A"/>
    <w:rsid w:val="59E979D1"/>
    <w:rsid w:val="61896A78"/>
    <w:rsid w:val="66BA67AA"/>
    <w:rsid w:val="67B6770E"/>
    <w:rsid w:val="68E62A50"/>
    <w:rsid w:val="6BD257A1"/>
    <w:rsid w:val="6E0A5DDB"/>
    <w:rsid w:val="6E706ADD"/>
    <w:rsid w:val="772A296F"/>
    <w:rsid w:val="7CE86711"/>
    <w:rsid w:val="7F8B0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Emphasis"/>
    <w:basedOn w:val="5"/>
    <w:qFormat/>
    <w:uiPriority w:val="0"/>
    <w:rPr>
      <w:i/>
    </w:rPr>
  </w:style>
  <w:style w:type="table" w:customStyle="1" w:styleId="7">
    <w:name w:val="TableGrid"/>
    <w:qFormat/>
    <w:uiPriority w:val="0"/>
    <w:rPr>
      <w:rFonts w:cs="Times New Roman"/>
    </w:rPr>
    <w:tblPr>
      <w:tblCellMar>
        <w:top w:w="0" w:type="dxa"/>
        <w:left w:w="0" w:type="dxa"/>
        <w:bottom w:w="0" w:type="dxa"/>
        <w:right w:w="0"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1396</Words>
  <Characters>1439</Characters>
  <Lines>0</Lines>
  <Paragraphs>0</Paragraphs>
  <TotalTime>12</TotalTime>
  <ScaleCrop>false</ScaleCrop>
  <LinksUpToDate>false</LinksUpToDate>
  <CharactersWithSpaces>1522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2021-10-29T01:55:00Z</dcterms:created>
  <dc:creator>夏</dc:creator>
  <cp:lastModifiedBy>夏</cp:lastModifiedBy>
  <cp:lastPrinted>2022-02-28T06:26:00Z</cp:lastPrinted>
  <dcterms:modified xsi:type="dcterms:W3CDTF">2022-04-29T07:14:02Z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D464E95ADABE49A383B31E727BF4F067</vt:lpwstr>
  </property>
</Properties>
</file>