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厦门</w:t>
      </w:r>
      <w:r>
        <w:rPr>
          <w:rFonts w:hint="eastAsia" w:ascii="黑体" w:hAnsi="黑体" w:eastAsia="黑体"/>
          <w:sz w:val="32"/>
          <w:szCs w:val="32"/>
        </w:rPr>
        <w:t>松霖</w:t>
      </w:r>
      <w:r>
        <w:rPr>
          <w:rFonts w:ascii="黑体" w:hAnsi="黑体" w:eastAsia="黑体"/>
          <w:sz w:val="32"/>
          <w:szCs w:val="32"/>
        </w:rPr>
        <w:t>科技股份有限公司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2021年度暨2022年第一季度业绩暨现金分红说明会</w:t>
      </w:r>
      <w:r>
        <w:rPr>
          <w:rFonts w:ascii="黑体" w:hAnsi="黑体" w:eastAsia="黑体"/>
          <w:sz w:val="32"/>
          <w:szCs w:val="32"/>
        </w:rPr>
        <w:t>纪要</w:t>
      </w:r>
    </w:p>
    <w:p/>
    <w:p/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时间</w:t>
      </w:r>
      <w:r>
        <w:rPr>
          <w:sz w:val="24"/>
          <w:szCs w:val="24"/>
        </w:rPr>
        <w:t>：202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 xml:space="preserve"> 月 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 xml:space="preserve"> 日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午 15: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sz w:val="24"/>
          <w:szCs w:val="24"/>
        </w:rPr>
        <w:t>-16: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sz w:val="24"/>
          <w:szCs w:val="24"/>
        </w:rPr>
        <w:t xml:space="preserve"> </w:t>
      </w:r>
    </w:p>
    <w:p>
      <w:pPr>
        <w:spacing w:before="62" w:beforeLines="20"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业绩说明会会议形式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视频直播和网络互动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会议嘉宾：</w:t>
      </w:r>
      <w:r>
        <w:rPr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董事长</w:t>
      </w:r>
      <w:r>
        <w:rPr>
          <w:rFonts w:hint="eastAsia"/>
          <w:sz w:val="24"/>
          <w:szCs w:val="24"/>
        </w:rPr>
        <w:t>兼</w:t>
      </w:r>
      <w:r>
        <w:rPr>
          <w:sz w:val="24"/>
          <w:szCs w:val="24"/>
        </w:rPr>
        <w:t>总经理               周华松先生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董事、副总经理               陈斌先生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董事、财务</w:t>
      </w:r>
      <w:r>
        <w:rPr>
          <w:sz w:val="24"/>
          <w:szCs w:val="24"/>
        </w:rPr>
        <w:t>总监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副总经理</w:t>
      </w:r>
      <w:r>
        <w:rPr>
          <w:rFonts w:hint="eastAsia"/>
          <w:sz w:val="24"/>
          <w:szCs w:val="24"/>
        </w:rPr>
        <w:t xml:space="preserve">     魏凌</w:t>
      </w:r>
      <w:r>
        <w:rPr>
          <w:sz w:val="24"/>
          <w:szCs w:val="24"/>
        </w:rPr>
        <w:t>女士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董事、董事会秘书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吴朝华</w:t>
      </w:r>
      <w:r>
        <w:rPr>
          <w:sz w:val="24"/>
          <w:szCs w:val="24"/>
        </w:rPr>
        <w:t>女士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说明：</w:t>
      </w:r>
      <w:r>
        <w:rPr>
          <w:sz w:val="24"/>
          <w:szCs w:val="24"/>
        </w:rPr>
        <w:t xml:space="preserve">本会议纪要根据 </w:t>
      </w:r>
      <w:r>
        <w:rPr>
          <w:rFonts w:hint="eastAsia"/>
          <w:sz w:val="24"/>
          <w:szCs w:val="24"/>
        </w:rPr>
        <w:t>2021年度暨2022年第一季度业绩暨现金分红说明会纪要</w:t>
      </w:r>
      <w:r>
        <w:rPr>
          <w:sz w:val="24"/>
          <w:szCs w:val="24"/>
        </w:rPr>
        <w:t>交流问答情况进行整理。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征集问题回答及文字互动主要内容：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我们就本次业绩说明会临时公告公开征集到的、投资者普遍关注的问题进行解答。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1、</w:t>
      </w:r>
      <w:r>
        <w:rPr>
          <w:rFonts w:hint="eastAsia"/>
          <w:b/>
          <w:sz w:val="24"/>
          <w:szCs w:val="24"/>
        </w:rPr>
        <w:t>公司什么时候进行现金分红呢？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答：</w:t>
      </w:r>
      <w:r>
        <w:rPr>
          <w:rFonts w:hint="eastAsia"/>
          <w:sz w:val="24"/>
          <w:szCs w:val="24"/>
        </w:rPr>
        <w:t>您好，感谢您的关注！公司关于2021年年度利润分配预案尚需提交公司2022年5月16日召开的2021年年度股东大会审议批准。根据《上海证券交易所股票上市规则》规定，上市公司应当在股东大会审议通过方案后2个月内，完成利润分配及公积金转增股本事宜。具体实施方案公司将在权益分派实施公告中披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2、去年公司的存货较同期增加近一倍是什么原因呢？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答</w:t>
      </w:r>
      <w:r>
        <w:rPr>
          <w:rFonts w:hint="eastAsia"/>
          <w:sz w:val="24"/>
          <w:szCs w:val="24"/>
        </w:rPr>
        <w:t>：2021年公司存货较同期增加主要有以下影响因素：首先2021年8月起倍杰特公司并表导致库存增加，其次2021年订单增长带动的存货规模自然增长、外部运输环境影响公司的出货时效。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3、去年公司的综合毛利率下降5个点是什么原因？未来是否会随着规模扩大不断下滑？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去年由于原材料价格上涨、汇率变动等原因使得公司主营业务成本上升，而另一侧与客户的价格联动在时间上存在一定的滞后性，毛利率出现暂时性下滑。未来公司将坚持“健康硬件IDM”和“松霖•家”的双引擎模式基础上，持续深耕研发，推动健康和智能技术创新，丰富产品品类，加强人才培养，坚持用技术创新创造价值，不断提升公司产品的附加值，用技术创新赢得和服务客户，实现公司高速、高效、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4、公司未来的发展规划？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答：公司将始终坚持“健康硬件IDM”和“松霖•家”的“双引</w:t>
      </w:r>
      <w:bookmarkStart w:id="0" w:name="_GoBack"/>
      <w:bookmarkEnd w:id="0"/>
      <w:r>
        <w:rPr>
          <w:rFonts w:hint="eastAsia"/>
          <w:sz w:val="24"/>
          <w:szCs w:val="24"/>
        </w:rPr>
        <w:t>擎”发展战略。“健康硬件IDM”将坚持以“健康”为核心的技术和产品研发，升级淋浴SPA健康、龙头用水健康及智能马桶健康等组成的厨卫健康品类，加速发展SPA美容花洒、美容仪、冲牙器、健发仪、智能测肤仪等美容健康品类，不断孵化培育以智能健身镜、智能睡眠监护系统为主的新兴智能健康硬件产品；“松霖•家”将持续研发创新出HOME家空间的模组化产品，并以此为基础，重新定义室内设计流程及装修施工的流程，为目标客户提供“家空间”的产品和解决方案的设计、体验、交付、交互升级和售后的完整闭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年报披露，报告期公司“健康硬件IDM”业务的厨卫健康和美容健康的营业收入均有较大增长，其中厨卫健康品类实现营业收入261,312万元，同比增长41%；美容健康品类实现营业收入11,366万元，同比增长145%。请公司说明“健康硬件IDM”业务营收大幅增长的主要原因，及上述原因是否能为公司业绩带来持续的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 ：“健康硬件IDM”业务营收大幅增长的主要原因: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1、报告期收购厦门倍杰特科技有限公司，自2021年8月起并表，影响当年营业收入3.18亿元。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2、公司升级厨卫品类，以健康作为第一创新方向，持续推动新产品、新项目实现收入增长。报告期厨卫健康品类实现营收26.13亿元，剔除并购厦门倍杰特科技有限公司的影响，同比增长24.19%。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近年来，公司加强美容健康品类的技术和市场培育，在原有细分品类的基础上，拓展至涵盖SPA美容花洒、美容仪、冲牙器、健发仪、智能测肤仪等细分单品，已同全球知名的美容仪器品牌、个护健康品牌、综合家电品牌、美妆日化品牌等全球多个主要客户建立合作项目。美容健康品类实现持续高速发展，实现营收1.14亿元，同比增长144.77%，已成为我司“健康硬件IDM”业务的第二个增长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外，公司借助内生研发技术共享平台，已开始孵化新的智能健康硬件，加快布局新兴智能健康品类的研发，将健康智能硬件向更广的领域延伸。目前，公司已在智能健身镜、智能睡眠监测系统等品类及场景取得重要的技术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公司始终坚持“健康硬件IDM”战略，最大化整合公司的技术资源、客户资源、制造资源，将更有利于提升公司各细分品类的核心竞争力，为公司业绩增长带来持续的促进作用。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6、年报披露，公司始终坚持“健康硬件IDM”和“松霖</w:t>
      </w:r>
      <w:r>
        <w:rPr>
          <w:rFonts w:hint="eastAsia"/>
          <w:b/>
          <w:sz w:val="24"/>
          <w:szCs w:val="24"/>
          <w:lang w:val="en-US" w:eastAsia="zh-CN"/>
        </w:rPr>
        <w:t>·</w:t>
      </w:r>
      <w:r>
        <w:rPr>
          <w:rFonts w:hint="eastAsia"/>
          <w:b/>
          <w:sz w:val="24"/>
          <w:szCs w:val="24"/>
        </w:rPr>
        <w:t>家”的“双引擎”发展战略，2021年公司“松霖·家”业务实现营业收入10,151万元，营业成本8,551万元，毛利率比上年减少20.37个百分点，实现净利润-11,444万元。请公司说明“松霖·家”业务净利润大幅亏损的原因，以及公司将通过哪些措施预计何时扭转亏损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 ：由于“松霖•家”颠覆地研发创新出HOME家空间的模组化产品，并以此为基础，重新定义室内设计流程及装修施工的流程，可以说“松霖•家”对于传统的家居、设计、家装行业而言，是一种全新的“整家”新物种品牌及模式，目前处于商业模式研发的投入阶段，前期投入较大。主要包含以下三个方面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1、研发创新投入高；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2、“松霖•家”拥有自己的后台定制工厂，前期规模化效应不足；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3、为了能快速拓展“松霖•家”业务，提前布局了10个大型城市体验店及分公司人员储备。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公司将通过完善“松霖•家”的商业模式，提升单个分公司的收入及业绩，并通过进入更多的城市产生规模效应，以更好回报广大投资者。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NGE4MjFhZTcwN2EyMGViNDNmMzUwZmUwNjVkNDgifQ=="/>
  </w:docVars>
  <w:rsids>
    <w:rsidRoot w:val="00A42650"/>
    <w:rsid w:val="000131F3"/>
    <w:rsid w:val="00045834"/>
    <w:rsid w:val="000565FC"/>
    <w:rsid w:val="00075206"/>
    <w:rsid w:val="00080A1E"/>
    <w:rsid w:val="000F69FC"/>
    <w:rsid w:val="0010018D"/>
    <w:rsid w:val="00107E82"/>
    <w:rsid w:val="001552D1"/>
    <w:rsid w:val="001553A6"/>
    <w:rsid w:val="0018138A"/>
    <w:rsid w:val="001A5216"/>
    <w:rsid w:val="001F446D"/>
    <w:rsid w:val="0022176C"/>
    <w:rsid w:val="00233CFA"/>
    <w:rsid w:val="00274182"/>
    <w:rsid w:val="002770B5"/>
    <w:rsid w:val="00297D72"/>
    <w:rsid w:val="002C2194"/>
    <w:rsid w:val="002C289E"/>
    <w:rsid w:val="002C7D1F"/>
    <w:rsid w:val="002D0034"/>
    <w:rsid w:val="003114D7"/>
    <w:rsid w:val="00311B1D"/>
    <w:rsid w:val="00341BD8"/>
    <w:rsid w:val="00343F09"/>
    <w:rsid w:val="00344D9E"/>
    <w:rsid w:val="00346D0C"/>
    <w:rsid w:val="00387C0E"/>
    <w:rsid w:val="00396DA2"/>
    <w:rsid w:val="003C41B1"/>
    <w:rsid w:val="003D0D4B"/>
    <w:rsid w:val="003D7958"/>
    <w:rsid w:val="003D7BD6"/>
    <w:rsid w:val="003E085A"/>
    <w:rsid w:val="003F121D"/>
    <w:rsid w:val="00431B50"/>
    <w:rsid w:val="00456C0D"/>
    <w:rsid w:val="0046335A"/>
    <w:rsid w:val="00481889"/>
    <w:rsid w:val="00483CC2"/>
    <w:rsid w:val="00523F0E"/>
    <w:rsid w:val="00557B65"/>
    <w:rsid w:val="00592B0B"/>
    <w:rsid w:val="005B70B3"/>
    <w:rsid w:val="005C18A2"/>
    <w:rsid w:val="005C62CF"/>
    <w:rsid w:val="005E02D4"/>
    <w:rsid w:val="00630464"/>
    <w:rsid w:val="0065319F"/>
    <w:rsid w:val="00653A91"/>
    <w:rsid w:val="0065408A"/>
    <w:rsid w:val="00657F26"/>
    <w:rsid w:val="00663659"/>
    <w:rsid w:val="00663A57"/>
    <w:rsid w:val="00680B3E"/>
    <w:rsid w:val="00715928"/>
    <w:rsid w:val="00724012"/>
    <w:rsid w:val="00737B50"/>
    <w:rsid w:val="00762117"/>
    <w:rsid w:val="00774307"/>
    <w:rsid w:val="00782C0F"/>
    <w:rsid w:val="00786441"/>
    <w:rsid w:val="007A1162"/>
    <w:rsid w:val="007A15F0"/>
    <w:rsid w:val="007A567F"/>
    <w:rsid w:val="007B2D5D"/>
    <w:rsid w:val="007D6F46"/>
    <w:rsid w:val="00831222"/>
    <w:rsid w:val="0085122B"/>
    <w:rsid w:val="00865A46"/>
    <w:rsid w:val="00871F22"/>
    <w:rsid w:val="00876146"/>
    <w:rsid w:val="00892AD3"/>
    <w:rsid w:val="008B687C"/>
    <w:rsid w:val="009470C3"/>
    <w:rsid w:val="00982975"/>
    <w:rsid w:val="00983A88"/>
    <w:rsid w:val="009A6312"/>
    <w:rsid w:val="009B2CD3"/>
    <w:rsid w:val="009C2690"/>
    <w:rsid w:val="009D5FFC"/>
    <w:rsid w:val="009D6D1C"/>
    <w:rsid w:val="009F17DA"/>
    <w:rsid w:val="00A237B9"/>
    <w:rsid w:val="00A25201"/>
    <w:rsid w:val="00A27326"/>
    <w:rsid w:val="00A309F2"/>
    <w:rsid w:val="00A33389"/>
    <w:rsid w:val="00A42650"/>
    <w:rsid w:val="00A452DE"/>
    <w:rsid w:val="00A6734E"/>
    <w:rsid w:val="00A71DEC"/>
    <w:rsid w:val="00A7243E"/>
    <w:rsid w:val="00AB48EB"/>
    <w:rsid w:val="00AC26C6"/>
    <w:rsid w:val="00AC2CAA"/>
    <w:rsid w:val="00AF541C"/>
    <w:rsid w:val="00B366E8"/>
    <w:rsid w:val="00B4210D"/>
    <w:rsid w:val="00B61D57"/>
    <w:rsid w:val="00B651AA"/>
    <w:rsid w:val="00B72316"/>
    <w:rsid w:val="00B81CB4"/>
    <w:rsid w:val="00B87310"/>
    <w:rsid w:val="00BB5707"/>
    <w:rsid w:val="00BE5E0F"/>
    <w:rsid w:val="00BF5F63"/>
    <w:rsid w:val="00C04B62"/>
    <w:rsid w:val="00C15E6D"/>
    <w:rsid w:val="00C20383"/>
    <w:rsid w:val="00C42123"/>
    <w:rsid w:val="00C52163"/>
    <w:rsid w:val="00C818B4"/>
    <w:rsid w:val="00C829C5"/>
    <w:rsid w:val="00CA3EEB"/>
    <w:rsid w:val="00CC38E2"/>
    <w:rsid w:val="00D0425D"/>
    <w:rsid w:val="00D072B9"/>
    <w:rsid w:val="00D20BEE"/>
    <w:rsid w:val="00D432AB"/>
    <w:rsid w:val="00D469EE"/>
    <w:rsid w:val="00D60395"/>
    <w:rsid w:val="00D80659"/>
    <w:rsid w:val="00D905DD"/>
    <w:rsid w:val="00DC1546"/>
    <w:rsid w:val="00DD70EA"/>
    <w:rsid w:val="00DD7A61"/>
    <w:rsid w:val="00E231EE"/>
    <w:rsid w:val="00E632AF"/>
    <w:rsid w:val="00E7248B"/>
    <w:rsid w:val="00E801BA"/>
    <w:rsid w:val="00EA193C"/>
    <w:rsid w:val="00EC51E6"/>
    <w:rsid w:val="00ED364A"/>
    <w:rsid w:val="00EF0EEF"/>
    <w:rsid w:val="00EF3913"/>
    <w:rsid w:val="00EF6066"/>
    <w:rsid w:val="00EF79D6"/>
    <w:rsid w:val="00F213AF"/>
    <w:rsid w:val="00F24C22"/>
    <w:rsid w:val="00F57452"/>
    <w:rsid w:val="00F630FD"/>
    <w:rsid w:val="00F72E29"/>
    <w:rsid w:val="00F747A4"/>
    <w:rsid w:val="00F7787A"/>
    <w:rsid w:val="00FA2E9E"/>
    <w:rsid w:val="00FA3289"/>
    <w:rsid w:val="13FD017F"/>
    <w:rsid w:val="1DE21007"/>
    <w:rsid w:val="45C84F1B"/>
    <w:rsid w:val="777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2018</Words>
  <Characters>2155</Characters>
  <Lines>12</Lines>
  <Paragraphs>3</Paragraphs>
  <TotalTime>969</TotalTime>
  <ScaleCrop>false</ScaleCrop>
  <LinksUpToDate>false</LinksUpToDate>
  <CharactersWithSpaces>2231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2021-04-21T01:00:00Z</dcterms:created>
  <dc:creator>Horizon客户端</dc:creator>
  <cp:lastModifiedBy>阿某某Paca</cp:lastModifiedBy>
  <dcterms:modified xsi:type="dcterms:W3CDTF">2022-05-06T09:57:39Z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6771B72C308D4C7389226BA28841AF1C</vt:lpwstr>
  </property>
</Properties>
</file>