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AADB" w14:textId="77777777" w:rsidR="00E9227A" w:rsidRDefault="004252AF" w:rsidP="00430C7B">
      <w:pPr>
        <w:spacing w:line="360" w:lineRule="auto"/>
        <w:jc w:val="center"/>
        <w:rPr>
          <w:rFonts w:ascii="宋体" w:eastAsia="宋体" w:hAnsi="宋体" w:cs="Times New Roman"/>
          <w:b/>
          <w:bCs/>
          <w:iCs/>
          <w:color w:val="000000"/>
          <w:sz w:val="28"/>
          <w:szCs w:val="28"/>
        </w:rPr>
      </w:pPr>
      <w:r w:rsidRPr="005C398B">
        <w:rPr>
          <w:rFonts w:ascii="宋体" w:eastAsia="宋体" w:hAnsi="宋体" w:cs="Times New Roman" w:hint="eastAsia"/>
          <w:b/>
          <w:bCs/>
          <w:iCs/>
          <w:color w:val="000000"/>
          <w:sz w:val="28"/>
          <w:szCs w:val="28"/>
        </w:rPr>
        <w:t>厦门厦钨新能源材料股份有限公司</w:t>
      </w:r>
    </w:p>
    <w:p w14:paraId="231EA513" w14:textId="4E82688C" w:rsidR="004252AF" w:rsidRPr="005C398B" w:rsidRDefault="004252AF" w:rsidP="00430C7B">
      <w:pPr>
        <w:spacing w:line="360" w:lineRule="auto"/>
        <w:jc w:val="center"/>
        <w:rPr>
          <w:rFonts w:ascii="宋体" w:eastAsia="宋体" w:hAnsi="宋体" w:cs="Times New Roman"/>
          <w:b/>
          <w:bCs/>
          <w:iCs/>
          <w:color w:val="000000"/>
          <w:sz w:val="28"/>
          <w:szCs w:val="28"/>
        </w:rPr>
      </w:pPr>
      <w:bookmarkStart w:id="0" w:name="_Hlk90545547"/>
      <w:r w:rsidRPr="005C398B">
        <w:rPr>
          <w:rFonts w:ascii="宋体" w:eastAsia="宋体" w:hAnsi="宋体" w:cs="Times New Roman" w:hint="eastAsia"/>
          <w:b/>
          <w:bCs/>
          <w:iCs/>
          <w:color w:val="000000"/>
          <w:sz w:val="28"/>
          <w:szCs w:val="28"/>
        </w:rPr>
        <w:t>投资者关系活动记录表</w:t>
      </w:r>
    </w:p>
    <w:bookmarkEnd w:id="0"/>
    <w:p w14:paraId="69AF8877" w14:textId="3DA29107" w:rsidR="004252AF" w:rsidRPr="004252AF" w:rsidRDefault="004252AF" w:rsidP="008C291A">
      <w:pPr>
        <w:spacing w:line="400" w:lineRule="exact"/>
        <w:rPr>
          <w:rFonts w:ascii="宋体" w:eastAsia="宋体" w:hAnsi="宋体" w:cs="Times New Roman"/>
          <w:bCs/>
          <w:i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585"/>
      </w:tblGrid>
      <w:tr w:rsidR="004252AF" w:rsidRPr="004252AF" w14:paraId="62A05081" w14:textId="77777777" w:rsidTr="00DE5F56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73AE" w14:textId="77777777" w:rsidR="005C398B" w:rsidRDefault="004252AF" w:rsidP="005C398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 w:rsidRPr="004252AF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投资者关系</w:t>
            </w:r>
          </w:p>
          <w:p w14:paraId="1142D2DB" w14:textId="7066732D" w:rsidR="004252AF" w:rsidRPr="004252AF" w:rsidRDefault="004252AF" w:rsidP="005C398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 w:rsidRPr="004252AF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2F9D" w14:textId="099C9FF9" w:rsidR="005C398B" w:rsidRDefault="000A75EE" w:rsidP="004252AF">
            <w:pPr>
              <w:spacing w:line="48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4252AF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4252AF" w:rsidRPr="004252AF">
              <w:rPr>
                <w:rFonts w:ascii="宋体" w:eastAsia="宋体" w:hAnsi="宋体" w:cs="Times New Roman" w:hint="eastAsia"/>
                <w:sz w:val="24"/>
                <w:szCs w:val="24"/>
              </w:rPr>
              <w:t>特定对象调研</w:t>
            </w:r>
            <w:r w:rsidR="005C398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5C398B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="004252AF" w:rsidRPr="004252A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4252AF" w:rsidRPr="004252AF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4252AF" w:rsidRPr="004252AF">
              <w:rPr>
                <w:rFonts w:ascii="宋体" w:eastAsia="宋体" w:hAnsi="宋体" w:cs="Times New Roman" w:hint="eastAsia"/>
                <w:sz w:val="24"/>
                <w:szCs w:val="24"/>
              </w:rPr>
              <w:t>分析</w:t>
            </w:r>
            <w:proofErr w:type="gramStart"/>
            <w:r w:rsidR="004252AF" w:rsidRPr="004252AF">
              <w:rPr>
                <w:rFonts w:ascii="宋体" w:eastAsia="宋体" w:hAnsi="宋体" w:cs="Times New Roman" w:hint="eastAsia"/>
                <w:sz w:val="24"/>
                <w:szCs w:val="24"/>
              </w:rPr>
              <w:t>师会议</w:t>
            </w:r>
            <w:proofErr w:type="gramEnd"/>
            <w:r w:rsidR="005C398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5C398B"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  <w:r w:rsidR="004252AF" w:rsidRPr="004252AF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4252AF" w:rsidRPr="004252AF">
              <w:rPr>
                <w:rFonts w:ascii="宋体" w:eastAsia="宋体" w:hAnsi="宋体" w:cs="Times New Roman" w:hint="eastAsia"/>
                <w:sz w:val="24"/>
                <w:szCs w:val="24"/>
              </w:rPr>
              <w:t>媒体采访</w:t>
            </w:r>
          </w:p>
          <w:p w14:paraId="48F2F1F5" w14:textId="3B85F364" w:rsidR="004252AF" w:rsidRPr="004252AF" w:rsidRDefault="004252AF" w:rsidP="004252AF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 w:rsidRPr="004252AF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4252AF"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  <w:r w:rsidR="005C398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5C398B">
              <w:rPr>
                <w:rFonts w:ascii="宋体" w:eastAsia="宋体" w:hAnsi="宋体" w:cs="Times New Roman"/>
                <w:sz w:val="24"/>
                <w:szCs w:val="24"/>
              </w:rPr>
              <w:t xml:space="preserve">       </w:t>
            </w:r>
            <w:r w:rsidRPr="004252AF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4252A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</w:t>
            </w:r>
            <w:r w:rsidR="005C398B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4252A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4252AF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4252AF"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14:paraId="4B965DFB" w14:textId="78142773" w:rsidR="004252AF" w:rsidRPr="004252AF" w:rsidRDefault="004252AF" w:rsidP="005C398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 w:rsidRPr="004252AF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4252AF">
              <w:rPr>
                <w:rFonts w:ascii="宋体" w:eastAsia="宋体" w:hAnsi="宋体" w:cs="Times New Roman" w:hint="eastAsia"/>
                <w:sz w:val="24"/>
                <w:szCs w:val="24"/>
              </w:rPr>
              <w:t>现场参观</w:t>
            </w:r>
            <w:r w:rsidR="005C398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5C398B">
              <w:rPr>
                <w:rFonts w:ascii="宋体" w:eastAsia="宋体" w:hAnsi="宋体" w:cs="Times New Roman"/>
                <w:sz w:val="24"/>
                <w:szCs w:val="24"/>
              </w:rPr>
              <w:t xml:space="preserve">         </w:t>
            </w:r>
            <w:r w:rsidR="000A75EE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√</w:t>
            </w:r>
            <w:r w:rsidRPr="004252AF">
              <w:rPr>
                <w:rFonts w:ascii="宋体" w:eastAsia="宋体" w:hAnsi="宋体" w:cs="Times New Roman" w:hint="eastAsia"/>
                <w:sz w:val="24"/>
                <w:szCs w:val="24"/>
              </w:rPr>
              <w:t>其他</w:t>
            </w:r>
            <w:r w:rsidR="005C398B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5C398B" w:rsidRPr="005C398B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</w:t>
            </w:r>
            <w:r w:rsidR="000A75EE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线上</w:t>
            </w:r>
            <w:r w:rsidR="004D0883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电话会议</w:t>
            </w:r>
            <w:r w:rsidR="005C398B" w:rsidRPr="005C398B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4252AF" w:rsidRPr="004252AF" w14:paraId="57DA1853" w14:textId="77777777" w:rsidTr="00DA40B8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2A76" w14:textId="77777777" w:rsidR="005C398B" w:rsidRDefault="004252AF" w:rsidP="005C398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 w:rsidRPr="004252AF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参与单位名称</w:t>
            </w:r>
          </w:p>
          <w:p w14:paraId="3B3D5B67" w14:textId="0D2BB2DB" w:rsidR="004252AF" w:rsidRPr="004252AF" w:rsidRDefault="004252AF" w:rsidP="005C398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 w:rsidRPr="004252AF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D746" w14:textId="30269D7C" w:rsidR="00E60CCF" w:rsidRDefault="004D0883" w:rsidP="00DA40B8">
            <w:pPr>
              <w:spacing w:line="480" w:lineRule="atLeast"/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安信证券</w:t>
            </w:r>
            <w:r w:rsidR="000A75EE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60CCF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张鹏、武</w:t>
            </w:r>
            <w:proofErr w:type="gramStart"/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浩</w:t>
            </w:r>
            <w:proofErr w:type="gramEnd"/>
          </w:p>
          <w:p w14:paraId="64BAEB9B" w14:textId="7F7EEC9D" w:rsidR="00E60CCF" w:rsidRDefault="004D0883" w:rsidP="00DA40B8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天风证券</w:t>
            </w:r>
            <w:r w:rsidR="002217C9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60CCF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张童</w:t>
            </w:r>
            <w:proofErr w:type="gramStart"/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童</w:t>
            </w:r>
            <w:proofErr w:type="gramEnd"/>
          </w:p>
          <w:p w14:paraId="3BE83F88" w14:textId="4EB0449B" w:rsidR="000A75EE" w:rsidRPr="00DA40B8" w:rsidRDefault="000A75EE" w:rsidP="00DA40B8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其他详见附件</w:t>
            </w:r>
          </w:p>
        </w:tc>
      </w:tr>
      <w:tr w:rsidR="004252AF" w:rsidRPr="004252AF" w14:paraId="52714AD0" w14:textId="77777777" w:rsidTr="00DE5F56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12C6" w14:textId="77777777" w:rsidR="004252AF" w:rsidRPr="004252AF" w:rsidRDefault="004252AF" w:rsidP="005C398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 w:rsidRPr="004252AF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21FB" w14:textId="7622038C" w:rsidR="004252AF" w:rsidRPr="004252AF" w:rsidRDefault="004252AF" w:rsidP="002217C9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02</w:t>
            </w:r>
            <w:r w:rsidR="00C31BFA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4D0883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4D0883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日</w:t>
            </w:r>
            <w:r w:rsidR="002217C9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至2022年</w:t>
            </w:r>
            <w:r w:rsidR="004D0883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="002217C9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4D0883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30</w:t>
            </w:r>
            <w:r w:rsidR="002217C9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4252AF" w:rsidRPr="004252AF" w14:paraId="6806E032" w14:textId="77777777" w:rsidTr="00DE5F56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E2FB" w14:textId="77777777" w:rsidR="004252AF" w:rsidRPr="004252AF" w:rsidRDefault="004252AF" w:rsidP="005C398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 w:rsidRPr="004252AF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93B9" w14:textId="288893CA" w:rsidR="004252AF" w:rsidRPr="004252AF" w:rsidRDefault="004252AF" w:rsidP="004252AF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厦钨新能</w:t>
            </w:r>
            <w:proofErr w:type="gramEnd"/>
            <w:r w:rsidR="009B00DA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A40B8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海</w:t>
            </w:r>
            <w:proofErr w:type="gramStart"/>
            <w:r w:rsidR="00DA40B8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沧</w:t>
            </w:r>
            <w:proofErr w:type="gramEnd"/>
            <w:r w:rsidR="00C31BFA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基地会议室</w:t>
            </w:r>
            <w:r w:rsidR="002217C9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及线上会议</w:t>
            </w:r>
          </w:p>
        </w:tc>
      </w:tr>
      <w:tr w:rsidR="004252AF" w:rsidRPr="004252AF" w14:paraId="07B567E2" w14:textId="77777777" w:rsidTr="00C31BFA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E49D" w14:textId="77777777" w:rsidR="005C398B" w:rsidRDefault="004252AF" w:rsidP="005C398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 w:rsidRPr="004252AF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上市公司</w:t>
            </w:r>
          </w:p>
          <w:p w14:paraId="6AD3BCA5" w14:textId="235EE5D5" w:rsidR="004252AF" w:rsidRPr="004252AF" w:rsidRDefault="004252AF" w:rsidP="005C398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 w:rsidRPr="004252AF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5C15" w14:textId="4064C966" w:rsidR="00DA40B8" w:rsidRDefault="00DA40B8" w:rsidP="00C31BF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 xml:space="preserve">董事会秘书 </w:t>
            </w:r>
            <w:r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陈康晟</w:t>
            </w:r>
          </w:p>
          <w:p w14:paraId="57F90804" w14:textId="1E0B8537" w:rsidR="004252AF" w:rsidRPr="004252AF" w:rsidRDefault="004252AF" w:rsidP="00C31BF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证券事务代表</w:t>
            </w:r>
            <w:r w:rsidR="005C398B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C398B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汪超</w:t>
            </w:r>
            <w:proofErr w:type="gramEnd"/>
          </w:p>
        </w:tc>
      </w:tr>
      <w:tr w:rsidR="00DE5F56" w:rsidRPr="004252AF" w14:paraId="2153F56C" w14:textId="77777777" w:rsidTr="00DE5F56">
        <w:trPr>
          <w:jc w:val="center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62B1" w14:textId="4F49B81B" w:rsidR="00DE5F56" w:rsidRPr="00E63631" w:rsidRDefault="00DE5F56" w:rsidP="00DE5F5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</w:rPr>
            </w:pPr>
            <w:r w:rsidRPr="00E63631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投资者关系活动主要内容摘要</w:t>
            </w:r>
          </w:p>
        </w:tc>
      </w:tr>
      <w:tr w:rsidR="00DE5F56" w:rsidRPr="004252AF" w14:paraId="36E856A2" w14:textId="77777777" w:rsidTr="00DE5F56">
        <w:trPr>
          <w:jc w:val="center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3E22" w14:textId="21FEF44C" w:rsidR="00DE5F56" w:rsidRPr="004252AF" w:rsidRDefault="00DE5F56" w:rsidP="004252AF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主要</w:t>
            </w:r>
            <w:r w:rsidR="00E6363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交流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问题及回复如下：</w:t>
            </w:r>
          </w:p>
          <w:p w14:paraId="04CD87C1" w14:textId="10FEF3B2" w:rsidR="000A75EE" w:rsidRDefault="000A75EE" w:rsidP="000A75EE">
            <w:pPr>
              <w:spacing w:line="480" w:lineRule="atLeast"/>
              <w:ind w:firstLineChars="200" w:firstLine="482"/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</w:rPr>
              <w:t>.</w:t>
            </w:r>
            <w:r w:rsidR="004D0883"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</w:rPr>
              <w:t>2021</w:t>
            </w:r>
            <w:r w:rsidR="004D0883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年</w:t>
            </w:r>
            <w:r w:rsidR="002217C9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年报</w:t>
            </w:r>
            <w:r w:rsidR="004D0883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及2</w:t>
            </w:r>
            <w:r w:rsidR="004D0883"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</w:rPr>
              <w:t>022</w:t>
            </w:r>
            <w:r w:rsidR="004D0883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年</w:t>
            </w:r>
            <w:proofErr w:type="gramStart"/>
            <w:r w:rsidR="004D0883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一</w:t>
            </w:r>
            <w:proofErr w:type="gramEnd"/>
            <w:r w:rsidR="004D0883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季报</w:t>
            </w:r>
            <w:r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情况介绍</w:t>
            </w:r>
          </w:p>
          <w:p w14:paraId="40E8ECC6" w14:textId="317557B1" w:rsidR="00386461" w:rsidRDefault="002217C9" w:rsidP="000A75EE">
            <w:pPr>
              <w:spacing w:line="480" w:lineRule="atLeast"/>
              <w:ind w:firstLineChars="200" w:firstLine="480"/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（1）公司业绩</w:t>
            </w:r>
            <w:r w:rsidR="000A75EE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：</w:t>
            </w:r>
            <w:r w:rsidR="00330932" w:rsidRPr="00330932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公司按照行稳致远的原则，继续坚持“低库存、快周转”的经营策略，公司</w:t>
            </w:r>
            <w:r w:rsidR="00330932"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2021年实现营业收入155.66亿元左右，同比增长94.82%，实现归属于母公司所有者的净利润55,534.92万元，同比增长121.66%；</w:t>
            </w:r>
            <w:r w:rsidR="004D0883"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202</w:t>
            </w:r>
            <w:r w:rsidR="004D0883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2</w:t>
            </w:r>
            <w:r w:rsidR="004D0883"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年</w:t>
            </w:r>
            <w:r w:rsidR="004D0883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第一季度销量达到</w:t>
            </w:r>
            <w:r w:rsidR="004D0883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1.8</w:t>
            </w:r>
            <w:r w:rsidR="004D0883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万吨</w:t>
            </w:r>
            <w:r w:rsidR="004D0883"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；</w:t>
            </w:r>
            <w:r w:rsidR="004D0883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相对而言，后疫情时代，</w:t>
            </w:r>
            <w:proofErr w:type="gramStart"/>
            <w:r w:rsidR="004D0883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钴酸锂</w:t>
            </w:r>
            <w:proofErr w:type="gramEnd"/>
            <w:r w:rsidR="004D0883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的销量同比有所下降，但三元材料的销量同比增幅较大，总销量</w:t>
            </w:r>
            <w:proofErr w:type="gramStart"/>
            <w:r w:rsidR="004D0883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同比仍</w:t>
            </w:r>
            <w:proofErr w:type="gramEnd"/>
            <w:r w:rsidR="004D0883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有所提升。</w:t>
            </w:r>
          </w:p>
          <w:p w14:paraId="032F8917" w14:textId="603D2787" w:rsidR="00330932" w:rsidRPr="00330932" w:rsidRDefault="002217C9" w:rsidP="00330932">
            <w:pPr>
              <w:spacing w:line="480" w:lineRule="atLeast"/>
              <w:ind w:firstLineChars="200" w:firstLine="480"/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（2</w:t>
            </w:r>
            <w:r w:rsidR="00386461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）</w:t>
            </w:r>
            <w:r w:rsidR="00330932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研发方面：</w:t>
            </w:r>
            <w:r w:rsidR="00330932"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产品开发方面，公司4.48V</w:t>
            </w:r>
            <w:proofErr w:type="gramStart"/>
            <w:r w:rsidR="00330932"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钴酸锂自</w:t>
            </w:r>
            <w:proofErr w:type="gramEnd"/>
            <w:r w:rsidR="00330932"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2020年批量供货，2021年份额大幅提升；公司开发的新款高电压6系三元材料，在满足下游新能源汽车高续航、高安全性需求的同时，降低了镍钴等相对稀有金属的使用，性价比优势明显，并成功应用到续航里程超过1,000公里的电动车上；公司在高安全性</w:t>
            </w:r>
            <w:proofErr w:type="gramStart"/>
            <w:r w:rsidR="00330932"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高镍材料</w:t>
            </w:r>
            <w:proofErr w:type="gramEnd"/>
            <w:r w:rsidR="00330932"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的开发上取得了突破，未来推出的</w:t>
            </w:r>
            <w:proofErr w:type="gramStart"/>
            <w:r w:rsidR="00330932"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高镍产品</w:t>
            </w:r>
            <w:proofErr w:type="gramEnd"/>
            <w:r w:rsidR="00330932"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会兼顾高容量和高安全性能，让</w:t>
            </w:r>
            <w:proofErr w:type="gramStart"/>
            <w:r w:rsidR="00330932"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高镍材料</w:t>
            </w:r>
            <w:proofErr w:type="gramEnd"/>
            <w:r w:rsidR="00330932"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的优势得到更好的发挥；新开发的</w:t>
            </w:r>
            <w:proofErr w:type="gramStart"/>
            <w:r w:rsidR="00330932"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多款高功率</w:t>
            </w:r>
            <w:proofErr w:type="gramEnd"/>
            <w:r w:rsidR="00330932"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三元材料获得多家客户认证。</w:t>
            </w:r>
          </w:p>
          <w:p w14:paraId="1CF805BD" w14:textId="77777777" w:rsidR="00330932" w:rsidRDefault="00330932" w:rsidP="00330932">
            <w:pPr>
              <w:spacing w:line="480" w:lineRule="atLeast"/>
              <w:ind w:firstLineChars="200" w:firstLine="480"/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</w:pPr>
            <w:r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前沿技术方面，公司积极推进全固态电池材料、补锂技术、钠离子电池材料、新型前驱体技术，各项工作进展良好。其中，固态电解质技术实现吨级生产，生产的产品稳</w:t>
            </w:r>
            <w:r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lastRenderedPageBreak/>
              <w:t>定可靠，在固态电池体系中效果良好；公司开发的补</w:t>
            </w:r>
            <w:proofErr w:type="gramStart"/>
            <w:r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锂材料</w:t>
            </w:r>
            <w:proofErr w:type="gramEnd"/>
            <w:r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可以给电池提供额外的锂源，提高电池的容量、循环性能等，已通过终端的认证，预计2022年将实现应用；公司与国外客户合作，提升钠离子电池材料的倍率和低温性能；公司开发的新型前驱</w:t>
            </w:r>
            <w:proofErr w:type="gramStart"/>
            <w:r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体技术</w:t>
            </w:r>
            <w:proofErr w:type="gramEnd"/>
            <w:r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可以大量减少前驱</w:t>
            </w:r>
            <w:proofErr w:type="gramStart"/>
            <w:r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体生产</w:t>
            </w:r>
            <w:proofErr w:type="gramEnd"/>
            <w:r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过程的含氨氮废水，解决三元前驱</w:t>
            </w:r>
            <w:proofErr w:type="gramStart"/>
            <w:r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体生产</w:t>
            </w:r>
            <w:proofErr w:type="gramEnd"/>
            <w:r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过程的环保问题，应用前景广阔。</w:t>
            </w:r>
          </w:p>
          <w:p w14:paraId="3D5224E2" w14:textId="2F0206E0" w:rsidR="000A75EE" w:rsidRPr="00A001AF" w:rsidRDefault="00386461" w:rsidP="00330932">
            <w:pPr>
              <w:spacing w:line="480" w:lineRule="atLeast"/>
              <w:ind w:firstLineChars="200" w:firstLine="480"/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（</w:t>
            </w:r>
            <w:r w:rsidR="004D0883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）</w:t>
            </w:r>
            <w:r w:rsidR="00330932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2</w:t>
            </w:r>
            <w:r w:rsid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022</w:t>
            </w:r>
            <w:r w:rsidR="00330932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年展望：</w:t>
            </w:r>
            <w:r w:rsidR="00330932" w:rsidRPr="00330932">
              <w:rPr>
                <w:rFonts w:ascii="宋体" w:eastAsia="宋体" w:hAnsi="宋体" w:cs="Times New Roman"/>
                <w:iCs/>
                <w:color w:val="000000"/>
                <w:sz w:val="24"/>
                <w:szCs w:val="24"/>
              </w:rPr>
              <w:t>2022年，新冠疫情反复、国际局势动荡、镍钴锂等原材料价格大幅波动，深度影响新能源产业发展</w:t>
            </w:r>
            <w:r w:rsidR="00330932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，但同时也给公司一些产品带来一定机会，</w:t>
            </w:r>
            <w:proofErr w:type="gramStart"/>
            <w:r w:rsidR="00330932" w:rsidRPr="00330932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锂价涨幅</w:t>
            </w:r>
            <w:proofErr w:type="gramEnd"/>
            <w:r w:rsidR="00330932" w:rsidRPr="00330932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较大，混动车由于用电池较少，成本冲击相对不大，预计会有比较大的增量，相应高功率三元材料需求增加较多，公司将凭借技术优势稳固高功率三元材料龙头地位</w:t>
            </w:r>
            <w:r w:rsidR="00330932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，</w:t>
            </w:r>
            <w:r w:rsidR="00330932" w:rsidRPr="00330932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公司的高电压三元材料能够满足下游长续航、高安全的要求，镍钴用量也较少，预计将会有不错的市场空间</w:t>
            </w:r>
            <w:r w:rsidR="00330932">
              <w:rPr>
                <w:rFonts w:ascii="宋体" w:eastAsia="宋体" w:hAnsi="宋体" w:cs="Times New Roman" w:hint="eastAsia"/>
                <w:iCs/>
                <w:color w:val="000000"/>
                <w:sz w:val="24"/>
                <w:szCs w:val="24"/>
              </w:rPr>
              <w:t>。</w:t>
            </w:r>
          </w:p>
          <w:p w14:paraId="65AF2976" w14:textId="401E5C10" w:rsidR="004D0883" w:rsidRPr="00CE6558" w:rsidRDefault="00DA40B8" w:rsidP="004D0883">
            <w:pPr>
              <w:spacing w:line="480" w:lineRule="atLeast"/>
              <w:ind w:firstLineChars="200" w:firstLine="482"/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</w:rPr>
              <w:t>2</w:t>
            </w:r>
            <w:r w:rsidRPr="00B26AFC"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</w:rPr>
              <w:t>.</w:t>
            </w:r>
            <w:r w:rsidR="004D0883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近期新冠疫情的爆发对公司的影响？</w:t>
            </w:r>
          </w:p>
          <w:p w14:paraId="0BD69353" w14:textId="77777777" w:rsidR="004D0883" w:rsidRDefault="004D0883" w:rsidP="004D0883">
            <w:pPr>
              <w:spacing w:line="480" w:lineRule="atLeast"/>
              <w:ind w:firstLineChars="200" w:firstLine="480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目前公司各基地的生产一切正常，物流运输虽然受到一定的限制，但公司各基地积极配合当地政府做好防疫工作，正常的生产经营、物料进出未受到新冠疫情的影响，各基地均处于正常经营中</w:t>
            </w:r>
            <w:r w:rsidRPr="00386461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。</w:t>
            </w:r>
          </w:p>
          <w:p w14:paraId="6BAD3E52" w14:textId="14952CDC" w:rsidR="00DA40B8" w:rsidRPr="00B26AFC" w:rsidRDefault="004D0883" w:rsidP="00DA40B8">
            <w:pPr>
              <w:spacing w:line="480" w:lineRule="atLeast"/>
              <w:ind w:firstLineChars="200" w:firstLine="482"/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</w:rPr>
              <w:t>.</w:t>
            </w:r>
            <w:r w:rsidR="00DA40B8" w:rsidRPr="00B26AFC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公司</w:t>
            </w:r>
            <w:r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的</w:t>
            </w:r>
            <w:r w:rsidR="00330932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产能</w:t>
            </w:r>
            <w:r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情况</w:t>
            </w:r>
            <w:r w:rsidR="00DA40B8" w:rsidRPr="00B26AFC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？</w:t>
            </w:r>
          </w:p>
          <w:p w14:paraId="703CCBB8" w14:textId="7BE45079" w:rsidR="00DA40B8" w:rsidRDefault="00330932" w:rsidP="00330932">
            <w:pPr>
              <w:spacing w:line="480" w:lineRule="atLeast"/>
              <w:ind w:firstLineChars="200" w:firstLine="480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 w:rsidRPr="00330932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2021年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公司正极材料</w:t>
            </w:r>
            <w:r w:rsidRPr="00330932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销量7.2万吨。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目前公告的项目有海</w:t>
            </w:r>
            <w:r w:rsidRPr="00330932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璟基地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3号、6号、9号厂房项目，预计</w:t>
            </w:r>
            <w:r w:rsidRPr="00330932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2022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下半年</w:t>
            </w:r>
            <w:r w:rsidRPr="00330932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有3万吨三元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材料</w:t>
            </w:r>
            <w:r w:rsidRPr="00330932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投产，</w:t>
            </w:r>
            <w:r w:rsidR="004D0883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2</w:t>
            </w:r>
            <w:r w:rsidR="004D0883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0</w:t>
            </w:r>
            <w:r w:rsidRPr="00330932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23下半年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再有</w:t>
            </w:r>
            <w:r w:rsidR="004D0883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4.5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万吨三元材料</w:t>
            </w:r>
            <w:r w:rsidRPr="00330932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投产。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另外，公司已经在四川基地启动了首期磷酸铁锂项目</w:t>
            </w:r>
            <w:r w:rsidR="004D0883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，按公告</w:t>
            </w:r>
            <w:r w:rsidR="004D0883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预计在2</w:t>
            </w:r>
            <w:r w:rsidR="004D0883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023</w:t>
            </w:r>
            <w:r w:rsidR="004D0883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年投产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14:paraId="503DCCF5" w14:textId="3DF4A400" w:rsidR="00DA40B8" w:rsidRPr="00CE6558" w:rsidRDefault="00DA40B8" w:rsidP="00DA40B8">
            <w:pPr>
              <w:spacing w:line="480" w:lineRule="atLeast"/>
              <w:ind w:firstLineChars="200" w:firstLine="482"/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</w:rPr>
              <w:t>4</w:t>
            </w:r>
            <w:r w:rsidRPr="00CE6558"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公司称</w:t>
            </w:r>
            <w:r w:rsidRPr="00CE6558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磷酸</w:t>
            </w:r>
            <w:proofErr w:type="gramStart"/>
            <w:r w:rsidRPr="00CE6558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铁锂</w:t>
            </w:r>
            <w:r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走差异</w:t>
            </w:r>
            <w:proofErr w:type="gramEnd"/>
            <w:r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化的路线，请问</w:t>
            </w:r>
            <w:r w:rsidRPr="00CE6558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差异</w:t>
            </w:r>
            <w:proofErr w:type="gramStart"/>
            <w:r w:rsidRPr="00CE6558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化</w:t>
            </w:r>
            <w:r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体现</w:t>
            </w:r>
            <w:proofErr w:type="gramEnd"/>
            <w:r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在哪方面？</w:t>
            </w:r>
          </w:p>
          <w:p w14:paraId="6DECC50B" w14:textId="746DD539" w:rsidR="00DA40B8" w:rsidRPr="00CE6558" w:rsidRDefault="00386461" w:rsidP="00386461">
            <w:pPr>
              <w:spacing w:line="480" w:lineRule="atLeast"/>
              <w:ind w:firstLineChars="200" w:firstLine="480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 w:rsidRPr="0038646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Pr="00386461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2009年就建有磷酸铁锂中试线，并持续不断的投入研发，</w:t>
            </w:r>
            <w:r w:rsidRPr="0038646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技术积累深厚。</w:t>
            </w:r>
            <w:r w:rsidR="00DA40B8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进入磷酸铁锂市场，还要想要做有技术门槛的产品，公司规划的磷酸</w:t>
            </w:r>
            <w:proofErr w:type="gramStart"/>
            <w:r w:rsidR="00DA40B8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铁锂走的</w:t>
            </w:r>
            <w:proofErr w:type="gramEnd"/>
            <w:r w:rsidR="00DA40B8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是差异化的路线，跟目前市场上的磷酸铁</w:t>
            </w:r>
            <w:proofErr w:type="gramStart"/>
            <w:r w:rsidR="00DA40B8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锂具有</w:t>
            </w:r>
            <w:proofErr w:type="gramEnd"/>
            <w:r w:rsidR="00DA40B8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一定的优势，在低温性能方面、倍率性能方面</w:t>
            </w:r>
            <w:r w:rsidR="00DD3D1E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提升明显</w:t>
            </w:r>
            <w:r w:rsidR="00DA40B8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；主要的目标市场是对低温性能有要求的动力电池领域、储能领域和对倍率性能有要求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特种</w:t>
            </w:r>
            <w:r w:rsidR="00DA40B8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电池领域。</w:t>
            </w:r>
          </w:p>
          <w:p w14:paraId="710B8735" w14:textId="62AEACD6" w:rsidR="000A75EE" w:rsidRPr="00CE6558" w:rsidRDefault="000A75EE" w:rsidP="000A75EE">
            <w:pPr>
              <w:spacing w:line="480" w:lineRule="atLeast"/>
              <w:ind w:firstLineChars="200" w:firstLine="482"/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</w:rPr>
              <w:t>5</w:t>
            </w:r>
            <w:r w:rsidRPr="00CE6558"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</w:rPr>
              <w:t>.</w:t>
            </w:r>
            <w:r w:rsidRPr="00CE6558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上游原材料的价格是否可以有效传导？</w:t>
            </w:r>
          </w:p>
          <w:p w14:paraId="0BDEB350" w14:textId="77777777" w:rsidR="00321170" w:rsidRDefault="00386461" w:rsidP="00321170">
            <w:pPr>
              <w:spacing w:line="480" w:lineRule="atLeast"/>
              <w:ind w:firstLineChars="200" w:firstLine="480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 w:rsidRPr="0038646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公司与下游客户普遍采用</w:t>
            </w:r>
            <w:proofErr w:type="gramStart"/>
            <w:r w:rsidRPr="0038646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锂</w:t>
            </w:r>
            <w:proofErr w:type="gramEnd"/>
            <w:r w:rsidRPr="0038646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离子电池正极材料行业通行的产品定价机制，即“主要原料成本</w:t>
            </w:r>
            <w:r w:rsidRPr="00386461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+加工费+目标利润”的定价模式，主要原材料价格可以向下游进行传导，同时公司一直采取的“低库存、快周转”的经营策略，尽量减少原材料价格波动带来的风险。</w:t>
            </w:r>
          </w:p>
          <w:p w14:paraId="642CD88D" w14:textId="670983F2" w:rsidR="004D0883" w:rsidRDefault="00330932" w:rsidP="004D0883">
            <w:pPr>
              <w:spacing w:line="480" w:lineRule="atLeast"/>
              <w:ind w:firstLineChars="200" w:firstLine="482"/>
              <w:rPr>
                <w:rFonts w:ascii="宋体" w:eastAsia="宋体" w:hAnsi="宋体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30932">
              <w:rPr>
                <w:rFonts w:ascii="宋体" w:eastAsia="宋体" w:hAnsi="宋体" w:cs="Times New Roman" w:hint="eastAsia"/>
                <w:b/>
                <w:bCs/>
                <w:iCs/>
                <w:color w:val="000000"/>
                <w:sz w:val="24"/>
                <w:szCs w:val="24"/>
              </w:rPr>
              <w:lastRenderedPageBreak/>
              <w:t>6</w:t>
            </w:r>
            <w:r w:rsidR="004D0883">
              <w:rPr>
                <w:rFonts w:ascii="宋体" w:eastAsia="宋体" w:hAnsi="宋体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="004D0883">
              <w:rPr>
                <w:rFonts w:ascii="宋体" w:eastAsia="宋体" w:hAnsi="宋体" w:cs="Times New Roman" w:hint="eastAsia"/>
                <w:b/>
                <w:bCs/>
                <w:iCs/>
                <w:color w:val="000000"/>
                <w:sz w:val="24"/>
                <w:szCs w:val="24"/>
              </w:rPr>
              <w:t>公司高电压三元材料的性价比优势体现在哪些方面？</w:t>
            </w:r>
          </w:p>
          <w:p w14:paraId="277C778F" w14:textId="77777777" w:rsidR="004D0883" w:rsidRDefault="004D0883" w:rsidP="004D0883">
            <w:pPr>
              <w:spacing w:line="480" w:lineRule="atLeast"/>
              <w:ind w:firstLineChars="200" w:firstLine="480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 w:rsidRPr="00CF6922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公司对三元材料是全系列的布局，在高功率、高电压和高镍都有布局。目前公司主要的出货的三元产品是高功率和高电压5系、6系</w:t>
            </w:r>
            <w:r w:rsidRPr="0038646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Pr="00CF6922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公司开发的高电压三元性能上可以和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8系</w:t>
            </w:r>
            <w:proofErr w:type="gramStart"/>
            <w:r w:rsidRPr="00CF6922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高镍相</w:t>
            </w:r>
            <w:proofErr w:type="gramEnd"/>
            <w:r w:rsidRPr="00CF6922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媲美，在满足下游高续航、高安全性需求的前提下，降低了镍钴的用量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，成本优势和安全性优势明显。</w:t>
            </w:r>
            <w:r w:rsidRPr="00CF6922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当然，我们也</w:t>
            </w:r>
            <w:proofErr w:type="gramStart"/>
            <w:r w:rsidRPr="00CF6922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认为高镍是</w:t>
            </w:r>
            <w:proofErr w:type="gramEnd"/>
            <w:r w:rsidRPr="00CF6922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满足下游高续航需求的另一条解决办法，公司也在大力</w:t>
            </w:r>
            <w:proofErr w:type="gramStart"/>
            <w:r w:rsidRPr="00CF6922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发展高镍三元</w:t>
            </w:r>
            <w:proofErr w:type="gramEnd"/>
            <w:r w:rsidRPr="00CF6922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材料并着力</w:t>
            </w:r>
            <w:proofErr w:type="gramStart"/>
            <w:r w:rsidRPr="00CF6922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解决高镍安全性</w:t>
            </w:r>
            <w:proofErr w:type="gramEnd"/>
            <w:r w:rsidRPr="00CF6922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的问题，公司未来推出的</w:t>
            </w:r>
            <w:proofErr w:type="gramStart"/>
            <w:r w:rsidRPr="00CF6922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高镍产品</w:t>
            </w:r>
            <w:proofErr w:type="gramEnd"/>
            <w:r w:rsidRPr="00CF6922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会兼顾高容量和高安全性能，让</w:t>
            </w:r>
            <w:proofErr w:type="gramStart"/>
            <w:r w:rsidRPr="00CF6922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高镍材料</w:t>
            </w:r>
            <w:proofErr w:type="gramEnd"/>
            <w:r w:rsidRPr="00CF6922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的优势得到更好的发挥。</w:t>
            </w:r>
          </w:p>
          <w:p w14:paraId="054906D5" w14:textId="2E70414C" w:rsidR="004D0883" w:rsidRPr="00CE6558" w:rsidRDefault="004D0883" w:rsidP="004D0883">
            <w:pPr>
              <w:spacing w:line="480" w:lineRule="atLeast"/>
              <w:ind w:firstLineChars="200" w:firstLine="482"/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公司补</w:t>
            </w:r>
            <w:proofErr w:type="gramStart"/>
            <w:r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锂技术</w:t>
            </w:r>
            <w:proofErr w:type="gramEnd"/>
            <w:r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情况？</w:t>
            </w:r>
          </w:p>
          <w:p w14:paraId="5D97D58B" w14:textId="77777777" w:rsidR="004D0883" w:rsidRDefault="004D0883" w:rsidP="004D0883">
            <w:pPr>
              <w:spacing w:line="480" w:lineRule="atLeast"/>
              <w:ind w:firstLineChars="200" w:firstLine="480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公司的补</w:t>
            </w:r>
            <w:proofErr w:type="gramStart"/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锂技术</w:t>
            </w:r>
            <w:proofErr w:type="gramEnd"/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布局是全面的，镍基、铁基、</w:t>
            </w:r>
            <w:proofErr w:type="gramStart"/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钴基等</w:t>
            </w:r>
            <w:proofErr w:type="gramEnd"/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各方面都有技术团队在研发和技术攻关；补锂的应用场景也是全面，在3</w:t>
            </w:r>
            <w:r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C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消费电池、动力电池和储能电池领域都可以应用。</w:t>
            </w:r>
          </w:p>
          <w:p w14:paraId="2C0A854D" w14:textId="647236F0" w:rsidR="00330932" w:rsidRDefault="004D0883" w:rsidP="00321170">
            <w:pPr>
              <w:spacing w:line="480" w:lineRule="atLeast"/>
              <w:ind w:firstLineChars="200" w:firstLine="482"/>
              <w:rPr>
                <w:rFonts w:ascii="宋体" w:eastAsia="宋体" w:hAnsi="宋体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proofErr w:type="gramStart"/>
            <w:r w:rsidR="00330932">
              <w:rPr>
                <w:rFonts w:ascii="宋体" w:eastAsia="宋体" w:hAnsi="宋体" w:cs="Times New Roman" w:hint="eastAsia"/>
                <w:b/>
                <w:bCs/>
                <w:iCs/>
                <w:color w:val="000000"/>
                <w:sz w:val="24"/>
                <w:szCs w:val="24"/>
              </w:rPr>
              <w:t>公司单吨盈利</w:t>
            </w:r>
            <w:proofErr w:type="gramEnd"/>
            <w:r w:rsidR="00330932">
              <w:rPr>
                <w:rFonts w:ascii="宋体" w:eastAsia="宋体" w:hAnsi="宋体" w:cs="Times New Roman" w:hint="eastAsia"/>
                <w:b/>
                <w:bCs/>
                <w:iCs/>
                <w:color w:val="000000"/>
                <w:sz w:val="24"/>
                <w:szCs w:val="24"/>
              </w:rPr>
              <w:t>情况</w:t>
            </w:r>
            <w:r>
              <w:rPr>
                <w:rFonts w:ascii="宋体" w:eastAsia="宋体" w:hAnsi="宋体" w:cs="Times New Roman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14:paraId="2C315EE4" w14:textId="77777777" w:rsidR="00386461" w:rsidRPr="00386461" w:rsidRDefault="00386461" w:rsidP="00386461">
            <w:pPr>
              <w:spacing w:line="480" w:lineRule="atLeast"/>
              <w:ind w:firstLineChars="200" w:firstLine="480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 w:rsidRPr="0038646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正极材料通用的计价模式是原材料成本加上加工费和目标利润。公司</w:t>
            </w:r>
            <w:proofErr w:type="gramStart"/>
            <w:r w:rsidRPr="0038646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钴酸锂</w:t>
            </w:r>
            <w:proofErr w:type="gramEnd"/>
            <w:r w:rsidRPr="0038646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和三元材料</w:t>
            </w:r>
            <w:proofErr w:type="gramStart"/>
            <w:r w:rsidRPr="0038646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的单吨利润额</w:t>
            </w:r>
            <w:proofErr w:type="gramEnd"/>
            <w:r w:rsidRPr="0038646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相当，但</w:t>
            </w:r>
            <w:proofErr w:type="gramStart"/>
            <w:r w:rsidRPr="0038646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钴酸锂</w:t>
            </w:r>
            <w:proofErr w:type="gramEnd"/>
            <w:r w:rsidRPr="0038646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的售价由于</w:t>
            </w:r>
            <w:proofErr w:type="gramStart"/>
            <w:r w:rsidRPr="0038646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钴</w:t>
            </w:r>
            <w:proofErr w:type="gramEnd"/>
            <w:r w:rsidRPr="0038646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原料成本价高，毛利率较三元低。</w:t>
            </w:r>
            <w:r w:rsidRPr="00386461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21年公司</w:t>
            </w:r>
            <w:proofErr w:type="gramStart"/>
            <w:r w:rsidRPr="00386461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钴酸锂</w:t>
            </w:r>
            <w:proofErr w:type="gramEnd"/>
            <w:r w:rsidRPr="00386461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出货量占销售量约60%，整体毛利率较低。</w:t>
            </w:r>
          </w:p>
          <w:p w14:paraId="7D1218C2" w14:textId="77777777" w:rsidR="00386461" w:rsidRPr="00386461" w:rsidRDefault="00386461" w:rsidP="00386461">
            <w:pPr>
              <w:spacing w:line="480" w:lineRule="atLeast"/>
              <w:ind w:firstLineChars="200" w:firstLine="480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 w:rsidRPr="0038646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公司采取的低库存、快周转的经营策略，希望赚取稳定的制造利润，实现持续发展，没有做原材料经营，在</w:t>
            </w:r>
            <w:r w:rsidRPr="00386461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2021年原材料价格单边上涨的情况下，原材料涨价的钱我们没有赚到，另外公司资产负债率也比较高，财务费用也吃掉不少利润。</w:t>
            </w:r>
            <w:proofErr w:type="gramStart"/>
            <w:r w:rsidRPr="00386461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21年单吨净利</w:t>
            </w:r>
            <w:proofErr w:type="gramEnd"/>
            <w:r w:rsidRPr="00386461"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  <w:t>约0.77万元，财务费用约0.18万元</w:t>
            </w:r>
          </w:p>
          <w:p w14:paraId="3A4CB2B4" w14:textId="77777777" w:rsidR="00386461" w:rsidRPr="00386461" w:rsidRDefault="00386461" w:rsidP="00386461">
            <w:pPr>
              <w:spacing w:line="480" w:lineRule="atLeast"/>
              <w:ind w:firstLineChars="200" w:firstLine="480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 w:rsidRPr="0038646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从公司这几年发展情况来看，公司的盈利是持续稳定增长的，没有大起大落，</w:t>
            </w:r>
          </w:p>
          <w:p w14:paraId="3F97A02B" w14:textId="771D4F37" w:rsidR="00DE5F56" w:rsidRPr="004252AF" w:rsidRDefault="00386461" w:rsidP="004D0883">
            <w:pPr>
              <w:spacing w:line="480" w:lineRule="atLeast"/>
              <w:ind w:firstLineChars="200" w:firstLine="480"/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</w:pPr>
            <w:r w:rsidRPr="00386461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同时盈利质量很好，比如我们的现金流、净资产收益率在同行里面都是表现突出的。</w:t>
            </w:r>
          </w:p>
        </w:tc>
      </w:tr>
      <w:tr w:rsidR="004252AF" w:rsidRPr="004252AF" w14:paraId="020E6C8A" w14:textId="77777777" w:rsidTr="00DE5F56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437F" w14:textId="77777777" w:rsidR="004252AF" w:rsidRPr="004252AF" w:rsidRDefault="004252AF" w:rsidP="005C398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 w:rsidRPr="004252AF"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0CEB" w14:textId="520DF77F" w:rsidR="004252AF" w:rsidRPr="004252AF" w:rsidRDefault="000A75EE" w:rsidP="007C6B13">
            <w:pPr>
              <w:spacing w:line="360" w:lineRule="auto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参会名单</w:t>
            </w:r>
          </w:p>
        </w:tc>
      </w:tr>
      <w:tr w:rsidR="004D0883" w:rsidRPr="004252AF" w14:paraId="3A162142" w14:textId="77777777" w:rsidTr="00DE5F56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482C" w14:textId="645368EC" w:rsidR="004D0883" w:rsidRPr="004D0883" w:rsidRDefault="004D0883" w:rsidP="005C398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</w:pPr>
            <w:r w:rsidRPr="004D0883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</w:rPr>
              <w:t>风险提示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663F" w14:textId="0CB291A6" w:rsidR="004D0883" w:rsidRPr="004D0883" w:rsidRDefault="004D0883" w:rsidP="004D0883">
            <w:pPr>
              <w:spacing w:line="360" w:lineRule="auto"/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  <w:em w:val="dot"/>
              </w:rPr>
            </w:pPr>
            <w:r w:rsidRPr="004D0883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  <w:em w:val="dot"/>
              </w:rPr>
              <w:t>1</w:t>
            </w:r>
            <w:r w:rsidRPr="004D0883"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  <w:em w:val="dot"/>
              </w:rPr>
              <w:t>.</w:t>
            </w:r>
            <w:r w:rsidRPr="004D0883"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  <w:em w:val="dot"/>
              </w:rPr>
              <w:t>以上如涉及对行业的预测、公司发展战略规划等相关内容，不能视作公司或</w:t>
            </w:r>
            <w:r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  <w:em w:val="dot"/>
              </w:rPr>
              <w:t>公司</w:t>
            </w:r>
            <w:r w:rsidRPr="004D0883"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  <w:em w:val="dot"/>
              </w:rPr>
              <w:t>管理层对行业、公司发展的承诺和保证；敬请广大投资者注意投资风险。</w:t>
            </w:r>
          </w:p>
          <w:p w14:paraId="1B7D89A4" w14:textId="2362B6BC" w:rsidR="004D0883" w:rsidRDefault="004D0883" w:rsidP="004D0883">
            <w:pPr>
              <w:spacing w:line="360" w:lineRule="auto"/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</w:pPr>
            <w:r w:rsidRPr="004D0883"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  <w:em w:val="dot"/>
              </w:rPr>
              <w:t>2、因疫情防控，参会人员为电话接入，接入名单由</w:t>
            </w:r>
            <w:r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  <w:szCs w:val="24"/>
                <w:em w:val="dot"/>
              </w:rPr>
              <w:t>电话会议组织方</w:t>
            </w:r>
            <w:r w:rsidRPr="004D0883">
              <w:rPr>
                <w:rFonts w:ascii="宋体" w:eastAsia="宋体" w:hAnsi="宋体" w:cs="Times New Roman"/>
                <w:b/>
                <w:iCs/>
                <w:color w:val="000000"/>
                <w:sz w:val="24"/>
                <w:szCs w:val="24"/>
                <w:em w:val="dot"/>
              </w:rPr>
              <w:t>提供，公司无法核实名单真实性，敬请广大投资者注意投资风险。</w:t>
            </w:r>
          </w:p>
        </w:tc>
      </w:tr>
    </w:tbl>
    <w:p w14:paraId="1096F7DA" w14:textId="3B968BF4" w:rsidR="00330932" w:rsidRDefault="00E9227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83DF97" w14:textId="232F6AF7" w:rsidR="007C6B13" w:rsidRPr="007C6B13" w:rsidRDefault="007C6B13" w:rsidP="007C6B13">
      <w:pPr>
        <w:spacing w:line="480" w:lineRule="atLeast"/>
        <w:rPr>
          <w:rFonts w:ascii="宋体" w:eastAsia="宋体" w:hAnsi="宋体" w:cs="Times New Roman"/>
          <w:b/>
          <w:iCs/>
          <w:color w:val="000000"/>
          <w:sz w:val="24"/>
          <w:szCs w:val="24"/>
        </w:rPr>
      </w:pPr>
      <w:r w:rsidRPr="007C6B13">
        <w:rPr>
          <w:rFonts w:ascii="宋体" w:eastAsia="宋体" w:hAnsi="宋体" w:cs="Times New Roman" w:hint="eastAsia"/>
          <w:b/>
          <w:iCs/>
          <w:color w:val="000000"/>
          <w:sz w:val="24"/>
          <w:szCs w:val="24"/>
        </w:rPr>
        <w:lastRenderedPageBreak/>
        <w:t>附件：参会名单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080"/>
        <w:gridCol w:w="8271"/>
      </w:tblGrid>
      <w:tr w:rsidR="004D0883" w:rsidRPr="005962DD" w14:paraId="07228498" w14:textId="77777777" w:rsidTr="004D0883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32C7A1" w14:textId="77777777" w:rsidR="004D0883" w:rsidRPr="005962DD" w:rsidRDefault="004D0883" w:rsidP="002207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962D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6B72DD" w14:textId="537D0CB1" w:rsidR="004D0883" w:rsidRPr="005962DD" w:rsidRDefault="004D0883" w:rsidP="002207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参会人员单位</w:t>
            </w:r>
          </w:p>
        </w:tc>
      </w:tr>
      <w:tr w:rsidR="004D0883" w:rsidRPr="005962DD" w14:paraId="093098C4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7BE2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AD64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上海盘京投资管理中心</w:t>
            </w:r>
          </w:p>
        </w:tc>
      </w:tr>
      <w:tr w:rsidR="004D0883" w:rsidRPr="005962DD" w14:paraId="7C921278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5CF7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92D1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电新</w:t>
            </w:r>
          </w:p>
        </w:tc>
      </w:tr>
      <w:tr w:rsidR="004D0883" w:rsidRPr="005962DD" w14:paraId="5E2E3ACE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8ECB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B8CB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东兴基金管理有限公司</w:t>
            </w:r>
          </w:p>
        </w:tc>
      </w:tr>
      <w:tr w:rsidR="004D0883" w:rsidRPr="005962DD" w14:paraId="3BF63A45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E2CE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9881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苏州龙远投资管理有限公司</w:t>
            </w:r>
          </w:p>
        </w:tc>
      </w:tr>
      <w:tr w:rsidR="004D0883" w:rsidRPr="005962DD" w14:paraId="6DBDB1D6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45C0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14DF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淳厚基金管理有限公司</w:t>
            </w:r>
          </w:p>
        </w:tc>
      </w:tr>
      <w:tr w:rsidR="004D0883" w:rsidRPr="005962DD" w14:paraId="10EBF7F7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3E47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4A6C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上海劲邦股权投资管理有限公司</w:t>
            </w:r>
          </w:p>
        </w:tc>
      </w:tr>
      <w:tr w:rsidR="004D0883" w:rsidRPr="005962DD" w14:paraId="07C0E1E2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7368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F7BD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Parantoux</w:t>
            </w:r>
            <w:proofErr w:type="spellEnd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Capital</w:t>
            </w:r>
          </w:p>
        </w:tc>
      </w:tr>
      <w:tr w:rsidR="004D0883" w:rsidRPr="005962DD" w14:paraId="50D6B586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54E0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41E5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Pinpoint Asset Management Limited</w:t>
            </w:r>
          </w:p>
        </w:tc>
      </w:tr>
      <w:tr w:rsidR="004D0883" w:rsidRPr="005962DD" w14:paraId="69F90916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AC85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01AC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天风证券股份有限公司</w:t>
            </w:r>
          </w:p>
        </w:tc>
      </w:tr>
      <w:tr w:rsidR="004D0883" w:rsidRPr="005962DD" w14:paraId="7F0B9963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7686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360F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上海混沌投资有限公司</w:t>
            </w:r>
          </w:p>
        </w:tc>
      </w:tr>
      <w:tr w:rsidR="004D0883" w:rsidRPr="005962DD" w14:paraId="277D55A5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7727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7F16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杭州乾</w:t>
            </w:r>
            <w:proofErr w:type="gram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璐</w:t>
            </w:r>
            <w:proofErr w:type="gramEnd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投资管理有限公司</w:t>
            </w:r>
          </w:p>
        </w:tc>
      </w:tr>
      <w:tr w:rsidR="004D0883" w:rsidRPr="005962DD" w14:paraId="307A53C4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6EF0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A26F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禅龙资产</w:t>
            </w:r>
            <w:proofErr w:type="gramEnd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4D0883" w:rsidRPr="005962DD" w14:paraId="6304A12D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5F11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B3EE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上海混沌投资有限公司</w:t>
            </w:r>
          </w:p>
        </w:tc>
      </w:tr>
      <w:tr w:rsidR="004D0883" w:rsidRPr="005962DD" w14:paraId="25F7FB83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34F5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0133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淳厚基金管理有限公司</w:t>
            </w:r>
          </w:p>
        </w:tc>
      </w:tr>
      <w:tr w:rsidR="004D0883" w:rsidRPr="005962DD" w14:paraId="5F3A21D0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9F57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5B6C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上海循理资产管理有限公司</w:t>
            </w:r>
          </w:p>
        </w:tc>
      </w:tr>
      <w:tr w:rsidR="004D0883" w:rsidRPr="005962DD" w14:paraId="734B4961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11D6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B038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北京衍航投资管理有限公司</w:t>
            </w:r>
          </w:p>
        </w:tc>
      </w:tr>
      <w:tr w:rsidR="004D0883" w:rsidRPr="005962DD" w14:paraId="209A5950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03F4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47C7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千合资本管理有限公司</w:t>
            </w:r>
          </w:p>
        </w:tc>
      </w:tr>
      <w:tr w:rsidR="004D0883" w:rsidRPr="005962DD" w14:paraId="3B8F6A99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187E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6E90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中天国富证券有限公司（深圳）</w:t>
            </w:r>
          </w:p>
        </w:tc>
      </w:tr>
      <w:tr w:rsidR="004D0883" w:rsidRPr="005962DD" w14:paraId="6C191D6B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32B9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99CE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建信养老金管理有限责任公司</w:t>
            </w:r>
          </w:p>
        </w:tc>
      </w:tr>
      <w:tr w:rsidR="004D0883" w:rsidRPr="005962DD" w14:paraId="5376F0A0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8ACF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7D91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深圳市高新投集团有限公司</w:t>
            </w:r>
          </w:p>
        </w:tc>
      </w:tr>
      <w:tr w:rsidR="004D0883" w:rsidRPr="005962DD" w14:paraId="02E8B000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8DF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6C4D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财通证券资产管理有限公司</w:t>
            </w:r>
          </w:p>
        </w:tc>
      </w:tr>
      <w:tr w:rsidR="004D0883" w:rsidRPr="005962DD" w14:paraId="15B3A783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A44D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9D76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瓴</w:t>
            </w:r>
            <w:proofErr w:type="gramEnd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辉投资有限公司</w:t>
            </w:r>
          </w:p>
        </w:tc>
      </w:tr>
      <w:tr w:rsidR="004D0883" w:rsidRPr="005962DD" w14:paraId="2982E6D9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18CB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A723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上海晓煜投资管理有限公司</w:t>
            </w:r>
          </w:p>
        </w:tc>
      </w:tr>
      <w:tr w:rsidR="004D0883" w:rsidRPr="005962DD" w14:paraId="5B70566C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D359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8CE1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台</w:t>
            </w:r>
            <w:proofErr w:type="gram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灣復</w:t>
            </w:r>
            <w:proofErr w:type="gramEnd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華投信有限公司</w:t>
            </w:r>
          </w:p>
        </w:tc>
      </w:tr>
      <w:tr w:rsidR="004D0883" w:rsidRPr="005962DD" w14:paraId="5F905B81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6065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30D6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沣京资本</w:t>
            </w:r>
            <w:proofErr w:type="gramEnd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管理(北京)有限公司</w:t>
            </w:r>
          </w:p>
        </w:tc>
      </w:tr>
      <w:tr w:rsidR="004D0883" w:rsidRPr="005962DD" w14:paraId="68872EF9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4EE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1D4E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上海逸融投资管理有限公司</w:t>
            </w:r>
          </w:p>
        </w:tc>
      </w:tr>
      <w:tr w:rsidR="004D0883" w:rsidRPr="005962DD" w14:paraId="2522CFBE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E731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D27C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长生人寿保险有限公司</w:t>
            </w:r>
          </w:p>
        </w:tc>
      </w:tr>
      <w:tr w:rsidR="004D0883" w:rsidRPr="005962DD" w14:paraId="25912C91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66B1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BDE1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兴</w:t>
            </w:r>
            <w:proofErr w:type="gram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全基金</w:t>
            </w:r>
            <w:proofErr w:type="gramEnd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4D0883" w:rsidRPr="005962DD" w14:paraId="5F795B86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899F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6A93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深圳市中欧瑞博投资管理有限公司</w:t>
            </w:r>
          </w:p>
        </w:tc>
      </w:tr>
      <w:tr w:rsidR="004D0883" w:rsidRPr="005962DD" w14:paraId="15659F50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0084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56ED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敦</w:t>
            </w:r>
            <w:proofErr w:type="gramEnd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和资产管理有限公司</w:t>
            </w:r>
          </w:p>
        </w:tc>
      </w:tr>
      <w:tr w:rsidR="004D0883" w:rsidRPr="005962DD" w14:paraId="1A51C8FC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7209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E08F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</w:t>
            </w:r>
            <w:proofErr w:type="gram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骊</w:t>
            </w:r>
            <w:proofErr w:type="gramEnd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投资管理（上海）有限公司</w:t>
            </w:r>
          </w:p>
        </w:tc>
      </w:tr>
      <w:tr w:rsidR="004D0883" w:rsidRPr="005962DD" w14:paraId="44ADE17C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28EA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F026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深圳市泰石投资</w:t>
            </w:r>
            <w:proofErr w:type="gramEnd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4D0883" w:rsidRPr="005962DD" w14:paraId="6B12BCBF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194D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0438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天风证券股份有限公司</w:t>
            </w:r>
          </w:p>
        </w:tc>
      </w:tr>
      <w:tr w:rsidR="004D0883" w:rsidRPr="005962DD" w14:paraId="6A85B8FC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D483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7AFA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中科沃土基金管理有限公司</w:t>
            </w:r>
          </w:p>
        </w:tc>
      </w:tr>
      <w:tr w:rsidR="004D0883" w:rsidRPr="005962DD" w14:paraId="14BACDA2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9887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CD54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中信证券资产管理部</w:t>
            </w:r>
          </w:p>
        </w:tc>
      </w:tr>
      <w:tr w:rsidR="004D0883" w:rsidRPr="005962DD" w14:paraId="0D392877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8994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F75B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深圳乐中投资有限公司</w:t>
            </w:r>
          </w:p>
        </w:tc>
      </w:tr>
      <w:tr w:rsidR="004D0883" w:rsidRPr="005962DD" w14:paraId="1BDB2D9C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1EDE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7952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上海长见投资管理有限公司.</w:t>
            </w:r>
          </w:p>
        </w:tc>
      </w:tr>
      <w:tr w:rsidR="004D0883" w:rsidRPr="005962DD" w14:paraId="44F410A9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8606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A168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中信证券资产管理部</w:t>
            </w:r>
          </w:p>
        </w:tc>
      </w:tr>
      <w:tr w:rsidR="004D0883" w:rsidRPr="005962DD" w14:paraId="4F411DFE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033A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C43C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广东谢诺辰阳私募证券投资管理有限公司</w:t>
            </w:r>
          </w:p>
        </w:tc>
      </w:tr>
      <w:tr w:rsidR="004D0883" w:rsidRPr="005962DD" w14:paraId="65EB8140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E35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8F77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西藏东财基金管理有限公司</w:t>
            </w:r>
          </w:p>
        </w:tc>
      </w:tr>
      <w:tr w:rsidR="004D0883" w:rsidRPr="005962DD" w14:paraId="47F861EC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56DC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3D24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诚盛投资</w:t>
            </w:r>
            <w:proofErr w:type="gramEnd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资产管理有限公司</w:t>
            </w:r>
          </w:p>
        </w:tc>
      </w:tr>
      <w:tr w:rsidR="004D0883" w:rsidRPr="005962DD" w14:paraId="3C8D6509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7E64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CAF7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锐天投资</w:t>
            </w:r>
            <w:proofErr w:type="gramEnd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4D0883" w:rsidRPr="005962DD" w14:paraId="44E9E798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D520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98B9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睿</w:t>
            </w:r>
            <w:proofErr w:type="gramEnd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亿投资管理有限公司</w:t>
            </w:r>
          </w:p>
        </w:tc>
      </w:tr>
      <w:tr w:rsidR="004D0883" w:rsidRPr="005962DD" w14:paraId="58C56F15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8BC2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F017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天风证券股份有限公司</w:t>
            </w:r>
          </w:p>
        </w:tc>
      </w:tr>
      <w:tr w:rsidR="004D0883" w:rsidRPr="005962DD" w14:paraId="55D397F1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5278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E518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上海砥俊资产管理中心</w:t>
            </w:r>
          </w:p>
        </w:tc>
      </w:tr>
      <w:tr w:rsidR="004D0883" w:rsidRPr="005962DD" w14:paraId="76E8F93F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AAB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95F6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恒识投资</w:t>
            </w:r>
            <w:proofErr w:type="gramEnd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管理(上海)有限公司</w:t>
            </w:r>
          </w:p>
        </w:tc>
      </w:tr>
      <w:tr w:rsidR="004D0883" w:rsidRPr="005962DD" w14:paraId="55E39096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E1E4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E5EC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华夏财富创新投资管理有限公司</w:t>
            </w:r>
          </w:p>
        </w:tc>
      </w:tr>
      <w:tr w:rsidR="004D0883" w:rsidRPr="005962DD" w14:paraId="38BD62F5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9C18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D4A4" w14:textId="637FCCD0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华创证券</w:t>
            </w:r>
          </w:p>
        </w:tc>
      </w:tr>
      <w:tr w:rsidR="004D0883" w:rsidRPr="005962DD" w14:paraId="173D95D7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2080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938E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方正富邦基金管理有限公司</w:t>
            </w:r>
          </w:p>
        </w:tc>
      </w:tr>
      <w:tr w:rsidR="004D0883" w:rsidRPr="005962DD" w14:paraId="00A3C225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1845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F5CF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深圳宏鼎财富管理有限公司</w:t>
            </w:r>
          </w:p>
        </w:tc>
      </w:tr>
      <w:tr w:rsidR="004D0883" w:rsidRPr="005962DD" w14:paraId="388BCCD2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C4E8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7664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恒泰证券零售客户</w:t>
            </w:r>
          </w:p>
        </w:tc>
      </w:tr>
      <w:tr w:rsidR="004D0883" w:rsidRPr="005962DD" w14:paraId="27747B34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5CBE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6B26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上海泰旸资产管理有限公司</w:t>
            </w:r>
          </w:p>
        </w:tc>
      </w:tr>
      <w:tr w:rsidR="004D0883" w:rsidRPr="005962DD" w14:paraId="0541AEF5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5108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75A3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上海景熙资产管理有限公司</w:t>
            </w:r>
          </w:p>
        </w:tc>
      </w:tr>
      <w:tr w:rsidR="004D0883" w:rsidRPr="005962DD" w14:paraId="0ECC6F84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9E15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1FF3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</w:t>
            </w:r>
            <w:proofErr w:type="gram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慎知资产</w:t>
            </w:r>
            <w:proofErr w:type="gramEnd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管理合伙企业</w:t>
            </w:r>
          </w:p>
        </w:tc>
      </w:tr>
      <w:tr w:rsidR="004D0883" w:rsidRPr="005962DD" w14:paraId="1A82AEF5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E44F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9F51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天风证券股份有限公司</w:t>
            </w:r>
          </w:p>
        </w:tc>
      </w:tr>
      <w:tr w:rsidR="004D0883" w:rsidRPr="005962DD" w14:paraId="6FCC4C0C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C040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BE17" w14:textId="03F58F0E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8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华安基金</w:t>
            </w:r>
          </w:p>
        </w:tc>
      </w:tr>
      <w:tr w:rsidR="004D0883" w:rsidRPr="005962DD" w14:paraId="0AF08B6A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6472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35F4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北京鸿道投资管理有限责任公司</w:t>
            </w:r>
          </w:p>
        </w:tc>
      </w:tr>
      <w:tr w:rsidR="004D0883" w:rsidRPr="005962DD" w14:paraId="03C6B931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16B5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9638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北京宏道投资管理有限公司</w:t>
            </w:r>
          </w:p>
        </w:tc>
      </w:tr>
      <w:tr w:rsidR="004D0883" w:rsidRPr="005962DD" w14:paraId="278C132E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2DEA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187B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佐佑资本</w:t>
            </w:r>
            <w:proofErr w:type="gramEnd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4D0883" w:rsidRPr="005962DD" w14:paraId="140820FB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A626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F0B4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国泰基金管理有限公司</w:t>
            </w:r>
          </w:p>
        </w:tc>
      </w:tr>
      <w:tr w:rsidR="004D0883" w:rsidRPr="005962DD" w14:paraId="0879AC5C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ECC4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C441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上海保银投资管理有限公司</w:t>
            </w:r>
          </w:p>
        </w:tc>
      </w:tr>
      <w:tr w:rsidR="004D0883" w:rsidRPr="005962DD" w14:paraId="5661F244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087C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D0B7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北京乐瑞资产管理有限公司</w:t>
            </w:r>
          </w:p>
        </w:tc>
      </w:tr>
      <w:tr w:rsidR="004D0883" w:rsidRPr="005962DD" w14:paraId="4F091247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093A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56D5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鹏华基金管理有限公司</w:t>
            </w:r>
          </w:p>
        </w:tc>
      </w:tr>
      <w:tr w:rsidR="004D0883" w:rsidRPr="005962DD" w14:paraId="3E449096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1306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0473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4D0883" w:rsidRPr="005962DD" w14:paraId="44D57802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980A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7E8C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国融证券</w:t>
            </w:r>
            <w:proofErr w:type="gramEnd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股份有限公司自营部</w:t>
            </w:r>
          </w:p>
        </w:tc>
      </w:tr>
      <w:tr w:rsidR="004D0883" w:rsidRPr="005962DD" w14:paraId="3EF01BFD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B294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0B36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上海沃珑港资产管理有限公司</w:t>
            </w:r>
          </w:p>
        </w:tc>
      </w:tr>
      <w:tr w:rsidR="004D0883" w:rsidRPr="005962DD" w14:paraId="581F7A9A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9F0A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5BB2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中信证券股份有限公司</w:t>
            </w:r>
          </w:p>
        </w:tc>
      </w:tr>
      <w:tr w:rsidR="004D0883" w:rsidRPr="005962DD" w14:paraId="04563E8C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55F6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653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华融证券资管</w:t>
            </w:r>
            <w:proofErr w:type="gramEnd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部</w:t>
            </w:r>
          </w:p>
        </w:tc>
      </w:tr>
      <w:tr w:rsidR="004D0883" w:rsidRPr="005962DD" w14:paraId="6EA520DF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4604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C0BE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长盛基金管理有限公司</w:t>
            </w:r>
          </w:p>
        </w:tc>
      </w:tr>
      <w:tr w:rsidR="004D0883" w:rsidRPr="005962DD" w14:paraId="2E2BFC6C" w14:textId="77777777" w:rsidTr="004D088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01EC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8B7D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国泰君安证券股份有限公司</w:t>
            </w:r>
          </w:p>
        </w:tc>
      </w:tr>
      <w:tr w:rsidR="004D0883" w:rsidRPr="005962DD" w14:paraId="7AAB0F9B" w14:textId="77777777" w:rsidTr="004D08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960C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8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005F" w14:textId="77777777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华林证券</w:t>
            </w:r>
            <w:proofErr w:type="gramStart"/>
            <w:r w:rsidRPr="005962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股份有限公司资管</w:t>
            </w:r>
            <w:proofErr w:type="gramEnd"/>
          </w:p>
        </w:tc>
      </w:tr>
      <w:tr w:rsidR="004D0883" w:rsidRPr="005962DD" w14:paraId="7817733D" w14:textId="77777777" w:rsidTr="004D08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CDF8" w14:textId="3C192E96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4291" w14:textId="4670537C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08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大家资产</w:t>
            </w:r>
          </w:p>
        </w:tc>
      </w:tr>
      <w:tr w:rsidR="004D0883" w:rsidRPr="005962DD" w14:paraId="7E9B1E2B" w14:textId="77777777" w:rsidTr="004D08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473E" w14:textId="4CFCFDBE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C4A8" w14:textId="0BCCAF5E" w:rsidR="004D0883" w:rsidRPr="004D0883" w:rsidRDefault="004D0883" w:rsidP="002207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08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上投摩根</w:t>
            </w:r>
          </w:p>
        </w:tc>
      </w:tr>
      <w:tr w:rsidR="004D0883" w:rsidRPr="005962DD" w14:paraId="4771D354" w14:textId="77777777" w:rsidTr="004D08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6F14" w14:textId="1777E295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4235" w14:textId="5690CB1B" w:rsidR="004D0883" w:rsidRPr="004D0883" w:rsidRDefault="004D0883" w:rsidP="002207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08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平安养老</w:t>
            </w:r>
          </w:p>
        </w:tc>
      </w:tr>
      <w:tr w:rsidR="004D0883" w:rsidRPr="005962DD" w14:paraId="56E5AD05" w14:textId="77777777" w:rsidTr="004D08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EA8A" w14:textId="36DC493D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406" w14:textId="5E3F8793" w:rsidR="004D0883" w:rsidRPr="004D0883" w:rsidRDefault="004D0883" w:rsidP="002207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08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建信基金</w:t>
            </w:r>
          </w:p>
        </w:tc>
      </w:tr>
      <w:tr w:rsidR="004D0883" w:rsidRPr="005962DD" w14:paraId="25EC3E68" w14:textId="77777777" w:rsidTr="004D08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600E" w14:textId="62C35B38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8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E643" w14:textId="192F9D96" w:rsidR="004D0883" w:rsidRPr="004D0883" w:rsidRDefault="004D0883" w:rsidP="002207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D08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申万菱</w:t>
            </w:r>
            <w:proofErr w:type="gramEnd"/>
            <w:r w:rsidRPr="004D08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</w:t>
            </w:r>
          </w:p>
        </w:tc>
      </w:tr>
      <w:tr w:rsidR="004D0883" w:rsidRPr="005962DD" w14:paraId="626F14D1" w14:textId="77777777" w:rsidTr="004D08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33EC" w14:textId="48425FB0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8CE6" w14:textId="0A484412" w:rsidR="004D0883" w:rsidRPr="004D0883" w:rsidRDefault="004D0883" w:rsidP="002207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08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兴</w:t>
            </w:r>
            <w:proofErr w:type="gramStart"/>
            <w:r w:rsidRPr="004D08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全基金</w:t>
            </w:r>
            <w:proofErr w:type="gramEnd"/>
          </w:p>
        </w:tc>
      </w:tr>
      <w:tr w:rsidR="004D0883" w:rsidRPr="005962DD" w14:paraId="705A1B41" w14:textId="77777777" w:rsidTr="004D08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5472" w14:textId="689E6A46" w:rsidR="004D0883" w:rsidRPr="005962DD" w:rsidRDefault="004D0883" w:rsidP="002207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8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82E9" w14:textId="47B5ABA5" w:rsidR="004D0883" w:rsidRPr="004D0883" w:rsidRDefault="004D0883" w:rsidP="002207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08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鹏辉基金</w:t>
            </w:r>
          </w:p>
        </w:tc>
      </w:tr>
    </w:tbl>
    <w:p w14:paraId="410FF620" w14:textId="2DAAE81A" w:rsidR="000A75EE" w:rsidRPr="004D0883" w:rsidRDefault="000A75EE">
      <w:pPr>
        <w:widowControl/>
        <w:jc w:val="left"/>
        <w:rPr>
          <w:rFonts w:ascii="宋体" w:eastAsia="宋体" w:hAnsi="宋体"/>
          <w:sz w:val="24"/>
          <w:szCs w:val="24"/>
        </w:rPr>
      </w:pPr>
    </w:p>
    <w:sectPr w:rsidR="000A75EE" w:rsidRPr="004D0883" w:rsidSect="00E9227A">
      <w:footerReference w:type="default" r:id="rId6"/>
      <w:pgSz w:w="11906" w:h="16838"/>
      <w:pgMar w:top="1134" w:right="1134" w:bottom="1134" w:left="1418" w:header="680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51BE" w14:textId="77777777" w:rsidR="004F5113" w:rsidRDefault="004F5113" w:rsidP="005C398B">
      <w:r>
        <w:separator/>
      </w:r>
    </w:p>
  </w:endnote>
  <w:endnote w:type="continuationSeparator" w:id="0">
    <w:p w14:paraId="2F8EBCA8" w14:textId="77777777" w:rsidR="004F5113" w:rsidRDefault="004F5113" w:rsidP="005C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9C91" w14:textId="3C0F599F" w:rsidR="002217C9" w:rsidRPr="0059768E" w:rsidRDefault="002217C9" w:rsidP="0059768E">
    <w:pPr>
      <w:pStyle w:val="a5"/>
      <w:jc w:val="center"/>
    </w:pPr>
    <w:r w:rsidRPr="0059768E">
      <w:rPr>
        <w:b/>
        <w:bCs/>
      </w:rPr>
      <w:fldChar w:fldCharType="begin"/>
    </w:r>
    <w:r w:rsidRPr="0059768E">
      <w:rPr>
        <w:b/>
        <w:bCs/>
      </w:rPr>
      <w:instrText>PAGE  \* Arabic  \* MERGEFORMAT</w:instrText>
    </w:r>
    <w:r w:rsidRPr="0059768E">
      <w:rPr>
        <w:b/>
        <w:bCs/>
      </w:rPr>
      <w:fldChar w:fldCharType="separate"/>
    </w:r>
    <w:r w:rsidR="00386461" w:rsidRPr="00386461">
      <w:rPr>
        <w:b/>
        <w:bCs/>
        <w:noProof/>
        <w:lang w:val="zh-CN"/>
      </w:rPr>
      <w:t>6</w:t>
    </w:r>
    <w:r w:rsidRPr="0059768E">
      <w:rPr>
        <w:b/>
        <w:bCs/>
      </w:rPr>
      <w:fldChar w:fldCharType="end"/>
    </w:r>
    <w:r w:rsidRPr="0059768E">
      <w:rPr>
        <w:lang w:val="zh-CN"/>
      </w:rPr>
      <w:t xml:space="preserve"> / </w:t>
    </w:r>
    <w:r w:rsidRPr="0059768E">
      <w:rPr>
        <w:b/>
        <w:bCs/>
      </w:rPr>
      <w:fldChar w:fldCharType="begin"/>
    </w:r>
    <w:r w:rsidRPr="0059768E">
      <w:rPr>
        <w:b/>
        <w:bCs/>
      </w:rPr>
      <w:instrText>NUMPAGES  \* Arabic  \* MERGEFORMAT</w:instrText>
    </w:r>
    <w:r w:rsidRPr="0059768E">
      <w:rPr>
        <w:b/>
        <w:bCs/>
      </w:rPr>
      <w:fldChar w:fldCharType="separate"/>
    </w:r>
    <w:r w:rsidR="00386461" w:rsidRPr="00386461">
      <w:rPr>
        <w:b/>
        <w:bCs/>
        <w:noProof/>
        <w:lang w:val="zh-CN"/>
      </w:rPr>
      <w:t>7</w:t>
    </w:r>
    <w:r w:rsidRPr="0059768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E4AD" w14:textId="77777777" w:rsidR="004F5113" w:rsidRDefault="004F5113" w:rsidP="005C398B">
      <w:r>
        <w:separator/>
      </w:r>
    </w:p>
  </w:footnote>
  <w:footnote w:type="continuationSeparator" w:id="0">
    <w:p w14:paraId="4E41E9E1" w14:textId="77777777" w:rsidR="004F5113" w:rsidRDefault="004F5113" w:rsidP="005C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AF"/>
    <w:rsid w:val="000026C8"/>
    <w:rsid w:val="000A75EE"/>
    <w:rsid w:val="001A1EE2"/>
    <w:rsid w:val="001F3B51"/>
    <w:rsid w:val="002217C9"/>
    <w:rsid w:val="00321170"/>
    <w:rsid w:val="00325269"/>
    <w:rsid w:val="00330932"/>
    <w:rsid w:val="00386461"/>
    <w:rsid w:val="004252AF"/>
    <w:rsid w:val="00430C7B"/>
    <w:rsid w:val="0047011A"/>
    <w:rsid w:val="00491D1E"/>
    <w:rsid w:val="004D0883"/>
    <w:rsid w:val="004D7328"/>
    <w:rsid w:val="004F5113"/>
    <w:rsid w:val="005339B2"/>
    <w:rsid w:val="0059768E"/>
    <w:rsid w:val="005B04D9"/>
    <w:rsid w:val="005C398B"/>
    <w:rsid w:val="0062311E"/>
    <w:rsid w:val="007818BC"/>
    <w:rsid w:val="007C6B13"/>
    <w:rsid w:val="00812C8C"/>
    <w:rsid w:val="00844389"/>
    <w:rsid w:val="0088756F"/>
    <w:rsid w:val="00892F1F"/>
    <w:rsid w:val="00897649"/>
    <w:rsid w:val="008C291A"/>
    <w:rsid w:val="008F2DE0"/>
    <w:rsid w:val="009B00DA"/>
    <w:rsid w:val="009D2FA5"/>
    <w:rsid w:val="00A435B7"/>
    <w:rsid w:val="00A802E3"/>
    <w:rsid w:val="00B64C78"/>
    <w:rsid w:val="00BA4BD3"/>
    <w:rsid w:val="00BC6758"/>
    <w:rsid w:val="00C31BFA"/>
    <w:rsid w:val="00C52BE8"/>
    <w:rsid w:val="00CD1298"/>
    <w:rsid w:val="00D823AC"/>
    <w:rsid w:val="00DA40B8"/>
    <w:rsid w:val="00DD3D1E"/>
    <w:rsid w:val="00DE15D4"/>
    <w:rsid w:val="00DE5F56"/>
    <w:rsid w:val="00E3770F"/>
    <w:rsid w:val="00E60CCF"/>
    <w:rsid w:val="00E63631"/>
    <w:rsid w:val="00E9227A"/>
    <w:rsid w:val="00F75C7A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D6E64"/>
  <w15:chartTrackingRefBased/>
  <w15:docId w15:val="{E002EBD2-1A4E-4D91-9669-73646895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39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98B"/>
    <w:rPr>
      <w:sz w:val="18"/>
      <w:szCs w:val="18"/>
    </w:rPr>
  </w:style>
  <w:style w:type="table" w:styleId="a7">
    <w:name w:val="Table Grid"/>
    <w:basedOn w:val="a1"/>
    <w:uiPriority w:val="39"/>
    <w:rsid w:val="0059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汪超</dc:creator>
  <cp:keywords/>
  <dc:description/>
  <cp:lastModifiedBy>汪超</cp:lastModifiedBy>
  <cp:revision>6</cp:revision>
  <cp:lastPrinted>2022-02-10T03:32:00Z</cp:lastPrinted>
  <dcterms:created xsi:type="dcterms:W3CDTF">2022-04-11T03:05:00Z</dcterms:created>
  <dcterms:modified xsi:type="dcterms:W3CDTF">2022-05-09T03:11:00Z</dcterms:modified>
</cp:coreProperties>
</file>