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F3" w:rsidRPr="008014F3" w:rsidRDefault="008014F3" w:rsidP="002A241C">
      <w:pPr>
        <w:widowControl w:val="0"/>
        <w:snapToGrid w:val="0"/>
        <w:spacing w:line="360" w:lineRule="auto"/>
        <w:ind w:rightChars="-142" w:right="-341"/>
        <w:jc w:val="both"/>
        <w:rPr>
          <w:rFonts w:ascii="Times New Roman" w:hAnsi="Times New Roman"/>
          <w:b/>
          <w:kern w:val="2"/>
        </w:rPr>
      </w:pPr>
      <w:r w:rsidRPr="008014F3">
        <w:rPr>
          <w:rFonts w:ascii="Times New Roman" w:hAnsi="Times New Roman" w:hint="eastAsia"/>
          <w:b/>
          <w:kern w:val="2"/>
        </w:rPr>
        <w:t>证券代码：</w:t>
      </w:r>
      <w:r w:rsidRPr="008014F3">
        <w:rPr>
          <w:rFonts w:ascii="Times New Roman" w:hAnsi="Times New Roman" w:hint="eastAsia"/>
          <w:b/>
          <w:kern w:val="2"/>
        </w:rPr>
        <w:t>6</w:t>
      </w:r>
      <w:r w:rsidRPr="008014F3">
        <w:rPr>
          <w:rFonts w:ascii="Times New Roman" w:hAnsi="Times New Roman"/>
          <w:b/>
          <w:kern w:val="2"/>
        </w:rPr>
        <w:t>03790</w:t>
      </w:r>
      <w:r w:rsidRPr="008014F3">
        <w:rPr>
          <w:rFonts w:ascii="Times New Roman" w:hAnsi="Times New Roman" w:hint="eastAsia"/>
          <w:b/>
          <w:kern w:val="2"/>
        </w:rPr>
        <w:t xml:space="preserve">          </w:t>
      </w:r>
      <w:r w:rsidRPr="008014F3">
        <w:rPr>
          <w:rFonts w:ascii="Times New Roman" w:hAnsi="Times New Roman"/>
          <w:b/>
          <w:kern w:val="2"/>
        </w:rPr>
        <w:t xml:space="preserve">                     </w:t>
      </w:r>
      <w:r w:rsidRPr="008014F3">
        <w:rPr>
          <w:rFonts w:ascii="Times New Roman" w:hAnsi="Times New Roman" w:hint="eastAsia"/>
          <w:b/>
          <w:kern w:val="2"/>
        </w:rPr>
        <w:t xml:space="preserve">  </w:t>
      </w:r>
      <w:r w:rsidR="002A241C">
        <w:rPr>
          <w:rFonts w:ascii="Times New Roman" w:hAnsi="Times New Roman"/>
          <w:b/>
          <w:kern w:val="2"/>
        </w:rPr>
        <w:t xml:space="preserve">   </w:t>
      </w:r>
      <w:r w:rsidRPr="008014F3">
        <w:rPr>
          <w:rFonts w:ascii="Times New Roman" w:hAnsi="Times New Roman" w:hint="eastAsia"/>
          <w:b/>
          <w:kern w:val="2"/>
        </w:rPr>
        <w:t>证券简称：雅运股份</w:t>
      </w:r>
      <w:r w:rsidRPr="008014F3">
        <w:rPr>
          <w:rFonts w:ascii="Times New Roman" w:hAnsi="Times New Roman" w:hint="eastAsia"/>
          <w:b/>
          <w:kern w:val="2"/>
        </w:rPr>
        <w:t xml:space="preserve">           </w:t>
      </w:r>
    </w:p>
    <w:p w:rsidR="008014F3" w:rsidRPr="008014F3" w:rsidRDefault="008014F3" w:rsidP="008014F3">
      <w:pPr>
        <w:widowControl w:val="0"/>
        <w:snapToGrid w:val="0"/>
        <w:spacing w:beforeLines="50" w:before="156" w:line="360" w:lineRule="auto"/>
        <w:jc w:val="center"/>
        <w:rPr>
          <w:rFonts w:ascii="Times New Roman" w:hAnsi="Times New Roman"/>
          <w:b/>
          <w:kern w:val="2"/>
          <w:sz w:val="28"/>
        </w:rPr>
      </w:pPr>
      <w:r w:rsidRPr="008014F3">
        <w:rPr>
          <w:rFonts w:ascii="Times New Roman" w:hAnsi="Times New Roman" w:hint="eastAsia"/>
          <w:b/>
          <w:kern w:val="2"/>
          <w:sz w:val="28"/>
        </w:rPr>
        <w:t>上海雅运纺织化工股份有限公司</w:t>
      </w:r>
    </w:p>
    <w:p w:rsidR="008014F3" w:rsidRPr="008014F3" w:rsidRDefault="008014F3" w:rsidP="008014F3">
      <w:pPr>
        <w:widowControl w:val="0"/>
        <w:snapToGrid w:val="0"/>
        <w:spacing w:line="360" w:lineRule="auto"/>
        <w:jc w:val="center"/>
        <w:rPr>
          <w:rFonts w:ascii="Times New Roman" w:hAnsi="Times New Roman"/>
          <w:b/>
          <w:kern w:val="2"/>
          <w:sz w:val="28"/>
        </w:rPr>
      </w:pPr>
      <w:r w:rsidRPr="008014F3">
        <w:rPr>
          <w:rFonts w:ascii="Times New Roman" w:hAnsi="Times New Roman" w:hint="eastAsia"/>
          <w:b/>
          <w:kern w:val="2"/>
          <w:sz w:val="28"/>
        </w:rPr>
        <w:t>投资者关系活动记录表</w:t>
      </w:r>
    </w:p>
    <w:p w:rsidR="008014F3" w:rsidRPr="008014F3" w:rsidRDefault="008014F3" w:rsidP="002A241C">
      <w:pPr>
        <w:widowControl w:val="0"/>
        <w:snapToGrid w:val="0"/>
        <w:spacing w:line="360" w:lineRule="auto"/>
        <w:ind w:right="6"/>
        <w:jc w:val="right"/>
        <w:rPr>
          <w:rFonts w:ascii="Times New Roman" w:hAnsi="Times New Roman"/>
          <w:bCs/>
          <w:kern w:val="2"/>
          <w:sz w:val="22"/>
          <w:szCs w:val="21"/>
        </w:rPr>
      </w:pPr>
      <w:r w:rsidRPr="008014F3">
        <w:rPr>
          <w:rFonts w:ascii="Times New Roman" w:hAnsi="Times New Roman" w:hint="eastAsia"/>
          <w:bCs/>
          <w:kern w:val="2"/>
          <w:sz w:val="22"/>
          <w:szCs w:val="21"/>
        </w:rPr>
        <w:t>编号：</w:t>
      </w:r>
      <w:r w:rsidRPr="008014F3">
        <w:rPr>
          <w:rFonts w:ascii="Times New Roman" w:hAnsi="Times New Roman" w:hint="eastAsia"/>
          <w:bCs/>
          <w:kern w:val="2"/>
          <w:sz w:val="22"/>
          <w:szCs w:val="21"/>
        </w:rPr>
        <w:t>2</w:t>
      </w:r>
      <w:r w:rsidRPr="008014F3">
        <w:rPr>
          <w:rFonts w:ascii="Times New Roman" w:hAnsi="Times New Roman"/>
          <w:bCs/>
          <w:kern w:val="2"/>
          <w:sz w:val="22"/>
          <w:szCs w:val="21"/>
        </w:rPr>
        <w:t>022</w:t>
      </w:r>
      <w:r w:rsidRPr="008014F3">
        <w:rPr>
          <w:rFonts w:ascii="Times New Roman" w:hAnsi="Times New Roman" w:hint="eastAsia"/>
          <w:bCs/>
          <w:kern w:val="2"/>
          <w:sz w:val="22"/>
          <w:szCs w:val="21"/>
        </w:rPr>
        <w:t>-</w:t>
      </w:r>
      <w:r w:rsidRPr="008014F3">
        <w:rPr>
          <w:rFonts w:ascii="Times New Roman" w:hAnsi="Times New Roman"/>
          <w:bCs/>
          <w:kern w:val="2"/>
          <w:sz w:val="22"/>
          <w:szCs w:val="21"/>
        </w:rPr>
        <w:t>001</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087"/>
      </w:tblGrid>
      <w:tr w:rsidR="008014F3" w:rsidRPr="008014F3" w:rsidTr="00056FF4">
        <w:trPr>
          <w:trHeight w:val="340"/>
        </w:trPr>
        <w:tc>
          <w:tcPr>
            <w:tcW w:w="1555" w:type="dxa"/>
            <w:shd w:val="clear" w:color="auto" w:fill="auto"/>
            <w:vAlign w:val="center"/>
          </w:tcPr>
          <w:p w:rsidR="008014F3" w:rsidRPr="008014F3" w:rsidRDefault="008014F3" w:rsidP="002A241C">
            <w:pPr>
              <w:widowControl w:val="0"/>
              <w:snapToGrid w:val="0"/>
              <w:spacing w:line="360" w:lineRule="auto"/>
              <w:jc w:val="center"/>
              <w:rPr>
                <w:rFonts w:ascii="Times New Roman" w:hAnsi="Times New Roman"/>
                <w:b/>
                <w:bCs/>
                <w:kern w:val="2"/>
              </w:rPr>
            </w:pPr>
            <w:r w:rsidRPr="008014F3">
              <w:rPr>
                <w:rFonts w:ascii="Times New Roman" w:hAnsi="Times New Roman" w:hint="eastAsia"/>
                <w:b/>
                <w:bCs/>
                <w:kern w:val="2"/>
              </w:rPr>
              <w:t>投资者关系活动类别</w:t>
            </w:r>
          </w:p>
        </w:tc>
        <w:tc>
          <w:tcPr>
            <w:tcW w:w="7087" w:type="dxa"/>
            <w:shd w:val="clear" w:color="auto" w:fill="auto"/>
          </w:tcPr>
          <w:p w:rsidR="008014F3" w:rsidRPr="008014F3" w:rsidRDefault="008014F3" w:rsidP="008014F3">
            <w:pPr>
              <w:widowControl w:val="0"/>
              <w:snapToGrid w:val="0"/>
              <w:spacing w:line="360" w:lineRule="auto"/>
              <w:jc w:val="both"/>
              <w:rPr>
                <w:rFonts w:ascii="Times New Roman" w:hAnsi="Times New Roman"/>
                <w:kern w:val="2"/>
              </w:rPr>
            </w:pPr>
            <w:r w:rsidRPr="008014F3">
              <w:rPr>
                <w:rFonts w:ascii="Times New Roman" w:hAnsi="Times New Roman" w:hint="eastAsia"/>
                <w:kern w:val="2"/>
              </w:rPr>
              <w:t>□特定对象调研</w:t>
            </w:r>
            <w:r w:rsidRPr="008014F3">
              <w:rPr>
                <w:rFonts w:ascii="Times New Roman" w:hAnsi="Times New Roman" w:hint="eastAsia"/>
                <w:kern w:val="2"/>
              </w:rPr>
              <w:t xml:space="preserve">             </w:t>
            </w:r>
            <w:r w:rsidRPr="008014F3">
              <w:rPr>
                <w:rFonts w:ascii="Times New Roman" w:hAnsi="Times New Roman" w:hint="eastAsia"/>
                <w:kern w:val="2"/>
              </w:rPr>
              <w:t>□分析师会议</w:t>
            </w:r>
          </w:p>
          <w:p w:rsidR="008014F3" w:rsidRPr="008014F3" w:rsidRDefault="008014F3" w:rsidP="002A241C">
            <w:pPr>
              <w:widowControl w:val="0"/>
              <w:snapToGrid w:val="0"/>
              <w:spacing w:line="360" w:lineRule="auto"/>
              <w:ind w:rightChars="73" w:right="175"/>
              <w:jc w:val="both"/>
              <w:rPr>
                <w:rFonts w:ascii="Times New Roman" w:hAnsi="Times New Roman"/>
                <w:kern w:val="2"/>
              </w:rPr>
            </w:pPr>
            <w:r w:rsidRPr="008014F3">
              <w:rPr>
                <w:rFonts w:ascii="Times New Roman" w:hAnsi="Times New Roman" w:hint="eastAsia"/>
                <w:kern w:val="2"/>
              </w:rPr>
              <w:t>□媒体采访</w:t>
            </w:r>
            <w:r w:rsidRPr="008014F3">
              <w:rPr>
                <w:rFonts w:ascii="Times New Roman" w:hAnsi="Times New Roman" w:hint="eastAsia"/>
                <w:kern w:val="2"/>
              </w:rPr>
              <w:t xml:space="preserve">             </w:t>
            </w:r>
            <w:r w:rsidRPr="008014F3">
              <w:rPr>
                <w:rFonts w:ascii="Times New Roman" w:hAnsi="Times New Roman"/>
                <w:kern w:val="2"/>
              </w:rPr>
              <w:t xml:space="preserve">    </w:t>
            </w:r>
            <w:r>
              <w:rPr>
                <w:rFonts w:ascii="Times New Roman" w:hAnsi="Times New Roman" w:hint="eastAsia"/>
                <w:kern w:val="2"/>
              </w:rPr>
              <w:t>√</w:t>
            </w:r>
            <w:r w:rsidRPr="008014F3">
              <w:rPr>
                <w:rFonts w:ascii="Times New Roman" w:hAnsi="Times New Roman" w:hint="eastAsia"/>
                <w:kern w:val="2"/>
              </w:rPr>
              <w:t>业绩说明会</w:t>
            </w:r>
          </w:p>
          <w:p w:rsidR="008014F3" w:rsidRPr="008014F3" w:rsidRDefault="008014F3" w:rsidP="008014F3">
            <w:pPr>
              <w:widowControl w:val="0"/>
              <w:snapToGrid w:val="0"/>
              <w:spacing w:line="360" w:lineRule="auto"/>
              <w:jc w:val="both"/>
              <w:rPr>
                <w:rFonts w:ascii="Times New Roman" w:hAnsi="Times New Roman"/>
                <w:kern w:val="2"/>
              </w:rPr>
            </w:pPr>
            <w:r w:rsidRPr="008014F3">
              <w:rPr>
                <w:rFonts w:ascii="Times New Roman" w:hAnsi="Times New Roman" w:hint="eastAsia"/>
                <w:kern w:val="2"/>
              </w:rPr>
              <w:t>□新闻发布会</w:t>
            </w:r>
            <w:r w:rsidRPr="008014F3">
              <w:rPr>
                <w:rFonts w:ascii="Times New Roman" w:hAnsi="Times New Roman" w:hint="eastAsia"/>
                <w:kern w:val="2"/>
              </w:rPr>
              <w:t xml:space="preserve"> </w:t>
            </w:r>
            <w:r w:rsidRPr="008014F3">
              <w:rPr>
                <w:rFonts w:ascii="Times New Roman" w:hAnsi="Times New Roman"/>
                <w:kern w:val="2"/>
              </w:rPr>
              <w:t xml:space="preserve">   </w:t>
            </w:r>
            <w:r w:rsidRPr="008014F3">
              <w:rPr>
                <w:rFonts w:ascii="Times New Roman" w:hAnsi="Times New Roman" w:hint="eastAsia"/>
                <w:kern w:val="2"/>
              </w:rPr>
              <w:t xml:space="preserve">           </w:t>
            </w:r>
            <w:r w:rsidRPr="008014F3">
              <w:rPr>
                <w:rFonts w:ascii="Times New Roman" w:hAnsi="Times New Roman" w:hint="eastAsia"/>
                <w:kern w:val="2"/>
              </w:rPr>
              <w:t>□路演活动</w:t>
            </w:r>
          </w:p>
          <w:p w:rsidR="008014F3" w:rsidRPr="008014F3" w:rsidRDefault="008014F3" w:rsidP="008014F3">
            <w:pPr>
              <w:widowControl w:val="0"/>
              <w:snapToGrid w:val="0"/>
              <w:spacing w:line="360" w:lineRule="auto"/>
              <w:jc w:val="both"/>
              <w:rPr>
                <w:rFonts w:ascii="Times New Roman" w:hAnsi="Times New Roman"/>
                <w:kern w:val="2"/>
              </w:rPr>
            </w:pPr>
            <w:r w:rsidRPr="008014F3">
              <w:rPr>
                <w:rFonts w:ascii="Times New Roman" w:hAnsi="Times New Roman" w:hint="eastAsia"/>
                <w:kern w:val="2"/>
              </w:rPr>
              <w:t>□现场参观</w:t>
            </w:r>
            <w:r w:rsidRPr="008014F3">
              <w:rPr>
                <w:rFonts w:ascii="Times New Roman" w:hAnsi="Times New Roman" w:hint="eastAsia"/>
                <w:kern w:val="2"/>
              </w:rPr>
              <w:t xml:space="preserve"> </w:t>
            </w:r>
            <w:r w:rsidRPr="008014F3">
              <w:rPr>
                <w:rFonts w:ascii="Times New Roman" w:hAnsi="Times New Roman"/>
                <w:kern w:val="2"/>
              </w:rPr>
              <w:t xml:space="preserve">                </w:t>
            </w:r>
            <w:r w:rsidRPr="008014F3">
              <w:rPr>
                <w:rFonts w:ascii="Times New Roman" w:hAnsi="Times New Roman" w:hint="eastAsia"/>
                <w:kern w:val="2"/>
              </w:rPr>
              <w:t>□其他：</w:t>
            </w:r>
            <w:r w:rsidRPr="008014F3">
              <w:rPr>
                <w:rFonts w:ascii="Times New Roman" w:hAnsi="Times New Roman" w:hint="eastAsia"/>
                <w:kern w:val="2"/>
              </w:rPr>
              <w:t xml:space="preserve"> </w:t>
            </w:r>
          </w:p>
        </w:tc>
      </w:tr>
      <w:tr w:rsidR="008014F3" w:rsidRPr="008014F3" w:rsidTr="00056FF4">
        <w:trPr>
          <w:trHeight w:val="340"/>
        </w:trPr>
        <w:tc>
          <w:tcPr>
            <w:tcW w:w="1555" w:type="dxa"/>
            <w:shd w:val="clear" w:color="auto" w:fill="auto"/>
            <w:vAlign w:val="center"/>
          </w:tcPr>
          <w:p w:rsidR="008014F3" w:rsidRPr="008014F3" w:rsidRDefault="008014F3" w:rsidP="008014F3">
            <w:pPr>
              <w:widowControl w:val="0"/>
              <w:snapToGrid w:val="0"/>
              <w:spacing w:beforeLines="50" w:before="156" w:line="360" w:lineRule="auto"/>
              <w:jc w:val="center"/>
              <w:rPr>
                <w:rFonts w:ascii="Times New Roman" w:hAnsi="Times New Roman"/>
                <w:b/>
                <w:bCs/>
                <w:kern w:val="2"/>
              </w:rPr>
            </w:pPr>
            <w:r w:rsidRPr="008014F3">
              <w:rPr>
                <w:rFonts w:ascii="Times New Roman" w:hAnsi="Times New Roman" w:hint="eastAsia"/>
                <w:b/>
                <w:bCs/>
                <w:kern w:val="2"/>
              </w:rPr>
              <w:t>参与单位名称及人员姓名</w:t>
            </w:r>
          </w:p>
        </w:tc>
        <w:tc>
          <w:tcPr>
            <w:tcW w:w="7087" w:type="dxa"/>
            <w:shd w:val="clear" w:color="auto" w:fill="auto"/>
            <w:vAlign w:val="center"/>
          </w:tcPr>
          <w:p w:rsidR="008014F3" w:rsidRPr="008014F3" w:rsidRDefault="004B0C2B" w:rsidP="008014F3">
            <w:pPr>
              <w:widowControl w:val="0"/>
              <w:snapToGrid w:val="0"/>
              <w:spacing w:beforeLines="50" w:before="156" w:line="360" w:lineRule="auto"/>
              <w:jc w:val="both"/>
              <w:rPr>
                <w:rFonts w:ascii="Times New Roman" w:hAnsi="Times New Roman"/>
                <w:kern w:val="2"/>
              </w:rPr>
            </w:pPr>
            <w:r w:rsidRPr="004B0C2B">
              <w:rPr>
                <w:rFonts w:ascii="Times New Roman" w:hAnsi="Times New Roman" w:hint="eastAsia"/>
                <w:kern w:val="2"/>
              </w:rPr>
              <w:t>上海雅运纺织化工股份有限公司</w:t>
            </w:r>
            <w:r w:rsidR="008014F3" w:rsidRPr="008014F3">
              <w:rPr>
                <w:rFonts w:ascii="Times New Roman" w:hAnsi="Times New Roman"/>
                <w:kern w:val="2"/>
              </w:rPr>
              <w:t>2021</w:t>
            </w:r>
            <w:r w:rsidR="008014F3" w:rsidRPr="008014F3">
              <w:rPr>
                <w:rFonts w:ascii="Times New Roman" w:hAnsi="Times New Roman"/>
                <w:kern w:val="2"/>
              </w:rPr>
              <w:t>年度业绩说明会采用</w:t>
            </w:r>
            <w:r w:rsidR="008014F3" w:rsidRPr="008014F3">
              <w:rPr>
                <w:rFonts w:ascii="Times New Roman" w:hAnsi="Times New Roman" w:hint="eastAsia"/>
                <w:kern w:val="2"/>
              </w:rPr>
              <w:t>视频录播和网络互动</w:t>
            </w:r>
            <w:r w:rsidR="008014F3">
              <w:rPr>
                <w:rFonts w:ascii="Times New Roman" w:hAnsi="Times New Roman" w:hint="eastAsia"/>
                <w:kern w:val="2"/>
              </w:rPr>
              <w:t>形式召开</w:t>
            </w:r>
            <w:r w:rsidR="008014F3" w:rsidRPr="008014F3">
              <w:rPr>
                <w:rFonts w:ascii="Times New Roman" w:hAnsi="Times New Roman"/>
                <w:kern w:val="2"/>
              </w:rPr>
              <w:t>，面向全体投资者</w:t>
            </w:r>
            <w:r w:rsidR="008014F3">
              <w:rPr>
                <w:rFonts w:ascii="Times New Roman" w:hAnsi="Times New Roman" w:hint="eastAsia"/>
                <w:kern w:val="2"/>
              </w:rPr>
              <w:t>。</w:t>
            </w:r>
          </w:p>
        </w:tc>
      </w:tr>
      <w:tr w:rsidR="008014F3" w:rsidRPr="008014F3" w:rsidTr="00056FF4">
        <w:trPr>
          <w:trHeight w:val="415"/>
        </w:trPr>
        <w:tc>
          <w:tcPr>
            <w:tcW w:w="1555" w:type="dxa"/>
            <w:shd w:val="clear" w:color="auto" w:fill="auto"/>
            <w:vAlign w:val="center"/>
          </w:tcPr>
          <w:p w:rsidR="008014F3" w:rsidRPr="008014F3" w:rsidRDefault="008014F3" w:rsidP="008014F3">
            <w:pPr>
              <w:widowControl w:val="0"/>
              <w:snapToGrid w:val="0"/>
              <w:spacing w:beforeLines="50" w:before="156" w:line="360" w:lineRule="auto"/>
              <w:jc w:val="center"/>
              <w:rPr>
                <w:rFonts w:ascii="Times New Roman" w:hAnsi="Times New Roman"/>
                <w:b/>
                <w:bCs/>
                <w:kern w:val="2"/>
              </w:rPr>
            </w:pPr>
            <w:r w:rsidRPr="008014F3">
              <w:rPr>
                <w:rFonts w:ascii="Times New Roman" w:hAnsi="Times New Roman" w:hint="eastAsia"/>
                <w:b/>
                <w:bCs/>
                <w:kern w:val="2"/>
              </w:rPr>
              <w:t>时间</w:t>
            </w:r>
          </w:p>
        </w:tc>
        <w:tc>
          <w:tcPr>
            <w:tcW w:w="7087" w:type="dxa"/>
            <w:shd w:val="clear" w:color="auto" w:fill="auto"/>
            <w:vAlign w:val="center"/>
          </w:tcPr>
          <w:p w:rsidR="008014F3" w:rsidRPr="008014F3" w:rsidRDefault="008014F3" w:rsidP="008014F3">
            <w:pPr>
              <w:widowControl w:val="0"/>
              <w:snapToGrid w:val="0"/>
              <w:spacing w:beforeLines="50" w:before="156" w:line="360" w:lineRule="auto"/>
              <w:jc w:val="both"/>
              <w:rPr>
                <w:rFonts w:ascii="Times New Roman" w:hAnsi="Times New Roman"/>
                <w:kern w:val="2"/>
              </w:rPr>
            </w:pPr>
            <w:r>
              <w:rPr>
                <w:rFonts w:ascii="Times New Roman" w:hAnsi="Times New Roman" w:hint="eastAsia"/>
                <w:kern w:val="2"/>
              </w:rPr>
              <w:t>2022</w:t>
            </w:r>
            <w:r>
              <w:rPr>
                <w:rFonts w:ascii="Times New Roman" w:hAnsi="Times New Roman" w:hint="eastAsia"/>
                <w:kern w:val="2"/>
              </w:rPr>
              <w:t>年</w:t>
            </w:r>
            <w:r>
              <w:rPr>
                <w:rFonts w:ascii="Times New Roman" w:hAnsi="Times New Roman" w:hint="eastAsia"/>
                <w:kern w:val="2"/>
              </w:rPr>
              <w:t>5</w:t>
            </w:r>
            <w:r>
              <w:rPr>
                <w:rFonts w:ascii="Times New Roman" w:hAnsi="Times New Roman" w:hint="eastAsia"/>
                <w:kern w:val="2"/>
              </w:rPr>
              <w:t>月</w:t>
            </w:r>
            <w:r>
              <w:rPr>
                <w:rFonts w:ascii="Times New Roman" w:hAnsi="Times New Roman" w:hint="eastAsia"/>
                <w:kern w:val="2"/>
              </w:rPr>
              <w:t>23</w:t>
            </w:r>
            <w:r>
              <w:rPr>
                <w:rFonts w:ascii="Times New Roman" w:hAnsi="Times New Roman" w:hint="eastAsia"/>
                <w:kern w:val="2"/>
              </w:rPr>
              <w:t>日星期一下午</w:t>
            </w:r>
            <w:r>
              <w:rPr>
                <w:rFonts w:ascii="Times New Roman" w:hAnsi="Times New Roman" w:hint="eastAsia"/>
                <w:kern w:val="2"/>
              </w:rPr>
              <w:t>1</w:t>
            </w:r>
            <w:r>
              <w:rPr>
                <w:rFonts w:ascii="Times New Roman" w:hAnsi="Times New Roman"/>
                <w:kern w:val="2"/>
              </w:rPr>
              <w:t>5</w:t>
            </w:r>
            <w:r>
              <w:rPr>
                <w:rFonts w:ascii="Times New Roman" w:hAnsi="Times New Roman" w:hint="eastAsia"/>
                <w:kern w:val="2"/>
              </w:rPr>
              <w:t>:3</w:t>
            </w:r>
            <w:r>
              <w:rPr>
                <w:rFonts w:ascii="Times New Roman" w:hAnsi="Times New Roman"/>
                <w:kern w:val="2"/>
              </w:rPr>
              <w:t>0</w:t>
            </w:r>
            <w:r>
              <w:rPr>
                <w:rFonts w:ascii="Times New Roman" w:hAnsi="Times New Roman" w:hint="eastAsia"/>
                <w:kern w:val="2"/>
              </w:rPr>
              <w:t>-</w:t>
            </w:r>
            <w:r>
              <w:rPr>
                <w:rFonts w:ascii="Times New Roman" w:hAnsi="Times New Roman"/>
                <w:kern w:val="2"/>
              </w:rPr>
              <w:t>16</w:t>
            </w:r>
            <w:r>
              <w:rPr>
                <w:rFonts w:ascii="Times New Roman" w:hAnsi="Times New Roman" w:hint="eastAsia"/>
                <w:kern w:val="2"/>
              </w:rPr>
              <w:t>:3</w:t>
            </w:r>
            <w:r>
              <w:rPr>
                <w:rFonts w:ascii="Times New Roman" w:hAnsi="Times New Roman"/>
                <w:kern w:val="2"/>
              </w:rPr>
              <w:t>0</w:t>
            </w:r>
          </w:p>
        </w:tc>
      </w:tr>
      <w:tr w:rsidR="008014F3" w:rsidRPr="008014F3" w:rsidTr="00056FF4">
        <w:trPr>
          <w:trHeight w:val="340"/>
        </w:trPr>
        <w:tc>
          <w:tcPr>
            <w:tcW w:w="1555" w:type="dxa"/>
            <w:shd w:val="clear" w:color="auto" w:fill="auto"/>
            <w:vAlign w:val="center"/>
          </w:tcPr>
          <w:p w:rsidR="008014F3" w:rsidRPr="008014F3" w:rsidRDefault="008014F3" w:rsidP="008014F3">
            <w:pPr>
              <w:widowControl w:val="0"/>
              <w:snapToGrid w:val="0"/>
              <w:jc w:val="center"/>
              <w:rPr>
                <w:rFonts w:ascii="Times New Roman" w:hAnsi="Times New Roman"/>
                <w:b/>
                <w:bCs/>
                <w:kern w:val="2"/>
              </w:rPr>
            </w:pPr>
            <w:r w:rsidRPr="008014F3">
              <w:rPr>
                <w:rFonts w:ascii="Times New Roman" w:hAnsi="Times New Roman" w:hint="eastAsia"/>
                <w:b/>
                <w:bCs/>
                <w:kern w:val="2"/>
              </w:rPr>
              <w:t>地点</w:t>
            </w:r>
          </w:p>
        </w:tc>
        <w:tc>
          <w:tcPr>
            <w:tcW w:w="7087" w:type="dxa"/>
            <w:shd w:val="clear" w:color="auto" w:fill="auto"/>
          </w:tcPr>
          <w:p w:rsidR="008014F3" w:rsidRPr="008014F3" w:rsidRDefault="002A241C" w:rsidP="008014F3">
            <w:pPr>
              <w:widowControl w:val="0"/>
              <w:snapToGrid w:val="0"/>
              <w:spacing w:beforeLines="50" w:before="156" w:line="360" w:lineRule="auto"/>
              <w:jc w:val="both"/>
              <w:rPr>
                <w:rFonts w:ascii="Times New Roman" w:hAnsi="Times New Roman"/>
                <w:kern w:val="2"/>
              </w:rPr>
            </w:pPr>
            <w:r w:rsidRPr="002A241C">
              <w:rPr>
                <w:rFonts w:ascii="Times New Roman" w:hAnsi="Times New Roman" w:hint="eastAsia"/>
                <w:kern w:val="2"/>
              </w:rPr>
              <w:t>上证路演中心</w:t>
            </w:r>
            <w:r w:rsidRPr="002A241C">
              <w:rPr>
                <w:rFonts w:ascii="Times New Roman" w:hAnsi="Times New Roman"/>
                <w:kern w:val="2"/>
              </w:rPr>
              <w:t>(http://roadshow.sseinfo.com/)</w:t>
            </w:r>
          </w:p>
        </w:tc>
      </w:tr>
      <w:tr w:rsidR="008014F3" w:rsidRPr="008014F3" w:rsidTr="00056FF4">
        <w:trPr>
          <w:trHeight w:val="340"/>
        </w:trPr>
        <w:tc>
          <w:tcPr>
            <w:tcW w:w="1555" w:type="dxa"/>
            <w:shd w:val="clear" w:color="auto" w:fill="auto"/>
            <w:vAlign w:val="center"/>
          </w:tcPr>
          <w:p w:rsidR="008014F3" w:rsidRPr="008014F3" w:rsidRDefault="008014F3" w:rsidP="00056FF4">
            <w:pPr>
              <w:widowControl w:val="0"/>
              <w:snapToGrid w:val="0"/>
              <w:spacing w:beforeLines="50" w:before="156" w:line="360" w:lineRule="auto"/>
              <w:jc w:val="center"/>
              <w:rPr>
                <w:rFonts w:ascii="Times New Roman" w:hAnsi="Times New Roman"/>
                <w:b/>
                <w:bCs/>
                <w:kern w:val="2"/>
              </w:rPr>
            </w:pPr>
            <w:r w:rsidRPr="008014F3">
              <w:rPr>
                <w:rFonts w:ascii="Times New Roman" w:hAnsi="Times New Roman" w:hint="eastAsia"/>
                <w:b/>
                <w:bCs/>
                <w:kern w:val="2"/>
              </w:rPr>
              <w:t>上市公司接待人</w:t>
            </w:r>
            <w:r w:rsidR="00056FF4">
              <w:rPr>
                <w:rFonts w:ascii="Times New Roman" w:hAnsi="Times New Roman" w:hint="eastAsia"/>
                <w:b/>
                <w:bCs/>
                <w:kern w:val="2"/>
              </w:rPr>
              <w:t>员姓名</w:t>
            </w:r>
            <w:r w:rsidRPr="008014F3">
              <w:rPr>
                <w:rFonts w:ascii="Times New Roman" w:hAnsi="Times New Roman" w:hint="eastAsia"/>
                <w:b/>
                <w:bCs/>
                <w:kern w:val="2"/>
              </w:rPr>
              <w:t>及职务</w:t>
            </w:r>
          </w:p>
        </w:tc>
        <w:tc>
          <w:tcPr>
            <w:tcW w:w="7087" w:type="dxa"/>
            <w:shd w:val="clear" w:color="auto" w:fill="auto"/>
            <w:vAlign w:val="center"/>
          </w:tcPr>
          <w:p w:rsidR="008014F3" w:rsidRPr="008014F3" w:rsidRDefault="008014F3" w:rsidP="002A241C">
            <w:pPr>
              <w:widowControl w:val="0"/>
              <w:snapToGrid w:val="0"/>
              <w:spacing w:beforeLines="50" w:before="156" w:line="360" w:lineRule="auto"/>
              <w:jc w:val="both"/>
              <w:rPr>
                <w:rFonts w:ascii="Times New Roman" w:hAnsi="Times New Roman"/>
                <w:kern w:val="2"/>
              </w:rPr>
            </w:pPr>
            <w:r>
              <w:rPr>
                <w:rFonts w:ascii="Times New Roman" w:hAnsi="Times New Roman" w:hint="eastAsia"/>
                <w:kern w:val="2"/>
              </w:rPr>
              <w:t>董事长、总经理</w:t>
            </w:r>
            <w:r w:rsidRPr="008014F3">
              <w:rPr>
                <w:rFonts w:ascii="Times New Roman" w:hAnsi="Times New Roman" w:hint="eastAsia"/>
                <w:kern w:val="2"/>
              </w:rPr>
              <w:t>谢兵先生</w:t>
            </w:r>
            <w:r>
              <w:rPr>
                <w:rFonts w:ascii="Times New Roman" w:hAnsi="Times New Roman" w:hint="eastAsia"/>
                <w:kern w:val="2"/>
              </w:rPr>
              <w:t>；独立董事</w:t>
            </w:r>
            <w:r w:rsidRPr="008014F3">
              <w:rPr>
                <w:rFonts w:ascii="Times New Roman" w:hAnsi="Times New Roman" w:hint="eastAsia"/>
                <w:kern w:val="2"/>
              </w:rPr>
              <w:t>饶艳超女士</w:t>
            </w:r>
            <w:r>
              <w:rPr>
                <w:rFonts w:ascii="Times New Roman" w:hAnsi="Times New Roman" w:hint="eastAsia"/>
                <w:kern w:val="2"/>
              </w:rPr>
              <w:t>；财务总监</w:t>
            </w:r>
            <w:r w:rsidRPr="008014F3">
              <w:rPr>
                <w:rFonts w:ascii="Times New Roman" w:hAnsi="Times New Roman" w:hint="eastAsia"/>
                <w:kern w:val="2"/>
              </w:rPr>
              <w:t>陶剑勤女士</w:t>
            </w:r>
            <w:r>
              <w:rPr>
                <w:rFonts w:ascii="Times New Roman" w:hAnsi="Times New Roman" w:hint="eastAsia"/>
                <w:kern w:val="2"/>
              </w:rPr>
              <w:t>；副总经理、董事会秘书</w:t>
            </w:r>
            <w:r w:rsidRPr="008014F3">
              <w:rPr>
                <w:rFonts w:ascii="Times New Roman" w:hAnsi="Times New Roman" w:hint="eastAsia"/>
                <w:kern w:val="2"/>
              </w:rPr>
              <w:t>成玉清先生</w:t>
            </w:r>
          </w:p>
        </w:tc>
      </w:tr>
      <w:tr w:rsidR="008014F3" w:rsidRPr="008014F3" w:rsidTr="00056FF4">
        <w:trPr>
          <w:trHeight w:val="340"/>
        </w:trPr>
        <w:tc>
          <w:tcPr>
            <w:tcW w:w="1555" w:type="dxa"/>
            <w:shd w:val="clear" w:color="auto" w:fill="auto"/>
            <w:vAlign w:val="center"/>
          </w:tcPr>
          <w:p w:rsidR="004B0C2B" w:rsidRDefault="004B0C2B" w:rsidP="00056FF4">
            <w:pPr>
              <w:widowControl w:val="0"/>
              <w:snapToGrid w:val="0"/>
              <w:spacing w:line="360" w:lineRule="auto"/>
              <w:jc w:val="center"/>
              <w:rPr>
                <w:rFonts w:ascii="Times New Roman" w:hAnsi="Times New Roman"/>
                <w:b/>
                <w:bCs/>
                <w:kern w:val="2"/>
              </w:rPr>
            </w:pPr>
          </w:p>
          <w:p w:rsidR="004B0C2B" w:rsidRDefault="004B0C2B" w:rsidP="00056FF4">
            <w:pPr>
              <w:widowControl w:val="0"/>
              <w:snapToGrid w:val="0"/>
              <w:spacing w:line="360" w:lineRule="auto"/>
              <w:jc w:val="center"/>
              <w:rPr>
                <w:rFonts w:ascii="Times New Roman" w:hAnsi="Times New Roman"/>
                <w:b/>
                <w:bCs/>
                <w:kern w:val="2"/>
              </w:rPr>
            </w:pPr>
          </w:p>
          <w:p w:rsidR="004B0C2B" w:rsidRDefault="004B0C2B" w:rsidP="00056FF4">
            <w:pPr>
              <w:widowControl w:val="0"/>
              <w:snapToGrid w:val="0"/>
              <w:spacing w:line="360" w:lineRule="auto"/>
              <w:jc w:val="center"/>
              <w:rPr>
                <w:rFonts w:ascii="Times New Roman" w:hAnsi="Times New Roman"/>
                <w:b/>
                <w:bCs/>
                <w:kern w:val="2"/>
              </w:rPr>
            </w:pPr>
          </w:p>
          <w:p w:rsidR="004B0C2B" w:rsidRDefault="004B0C2B" w:rsidP="00056FF4">
            <w:pPr>
              <w:widowControl w:val="0"/>
              <w:snapToGrid w:val="0"/>
              <w:spacing w:line="360" w:lineRule="auto"/>
              <w:jc w:val="center"/>
              <w:rPr>
                <w:rFonts w:ascii="Times New Roman" w:hAnsi="Times New Roman"/>
                <w:b/>
                <w:bCs/>
                <w:kern w:val="2"/>
              </w:rPr>
            </w:pPr>
          </w:p>
          <w:p w:rsidR="004B0C2B" w:rsidRDefault="004B0C2B" w:rsidP="00056FF4">
            <w:pPr>
              <w:widowControl w:val="0"/>
              <w:snapToGrid w:val="0"/>
              <w:spacing w:line="360" w:lineRule="auto"/>
              <w:jc w:val="center"/>
              <w:rPr>
                <w:rFonts w:ascii="Times New Roman" w:hAnsi="Times New Roman"/>
                <w:b/>
                <w:bCs/>
                <w:kern w:val="2"/>
              </w:rPr>
            </w:pPr>
          </w:p>
          <w:p w:rsidR="008014F3" w:rsidRPr="008014F3" w:rsidRDefault="008014F3" w:rsidP="00056FF4">
            <w:pPr>
              <w:widowControl w:val="0"/>
              <w:snapToGrid w:val="0"/>
              <w:spacing w:line="360" w:lineRule="auto"/>
              <w:jc w:val="center"/>
              <w:rPr>
                <w:rFonts w:ascii="Times New Roman" w:hAnsi="Times New Roman"/>
                <w:b/>
                <w:bCs/>
                <w:kern w:val="2"/>
              </w:rPr>
            </w:pPr>
            <w:r w:rsidRPr="008014F3">
              <w:rPr>
                <w:rFonts w:ascii="Times New Roman" w:hAnsi="Times New Roman" w:hint="eastAsia"/>
                <w:b/>
                <w:bCs/>
                <w:kern w:val="2"/>
              </w:rPr>
              <w:t>投资者关系活动主要内容介绍</w:t>
            </w:r>
          </w:p>
          <w:p w:rsidR="008014F3" w:rsidRPr="008014F3" w:rsidRDefault="008014F3" w:rsidP="008014F3">
            <w:pPr>
              <w:widowControl w:val="0"/>
              <w:snapToGrid w:val="0"/>
              <w:spacing w:line="360" w:lineRule="auto"/>
              <w:jc w:val="center"/>
              <w:rPr>
                <w:rFonts w:ascii="Times New Roman" w:hAnsi="Times New Roman"/>
                <w:b/>
                <w:bCs/>
                <w:kern w:val="2"/>
              </w:rPr>
            </w:pPr>
          </w:p>
          <w:p w:rsidR="008014F3" w:rsidRPr="008014F3" w:rsidRDefault="008014F3" w:rsidP="008014F3">
            <w:pPr>
              <w:widowControl w:val="0"/>
              <w:snapToGrid w:val="0"/>
              <w:spacing w:line="360" w:lineRule="auto"/>
              <w:jc w:val="center"/>
              <w:rPr>
                <w:rFonts w:ascii="Times New Roman" w:hAnsi="Times New Roman"/>
                <w:b/>
                <w:bCs/>
                <w:kern w:val="2"/>
              </w:rPr>
            </w:pPr>
          </w:p>
          <w:p w:rsidR="008014F3" w:rsidRPr="008014F3" w:rsidRDefault="008014F3" w:rsidP="008014F3">
            <w:pPr>
              <w:widowControl w:val="0"/>
              <w:snapToGrid w:val="0"/>
              <w:spacing w:line="360" w:lineRule="auto"/>
              <w:jc w:val="center"/>
              <w:rPr>
                <w:rFonts w:ascii="Times New Roman" w:hAnsi="Times New Roman"/>
                <w:b/>
                <w:bCs/>
                <w:kern w:val="2"/>
              </w:rPr>
            </w:pPr>
          </w:p>
          <w:p w:rsidR="008014F3" w:rsidRPr="008014F3" w:rsidRDefault="008014F3" w:rsidP="008014F3">
            <w:pPr>
              <w:widowControl w:val="0"/>
              <w:snapToGrid w:val="0"/>
              <w:spacing w:line="360" w:lineRule="auto"/>
              <w:jc w:val="center"/>
              <w:rPr>
                <w:rFonts w:ascii="Times New Roman" w:hAnsi="Times New Roman"/>
                <w:b/>
                <w:bCs/>
                <w:kern w:val="2"/>
              </w:rPr>
            </w:pPr>
          </w:p>
          <w:p w:rsidR="004B0C2B" w:rsidRDefault="004B0C2B" w:rsidP="008014F3">
            <w:pPr>
              <w:widowControl w:val="0"/>
              <w:snapToGrid w:val="0"/>
              <w:spacing w:line="360" w:lineRule="auto"/>
              <w:jc w:val="center"/>
              <w:rPr>
                <w:rFonts w:ascii="Times New Roman" w:hAnsi="Times New Roman"/>
                <w:b/>
                <w:bCs/>
                <w:kern w:val="2"/>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Pr="004B0C2B" w:rsidRDefault="004B0C2B" w:rsidP="004B0C2B">
            <w:pPr>
              <w:rPr>
                <w:rFonts w:ascii="Times New Roman" w:hAnsi="Times New Roman" w:hint="eastAsia"/>
              </w:rPr>
            </w:pPr>
          </w:p>
          <w:p w:rsidR="004B0C2B" w:rsidRPr="008014F3" w:rsidRDefault="004B0C2B" w:rsidP="004B0C2B">
            <w:pPr>
              <w:widowControl w:val="0"/>
              <w:snapToGrid w:val="0"/>
              <w:spacing w:line="360" w:lineRule="auto"/>
              <w:jc w:val="center"/>
              <w:rPr>
                <w:rFonts w:ascii="Times New Roman" w:hAnsi="Times New Roman"/>
                <w:b/>
                <w:bCs/>
                <w:kern w:val="2"/>
              </w:rPr>
            </w:pPr>
            <w:r w:rsidRPr="008014F3">
              <w:rPr>
                <w:rFonts w:ascii="Times New Roman" w:hAnsi="Times New Roman" w:hint="eastAsia"/>
                <w:b/>
                <w:bCs/>
                <w:kern w:val="2"/>
              </w:rPr>
              <w:t>投资者关系活动主要内容介绍</w:t>
            </w:r>
          </w:p>
          <w:p w:rsidR="004B0C2B" w:rsidRPr="004B0C2B" w:rsidRDefault="004B0C2B" w:rsidP="004B0C2B">
            <w:pPr>
              <w:rPr>
                <w:rFonts w:ascii="Times New Roman" w:hAnsi="Times New Roman"/>
              </w:rPr>
            </w:pPr>
          </w:p>
          <w:p w:rsid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Default="004B0C2B" w:rsidP="004B0C2B">
            <w:pPr>
              <w:rPr>
                <w:rFonts w:ascii="Times New Roman" w:hAnsi="Times New Roman"/>
              </w:rPr>
            </w:pPr>
          </w:p>
          <w:p w:rsidR="008014F3" w:rsidRDefault="008014F3"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hint="eastAsia"/>
              </w:rPr>
            </w:pPr>
          </w:p>
          <w:p w:rsidR="004B0C2B" w:rsidRPr="008014F3" w:rsidRDefault="004B0C2B" w:rsidP="004B0C2B">
            <w:pPr>
              <w:widowControl w:val="0"/>
              <w:snapToGrid w:val="0"/>
              <w:spacing w:line="360" w:lineRule="auto"/>
              <w:jc w:val="center"/>
              <w:rPr>
                <w:rFonts w:ascii="Times New Roman" w:hAnsi="Times New Roman"/>
                <w:b/>
                <w:bCs/>
                <w:kern w:val="2"/>
              </w:rPr>
            </w:pPr>
            <w:r w:rsidRPr="008014F3">
              <w:rPr>
                <w:rFonts w:ascii="Times New Roman" w:hAnsi="Times New Roman" w:hint="eastAsia"/>
                <w:b/>
                <w:bCs/>
                <w:kern w:val="2"/>
              </w:rPr>
              <w:t>投资者关系活动主要内容介绍</w:t>
            </w: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Pr="008014F3" w:rsidRDefault="004B0C2B" w:rsidP="004B0C2B">
            <w:pPr>
              <w:widowControl w:val="0"/>
              <w:snapToGrid w:val="0"/>
              <w:spacing w:line="360" w:lineRule="auto"/>
              <w:jc w:val="center"/>
              <w:rPr>
                <w:rFonts w:ascii="Times New Roman" w:hAnsi="Times New Roman"/>
                <w:b/>
                <w:bCs/>
                <w:kern w:val="2"/>
              </w:rPr>
            </w:pPr>
            <w:r w:rsidRPr="008014F3">
              <w:rPr>
                <w:rFonts w:ascii="Times New Roman" w:hAnsi="Times New Roman" w:hint="eastAsia"/>
                <w:b/>
                <w:bCs/>
                <w:kern w:val="2"/>
              </w:rPr>
              <w:t>投资者关系活动主要内容介绍</w:t>
            </w:r>
          </w:p>
          <w:p w:rsid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P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rPr>
            </w:pPr>
          </w:p>
          <w:p w:rsidR="004B0C2B" w:rsidRDefault="004B0C2B" w:rsidP="004B0C2B">
            <w:pPr>
              <w:rPr>
                <w:rFonts w:ascii="Times New Roman" w:hAnsi="Times New Roman" w:hint="eastAsia"/>
              </w:rPr>
            </w:pPr>
          </w:p>
          <w:p w:rsidR="004B0C2B" w:rsidRPr="008014F3" w:rsidRDefault="004B0C2B" w:rsidP="004B0C2B">
            <w:pPr>
              <w:widowControl w:val="0"/>
              <w:snapToGrid w:val="0"/>
              <w:spacing w:line="360" w:lineRule="auto"/>
              <w:jc w:val="center"/>
              <w:rPr>
                <w:rFonts w:ascii="Times New Roman" w:hAnsi="Times New Roman"/>
                <w:b/>
                <w:bCs/>
                <w:kern w:val="2"/>
              </w:rPr>
            </w:pPr>
            <w:r w:rsidRPr="008014F3">
              <w:rPr>
                <w:rFonts w:ascii="Times New Roman" w:hAnsi="Times New Roman" w:hint="eastAsia"/>
                <w:b/>
                <w:bCs/>
                <w:kern w:val="2"/>
              </w:rPr>
              <w:t>投资者关系活动主要内容介绍</w:t>
            </w:r>
          </w:p>
          <w:p w:rsidR="004B0C2B" w:rsidRPr="004B0C2B" w:rsidRDefault="004B0C2B" w:rsidP="004B0C2B">
            <w:pPr>
              <w:rPr>
                <w:rFonts w:ascii="Times New Roman" w:hAnsi="Times New Roman" w:hint="eastAsia"/>
              </w:rPr>
            </w:pPr>
          </w:p>
        </w:tc>
        <w:tc>
          <w:tcPr>
            <w:tcW w:w="7087" w:type="dxa"/>
            <w:shd w:val="clear" w:color="auto" w:fill="auto"/>
          </w:tcPr>
          <w:p w:rsidR="002A241C" w:rsidRPr="002A241C" w:rsidRDefault="002A241C" w:rsidP="002A241C">
            <w:pPr>
              <w:widowControl w:val="0"/>
              <w:snapToGrid w:val="0"/>
              <w:spacing w:line="360" w:lineRule="auto"/>
              <w:jc w:val="both"/>
              <w:rPr>
                <w:rFonts w:ascii="Times New Roman" w:hAnsi="Times New Roman"/>
                <w:b/>
                <w:kern w:val="2"/>
                <w:sz w:val="22"/>
              </w:rPr>
            </w:pPr>
            <w:r w:rsidRPr="002A241C">
              <w:rPr>
                <w:rFonts w:ascii="Times New Roman" w:hAnsi="Times New Roman"/>
                <w:b/>
                <w:kern w:val="2"/>
                <w:sz w:val="22"/>
              </w:rPr>
              <w:lastRenderedPageBreak/>
              <w:t>1</w:t>
            </w:r>
            <w:r w:rsidRPr="002A241C">
              <w:rPr>
                <w:rFonts w:ascii="Times New Roman" w:hAnsi="Times New Roman"/>
                <w:b/>
                <w:kern w:val="2"/>
                <w:sz w:val="22"/>
              </w:rPr>
              <w:t>、纺织行业作为传统行业，公司认为行业未来的方向是什么？</w:t>
            </w:r>
          </w:p>
          <w:p w:rsidR="002A241C" w:rsidRPr="008014F3" w:rsidRDefault="002A241C" w:rsidP="002A241C">
            <w:pPr>
              <w:widowControl w:val="0"/>
              <w:snapToGrid w:val="0"/>
              <w:spacing w:line="360" w:lineRule="auto"/>
              <w:jc w:val="both"/>
              <w:rPr>
                <w:rFonts w:ascii="Times New Roman" w:hAnsi="Times New Roman"/>
                <w:kern w:val="2"/>
                <w:sz w:val="22"/>
              </w:rPr>
            </w:pPr>
            <w:r w:rsidRPr="002A241C">
              <w:rPr>
                <w:rFonts w:ascii="Times New Roman" w:hAnsi="Times New Roman" w:hint="eastAsia"/>
                <w:kern w:val="2"/>
                <w:sz w:val="22"/>
              </w:rPr>
              <w:t>回复：纺织行业眼下正是转型发展的关键时期，公司认为低碳环保与产业链数字化赋能将是未来纺织全产业链的发展方向。随着环保理念的深入人心以及</w:t>
            </w:r>
            <w:r w:rsidRPr="002A241C">
              <w:rPr>
                <w:rFonts w:ascii="Times New Roman" w:hAnsi="Times New Roman"/>
                <w:kern w:val="2"/>
                <w:sz w:val="22"/>
              </w:rPr>
              <w:t>2030“</w:t>
            </w:r>
            <w:r w:rsidRPr="002A241C">
              <w:rPr>
                <w:rFonts w:ascii="Times New Roman" w:hAnsi="Times New Roman"/>
                <w:kern w:val="2"/>
                <w:sz w:val="22"/>
              </w:rPr>
              <w:t>碳达峰</w:t>
            </w:r>
            <w:r w:rsidRPr="002A241C">
              <w:rPr>
                <w:rFonts w:ascii="Times New Roman" w:hAnsi="Times New Roman"/>
                <w:kern w:val="2"/>
                <w:sz w:val="22"/>
              </w:rPr>
              <w:t>”2060“</w:t>
            </w:r>
            <w:r w:rsidRPr="002A241C">
              <w:rPr>
                <w:rFonts w:ascii="Times New Roman" w:hAnsi="Times New Roman"/>
                <w:kern w:val="2"/>
                <w:sz w:val="22"/>
              </w:rPr>
              <w:t>碳中和</w:t>
            </w:r>
            <w:r w:rsidRPr="002A241C">
              <w:rPr>
                <w:rFonts w:ascii="Times New Roman" w:hAnsi="Times New Roman"/>
                <w:kern w:val="2"/>
                <w:sz w:val="22"/>
              </w:rPr>
              <w:t>”</w:t>
            </w:r>
            <w:r w:rsidRPr="002A241C">
              <w:rPr>
                <w:rFonts w:ascii="Times New Roman" w:hAnsi="Times New Roman"/>
                <w:kern w:val="2"/>
                <w:sz w:val="22"/>
              </w:rPr>
              <w:t>国家战略的提出，几乎所有的行业都将低碳环保作为重要的发展方向，目前各地环保标准日趋严格，纺织印染行业对于新型环保产品的需求与日俱增。而在数字化方面近年来无论是《纺织行业</w:t>
            </w:r>
            <w:r w:rsidRPr="002A241C">
              <w:rPr>
                <w:rFonts w:ascii="Times New Roman" w:hAnsi="Times New Roman"/>
                <w:kern w:val="2"/>
                <w:sz w:val="22"/>
              </w:rPr>
              <w:t>“</w:t>
            </w:r>
            <w:r w:rsidRPr="002A241C">
              <w:rPr>
                <w:rFonts w:ascii="Times New Roman" w:hAnsi="Times New Roman"/>
                <w:kern w:val="2"/>
                <w:sz w:val="22"/>
              </w:rPr>
              <w:t>十四五</w:t>
            </w:r>
            <w:r w:rsidRPr="002A241C">
              <w:rPr>
                <w:rFonts w:ascii="Times New Roman" w:hAnsi="Times New Roman"/>
                <w:kern w:val="2"/>
                <w:sz w:val="22"/>
              </w:rPr>
              <w:t>”</w:t>
            </w:r>
            <w:r w:rsidRPr="002A241C">
              <w:rPr>
                <w:rFonts w:ascii="Times New Roman" w:hAnsi="Times New Roman"/>
                <w:kern w:val="2"/>
                <w:sz w:val="22"/>
              </w:rPr>
              <w:t>发展纲要》这样的行业发展指引，还是作为我国重要纺织产业基地的浙江省在其对纺织服装产业的规划中，科技、智能化等字眼都反复出现，可见纺织产业链的数字化转型是目前行业</w:t>
            </w:r>
            <w:r w:rsidRPr="002A241C">
              <w:rPr>
                <w:rFonts w:ascii="Times New Roman" w:hAnsi="Times New Roman" w:hint="eastAsia"/>
                <w:kern w:val="2"/>
                <w:sz w:val="22"/>
              </w:rPr>
              <w:t>发展一致认可的方向。公司深耕纺织化学品行业二十余年，在中高端产品的开发生产上具有丰富经验，同时公司也为纺织产业链下游企业提供染整应用技术服务，使得公司对于产业链每一环的痛点需求都足够了解，以</w:t>
            </w:r>
            <w:r w:rsidRPr="002A241C">
              <w:rPr>
                <w:rFonts w:ascii="Times New Roman" w:hAnsi="Times New Roman" w:hint="eastAsia"/>
                <w:kern w:val="2"/>
                <w:sz w:val="22"/>
              </w:rPr>
              <w:lastRenderedPageBreak/>
              <w:t>上这些优势使得公司在环保产品的开发与产业链数字化赋能方面具有独特优势，把握好这些优势公司相信以上两个发展方向将成为公司的全新增长点。</w:t>
            </w:r>
          </w:p>
          <w:p w:rsidR="002A241C" w:rsidRPr="002A241C" w:rsidRDefault="002A241C" w:rsidP="002A241C">
            <w:pPr>
              <w:widowControl w:val="0"/>
              <w:snapToGrid w:val="0"/>
              <w:spacing w:line="360" w:lineRule="auto"/>
              <w:jc w:val="both"/>
              <w:rPr>
                <w:rFonts w:ascii="Times New Roman" w:hAnsi="Times New Roman"/>
                <w:b/>
                <w:kern w:val="2"/>
                <w:sz w:val="22"/>
              </w:rPr>
            </w:pPr>
            <w:r w:rsidRPr="002A241C">
              <w:rPr>
                <w:rFonts w:ascii="Times New Roman" w:hAnsi="Times New Roman"/>
                <w:b/>
                <w:kern w:val="2"/>
                <w:sz w:val="22"/>
              </w:rPr>
              <w:t>2</w:t>
            </w:r>
            <w:r w:rsidRPr="002A241C">
              <w:rPr>
                <w:rFonts w:ascii="Times New Roman" w:hAnsi="Times New Roman"/>
                <w:b/>
                <w:kern w:val="2"/>
                <w:sz w:val="22"/>
              </w:rPr>
              <w:t>、低碳环保是目前的一个热门话题，公司在绿色环保产品的研发生产方面是否有所突破？公司在相关领域有哪些成果？</w:t>
            </w:r>
          </w:p>
          <w:p w:rsidR="008014F3" w:rsidRPr="008014F3" w:rsidRDefault="002A241C" w:rsidP="002A241C">
            <w:pPr>
              <w:widowControl w:val="0"/>
              <w:snapToGrid w:val="0"/>
              <w:spacing w:line="360" w:lineRule="auto"/>
              <w:jc w:val="both"/>
              <w:rPr>
                <w:rFonts w:ascii="Times New Roman" w:hAnsi="Times New Roman"/>
                <w:kern w:val="2"/>
                <w:sz w:val="22"/>
              </w:rPr>
            </w:pPr>
            <w:r w:rsidRPr="002A241C">
              <w:rPr>
                <w:rFonts w:ascii="Times New Roman" w:hAnsi="Times New Roman" w:hint="eastAsia"/>
                <w:kern w:val="2"/>
                <w:sz w:val="22"/>
              </w:rPr>
              <w:t>回复：公司坚持绿色发展理念，运用自身技术优势发展新型绿色低碳环保产品。凭借从业</w:t>
            </w:r>
            <w:r w:rsidRPr="002A241C">
              <w:rPr>
                <w:rFonts w:ascii="Times New Roman" w:hAnsi="Times New Roman"/>
                <w:kern w:val="2"/>
                <w:sz w:val="22"/>
              </w:rPr>
              <w:t>20</w:t>
            </w:r>
            <w:r w:rsidRPr="002A241C">
              <w:rPr>
                <w:rFonts w:ascii="Times New Roman" w:hAnsi="Times New Roman"/>
                <w:kern w:val="2"/>
                <w:sz w:val="22"/>
              </w:rPr>
              <w:t>余年以来的深厚技术积累，公司近年来开发出多款能够节约用水、降低排放、减少污染的产品，其中欧诺兰高效环保新型酶制剂、涤棉一浴雅格欣</w:t>
            </w:r>
            <w:r w:rsidRPr="002A241C">
              <w:rPr>
                <w:rFonts w:ascii="Times New Roman" w:hAnsi="Times New Roman"/>
                <w:kern w:val="2"/>
                <w:sz w:val="22"/>
              </w:rPr>
              <w:t>CP</w:t>
            </w:r>
            <w:r w:rsidRPr="002A241C">
              <w:rPr>
                <w:rFonts w:ascii="Times New Roman" w:hAnsi="Times New Roman"/>
                <w:kern w:val="2"/>
                <w:sz w:val="22"/>
              </w:rPr>
              <w:t>系列染料等产品入选了历年中国印染行业节能减排先进技术推荐目录。随着相关产品的逐步开发完善，作为染整整体解决方案提供商，公司帮助下游企业优化调整印染工艺，实现印染过程中的节能减排绿色低碳，以满足环保要求，实现可持续发展。从而使公司在为产业链绿色转型贡献自己的一份力量的同时，加强了公司在市场上的竞</w:t>
            </w:r>
            <w:r w:rsidRPr="002A241C">
              <w:rPr>
                <w:rFonts w:ascii="Times New Roman" w:hAnsi="Times New Roman" w:hint="eastAsia"/>
                <w:kern w:val="2"/>
                <w:sz w:val="22"/>
              </w:rPr>
              <w:t>争力，将这场行业绿色革命作为公司发展的新契机。</w:t>
            </w:r>
          </w:p>
          <w:p w:rsidR="002A241C" w:rsidRPr="002A241C" w:rsidRDefault="002A241C" w:rsidP="002A241C">
            <w:pPr>
              <w:widowControl w:val="0"/>
              <w:snapToGrid w:val="0"/>
              <w:spacing w:line="360" w:lineRule="auto"/>
              <w:jc w:val="both"/>
              <w:rPr>
                <w:rFonts w:ascii="Times New Roman" w:hAnsi="Times New Roman"/>
                <w:b/>
                <w:kern w:val="2"/>
                <w:sz w:val="22"/>
              </w:rPr>
            </w:pPr>
            <w:r w:rsidRPr="002A241C">
              <w:rPr>
                <w:rFonts w:ascii="Times New Roman" w:hAnsi="Times New Roman"/>
                <w:b/>
                <w:kern w:val="2"/>
                <w:sz w:val="22"/>
              </w:rPr>
              <w:t>3</w:t>
            </w:r>
            <w:r w:rsidRPr="002A241C">
              <w:rPr>
                <w:rFonts w:ascii="Times New Roman" w:hAnsi="Times New Roman"/>
                <w:b/>
                <w:kern w:val="2"/>
                <w:sz w:val="22"/>
              </w:rPr>
              <w:t>、公司在产业数字化转型方面有哪些成果？公司数字化的颜色解决方案项目进展情况？</w:t>
            </w:r>
          </w:p>
          <w:p w:rsidR="008014F3" w:rsidRPr="008014F3" w:rsidRDefault="002A241C" w:rsidP="002A241C">
            <w:pPr>
              <w:widowControl w:val="0"/>
              <w:snapToGrid w:val="0"/>
              <w:spacing w:line="360" w:lineRule="auto"/>
              <w:jc w:val="both"/>
              <w:rPr>
                <w:rFonts w:ascii="Times New Roman" w:hAnsi="Times New Roman"/>
                <w:kern w:val="2"/>
                <w:sz w:val="22"/>
              </w:rPr>
            </w:pPr>
            <w:r w:rsidRPr="002A241C">
              <w:rPr>
                <w:rFonts w:ascii="Times New Roman" w:hAnsi="Times New Roman" w:hint="eastAsia"/>
                <w:kern w:val="2"/>
                <w:sz w:val="22"/>
              </w:rPr>
              <w:t>回复：“科技”是我国纺织产业在十四五发展规划中的重要目标之一，实现纺织产业链的数字赋能是纺织行业迈向新时代的重要目标，数字化颜色解决方案作为公司在产业链数字化转型方面的重要项目由全资子公司上海蒙克信息科技有限公司打造。目前蒙克科技已开发了小蒙智能移动测色仪，可随时随地检测实体色样并实现数据数字化精准传递，并根据纺织产业链上下游印染企业、服装面料企业以及服装品牌的不同需求，为他们量身定制开发了智染通</w:t>
            </w:r>
            <w:r w:rsidRPr="002A241C">
              <w:rPr>
                <w:rFonts w:ascii="Times New Roman" w:hAnsi="Times New Roman"/>
                <w:kern w:val="2"/>
                <w:sz w:val="22"/>
              </w:rPr>
              <w:t>APP</w:t>
            </w:r>
            <w:r w:rsidRPr="002A241C">
              <w:rPr>
                <w:rFonts w:ascii="Times New Roman" w:hAnsi="Times New Roman"/>
                <w:kern w:val="2"/>
                <w:sz w:val="22"/>
              </w:rPr>
              <w:t>、面料通</w:t>
            </w:r>
            <w:r w:rsidRPr="002A241C">
              <w:rPr>
                <w:rFonts w:ascii="Times New Roman" w:hAnsi="Times New Roman"/>
                <w:kern w:val="2"/>
                <w:sz w:val="22"/>
              </w:rPr>
              <w:t>APP</w:t>
            </w:r>
            <w:r w:rsidRPr="002A241C">
              <w:rPr>
                <w:rFonts w:ascii="Times New Roman" w:hAnsi="Times New Roman"/>
                <w:kern w:val="2"/>
                <w:sz w:val="22"/>
              </w:rPr>
              <w:t>以及供应链色彩云平台等一系列相关配套软件，可实现颜色快速、精准开发，以及颜色的快速定量检</w:t>
            </w:r>
            <w:r w:rsidRPr="002A241C">
              <w:rPr>
                <w:rFonts w:ascii="Times New Roman" w:hAnsi="Times New Roman" w:hint="eastAsia"/>
                <w:kern w:val="2"/>
                <w:sz w:val="22"/>
              </w:rPr>
              <w:t>测、分析优化及分色处理等功能，随着相关软硬件的逐步成型，公司的数字化颜色解决方案已初具雏形，数字化颜色解决方案预计</w:t>
            </w:r>
            <w:r w:rsidRPr="002A241C">
              <w:rPr>
                <w:rFonts w:ascii="Times New Roman" w:hAnsi="Times New Roman"/>
                <w:kern w:val="2"/>
                <w:sz w:val="22"/>
              </w:rPr>
              <w:t>2022</w:t>
            </w:r>
            <w:r w:rsidRPr="002A241C">
              <w:rPr>
                <w:rFonts w:ascii="Times New Roman" w:hAnsi="Times New Roman"/>
                <w:kern w:val="2"/>
                <w:sz w:val="22"/>
              </w:rPr>
              <w:t>年也将正式发布，未来有望成为公司一个能够带动公司整体业务全面发展的全新增长点。</w:t>
            </w:r>
          </w:p>
          <w:p w:rsidR="002A241C" w:rsidRPr="002A241C" w:rsidRDefault="002A241C" w:rsidP="002A241C">
            <w:pPr>
              <w:widowControl w:val="0"/>
              <w:snapToGrid w:val="0"/>
              <w:spacing w:line="360" w:lineRule="auto"/>
              <w:jc w:val="both"/>
              <w:rPr>
                <w:rFonts w:ascii="Times New Roman" w:hAnsi="Times New Roman"/>
                <w:b/>
                <w:kern w:val="2"/>
                <w:sz w:val="22"/>
              </w:rPr>
            </w:pPr>
            <w:r w:rsidRPr="002A241C">
              <w:rPr>
                <w:rFonts w:ascii="Times New Roman" w:hAnsi="Times New Roman"/>
                <w:b/>
                <w:kern w:val="2"/>
                <w:sz w:val="22"/>
              </w:rPr>
              <w:t>4</w:t>
            </w:r>
            <w:r w:rsidRPr="002A241C">
              <w:rPr>
                <w:rFonts w:ascii="Times New Roman" w:hAnsi="Times New Roman"/>
                <w:b/>
                <w:kern w:val="2"/>
                <w:sz w:val="22"/>
              </w:rPr>
              <w:t>、请问公司当前的长期发展战略是什么？</w:t>
            </w:r>
          </w:p>
          <w:p w:rsidR="008014F3" w:rsidRPr="008014F3" w:rsidRDefault="002A241C" w:rsidP="002A241C">
            <w:pPr>
              <w:widowControl w:val="0"/>
              <w:snapToGrid w:val="0"/>
              <w:spacing w:line="360" w:lineRule="auto"/>
              <w:jc w:val="both"/>
              <w:rPr>
                <w:rFonts w:ascii="Times New Roman" w:hAnsi="Times New Roman"/>
                <w:kern w:val="2"/>
                <w:sz w:val="22"/>
              </w:rPr>
            </w:pPr>
            <w:r w:rsidRPr="002A241C">
              <w:rPr>
                <w:rFonts w:ascii="Times New Roman" w:hAnsi="Times New Roman" w:hint="eastAsia"/>
                <w:kern w:val="2"/>
                <w:sz w:val="22"/>
              </w:rPr>
              <w:t>回复：公司是一家主要从事中高端染料和纺织助剂的研发、生产、销售并提供相关染整应用技术服务的企业。长期以来公司坚决贯彻“推进染助一体化协同发展、提升差异化、节能减排的产品和应用技术、通过数</w:t>
            </w:r>
            <w:r w:rsidRPr="002A241C">
              <w:rPr>
                <w:rFonts w:ascii="Times New Roman" w:hAnsi="Times New Roman" w:hint="eastAsia"/>
                <w:kern w:val="2"/>
                <w:sz w:val="22"/>
              </w:rPr>
              <w:lastRenderedPageBreak/>
              <w:t>字化进一步完善染整问题解决方案和技术服务体系”的战略方针，牢牢把握染助一体化发展及长期技术积累所带来的优势，稳步经营平稳发展。与此同时，公司也着眼于当下绿色环保的全新理念与产业数字化变革的时代浪潮，在新型环保产品的开发生产与纺织印染产业链数字化赋能两方面为公司的发展注入全新动力。</w:t>
            </w:r>
          </w:p>
          <w:p w:rsidR="002A241C" w:rsidRPr="002A241C" w:rsidRDefault="002A241C" w:rsidP="002A241C">
            <w:pPr>
              <w:widowControl w:val="0"/>
              <w:snapToGrid w:val="0"/>
              <w:spacing w:line="360" w:lineRule="auto"/>
              <w:jc w:val="both"/>
              <w:rPr>
                <w:rFonts w:ascii="Times New Roman" w:hAnsi="Times New Roman"/>
                <w:b/>
                <w:kern w:val="2"/>
                <w:sz w:val="22"/>
              </w:rPr>
            </w:pPr>
            <w:r w:rsidRPr="002A241C">
              <w:rPr>
                <w:rFonts w:ascii="Times New Roman" w:hAnsi="Times New Roman"/>
                <w:b/>
                <w:kern w:val="2"/>
                <w:sz w:val="22"/>
              </w:rPr>
              <w:t>5</w:t>
            </w:r>
            <w:r w:rsidRPr="002A241C">
              <w:rPr>
                <w:rFonts w:ascii="Times New Roman" w:hAnsi="Times New Roman"/>
                <w:b/>
                <w:kern w:val="2"/>
                <w:sz w:val="22"/>
              </w:rPr>
              <w:t>、公司有没有</w:t>
            </w:r>
            <w:r w:rsidRPr="002A241C">
              <w:rPr>
                <w:rFonts w:ascii="Times New Roman" w:hAnsi="Times New Roman"/>
                <w:b/>
                <w:kern w:val="2"/>
                <w:sz w:val="22"/>
              </w:rPr>
              <w:t>2022</w:t>
            </w:r>
            <w:r w:rsidRPr="002A241C">
              <w:rPr>
                <w:rFonts w:ascii="Times New Roman" w:hAnsi="Times New Roman"/>
                <w:b/>
                <w:kern w:val="2"/>
                <w:sz w:val="22"/>
              </w:rPr>
              <w:t>年发展规划或具体措施</w:t>
            </w:r>
            <w:r w:rsidRPr="002A241C">
              <w:rPr>
                <w:rFonts w:ascii="Times New Roman" w:hAnsi="Times New Roman"/>
                <w:b/>
                <w:kern w:val="2"/>
                <w:sz w:val="22"/>
              </w:rPr>
              <w:t>?</w:t>
            </w:r>
          </w:p>
          <w:p w:rsidR="008014F3" w:rsidRPr="008014F3" w:rsidRDefault="002A241C" w:rsidP="002A241C">
            <w:pPr>
              <w:widowControl w:val="0"/>
              <w:snapToGrid w:val="0"/>
              <w:spacing w:line="360" w:lineRule="auto"/>
              <w:jc w:val="both"/>
              <w:rPr>
                <w:rFonts w:ascii="Times New Roman" w:hAnsi="Times New Roman"/>
                <w:kern w:val="2"/>
                <w:sz w:val="22"/>
              </w:rPr>
            </w:pPr>
            <w:r w:rsidRPr="002A241C">
              <w:rPr>
                <w:rFonts w:ascii="Times New Roman" w:hAnsi="Times New Roman" w:hint="eastAsia"/>
                <w:kern w:val="2"/>
                <w:sz w:val="22"/>
              </w:rPr>
              <w:t>回复：</w:t>
            </w:r>
            <w:r w:rsidRPr="002A241C">
              <w:rPr>
                <w:rFonts w:ascii="Times New Roman" w:hAnsi="Times New Roman"/>
                <w:kern w:val="2"/>
                <w:sz w:val="22"/>
              </w:rPr>
              <w:t>2022</w:t>
            </w:r>
            <w:r w:rsidRPr="002A241C">
              <w:rPr>
                <w:rFonts w:ascii="Times New Roman" w:hAnsi="Times New Roman"/>
                <w:kern w:val="2"/>
                <w:sz w:val="22"/>
              </w:rPr>
              <w:t>年，公司在建产能将逐步建成投产，项目将显著提升公司助剂生产能力，其中绍兴厂区毗邻柯桥纺织印染基地具有独特的区位优势，未来公司助剂业务规模有望跨上新的台阶，同时位于北虹桥的研发中心项目的预计将建成投入使用，公司综合竞争力也有望获得提升。而在产业链数字赋能方面公司历时数年打造的数字化颜色解决方案也将正式发布，相关配套软硬件也将加快全国布局以及版本发布，并将探索性尝试颜色数字化解决方案在非纺织行业的应用，为公司发展寻找新的增长点。</w:t>
            </w:r>
          </w:p>
          <w:p w:rsidR="002A241C" w:rsidRPr="002A241C" w:rsidRDefault="002A241C" w:rsidP="002A241C">
            <w:pPr>
              <w:widowControl w:val="0"/>
              <w:snapToGrid w:val="0"/>
              <w:spacing w:line="360" w:lineRule="auto"/>
              <w:jc w:val="both"/>
              <w:rPr>
                <w:rFonts w:ascii="Times New Roman" w:hAnsi="Times New Roman"/>
                <w:b/>
                <w:kern w:val="2"/>
                <w:sz w:val="22"/>
              </w:rPr>
            </w:pPr>
            <w:r w:rsidRPr="002A241C">
              <w:rPr>
                <w:rFonts w:ascii="Times New Roman" w:hAnsi="Times New Roman"/>
                <w:b/>
                <w:kern w:val="2"/>
                <w:sz w:val="22"/>
              </w:rPr>
              <w:t>6</w:t>
            </w:r>
            <w:r w:rsidRPr="002A241C">
              <w:rPr>
                <w:rFonts w:ascii="Times New Roman" w:hAnsi="Times New Roman"/>
                <w:b/>
                <w:kern w:val="2"/>
                <w:sz w:val="22"/>
              </w:rPr>
              <w:t>、公司是否重视新技术、新产品的研发应用？公司在研发能力建设上有哪些成果？</w:t>
            </w:r>
          </w:p>
          <w:p w:rsidR="008014F3" w:rsidRPr="008014F3" w:rsidRDefault="002A241C" w:rsidP="002A241C">
            <w:pPr>
              <w:widowControl w:val="0"/>
              <w:snapToGrid w:val="0"/>
              <w:spacing w:line="360" w:lineRule="auto"/>
              <w:jc w:val="both"/>
              <w:rPr>
                <w:rFonts w:ascii="Times New Roman" w:hAnsi="Times New Roman"/>
                <w:kern w:val="2"/>
                <w:sz w:val="22"/>
              </w:rPr>
            </w:pPr>
            <w:r w:rsidRPr="002A241C">
              <w:rPr>
                <w:rFonts w:ascii="Times New Roman" w:hAnsi="Times New Roman" w:hint="eastAsia"/>
                <w:kern w:val="2"/>
                <w:sz w:val="22"/>
              </w:rPr>
              <w:t>回复：公司相信研发创新是企业长期发展的不竭动力，随着行业逐渐向差异化、个性化产品方向发展，产业链也走向数字化、智能化时代，优秀研发创新能力的作用日渐凸显。</w:t>
            </w:r>
            <w:r w:rsidRPr="002A241C">
              <w:rPr>
                <w:rFonts w:ascii="Times New Roman" w:hAnsi="Times New Roman"/>
                <w:kern w:val="2"/>
                <w:sz w:val="22"/>
              </w:rPr>
              <w:t>2021</w:t>
            </w:r>
            <w:r w:rsidRPr="002A241C">
              <w:rPr>
                <w:rFonts w:ascii="Times New Roman" w:hAnsi="Times New Roman"/>
                <w:kern w:val="2"/>
                <w:sz w:val="22"/>
              </w:rPr>
              <w:t>年公司震东新材料首次通过高新技术企业认定，截至目前公司共有雅运新材料、苏州科法曼、太仓宝霓及震东新材料共四家企业被认定为高新技术企业。</w:t>
            </w:r>
            <w:r w:rsidRPr="002A241C">
              <w:rPr>
                <w:rFonts w:ascii="Times New Roman" w:hAnsi="Times New Roman"/>
                <w:kern w:val="2"/>
                <w:sz w:val="22"/>
              </w:rPr>
              <w:t>2021</w:t>
            </w:r>
            <w:r w:rsidRPr="002A241C">
              <w:rPr>
                <w:rFonts w:ascii="Times New Roman" w:hAnsi="Times New Roman"/>
                <w:kern w:val="2"/>
                <w:sz w:val="22"/>
              </w:rPr>
              <w:t>年公司也积极推动企业生产设备的现代化改造，优化公司技术中心软硬件设施，完成了对科法曼厂区拼装设备的自动化升级，公司科法曼技术中心也被评为江苏省级企业技术中心，随着软硬件升级与新技术的应用，公司研发能力得到</w:t>
            </w:r>
            <w:r w:rsidRPr="002A241C">
              <w:rPr>
                <w:rFonts w:ascii="Times New Roman" w:hAnsi="Times New Roman" w:hint="eastAsia"/>
                <w:kern w:val="2"/>
                <w:sz w:val="22"/>
              </w:rPr>
              <w:t>了进一步加强。</w:t>
            </w:r>
          </w:p>
          <w:p w:rsidR="002A241C" w:rsidRPr="002A241C" w:rsidRDefault="002A241C" w:rsidP="002A241C">
            <w:pPr>
              <w:widowControl w:val="0"/>
              <w:snapToGrid w:val="0"/>
              <w:spacing w:line="360" w:lineRule="auto"/>
              <w:jc w:val="both"/>
              <w:rPr>
                <w:rFonts w:ascii="Times New Roman" w:hAnsi="Times New Roman"/>
                <w:b/>
                <w:kern w:val="2"/>
                <w:sz w:val="22"/>
              </w:rPr>
            </w:pPr>
            <w:r w:rsidRPr="002A241C">
              <w:rPr>
                <w:rFonts w:ascii="Times New Roman" w:hAnsi="Times New Roman"/>
                <w:b/>
                <w:kern w:val="2"/>
                <w:sz w:val="22"/>
              </w:rPr>
              <w:t>7</w:t>
            </w:r>
            <w:r w:rsidRPr="002A241C">
              <w:rPr>
                <w:rFonts w:ascii="Times New Roman" w:hAnsi="Times New Roman"/>
                <w:b/>
                <w:kern w:val="2"/>
                <w:sz w:val="22"/>
              </w:rPr>
              <w:t>、公司上市以来还没有资本运作，总股本也偏小，请问公司是否有再融资计划，扩大经营规模，增强公司竞争力从而提振股价？</w:t>
            </w:r>
          </w:p>
          <w:p w:rsidR="008014F3" w:rsidRPr="008014F3" w:rsidRDefault="002A241C" w:rsidP="002A241C">
            <w:pPr>
              <w:widowControl w:val="0"/>
              <w:snapToGrid w:val="0"/>
              <w:spacing w:line="360" w:lineRule="auto"/>
              <w:jc w:val="both"/>
              <w:rPr>
                <w:rFonts w:ascii="Times New Roman" w:hAnsi="Times New Roman"/>
                <w:kern w:val="2"/>
                <w:sz w:val="22"/>
              </w:rPr>
            </w:pPr>
            <w:r w:rsidRPr="002A241C">
              <w:rPr>
                <w:rFonts w:ascii="Times New Roman" w:hAnsi="Times New Roman" w:hint="eastAsia"/>
                <w:kern w:val="2"/>
                <w:sz w:val="22"/>
              </w:rPr>
              <w:t>回复：基于公司当前产业链的布局与生产经营的实际需求，公司考虑寻找优质标的，向产业链上游延伸，优化公司产业链布局，稳定公司原材料供给及价格，提升公司盈利能力。若寻找到合适项目，公司将结合实际情况合理考虑使用资本市场融资工具，发挥资本市场融资优势。</w:t>
            </w:r>
          </w:p>
          <w:p w:rsidR="00056FF4" w:rsidRPr="00056FF4" w:rsidRDefault="00056FF4" w:rsidP="00056FF4">
            <w:pPr>
              <w:widowControl w:val="0"/>
              <w:snapToGrid w:val="0"/>
              <w:spacing w:line="360" w:lineRule="auto"/>
              <w:jc w:val="both"/>
              <w:rPr>
                <w:rFonts w:ascii="Times New Roman" w:hAnsi="Times New Roman"/>
                <w:b/>
                <w:kern w:val="2"/>
                <w:sz w:val="22"/>
              </w:rPr>
            </w:pPr>
            <w:r w:rsidRPr="00056FF4">
              <w:rPr>
                <w:rFonts w:ascii="Times New Roman" w:hAnsi="Times New Roman"/>
                <w:b/>
                <w:kern w:val="2"/>
                <w:sz w:val="22"/>
              </w:rPr>
              <w:t>8</w:t>
            </w:r>
            <w:r w:rsidRPr="00056FF4">
              <w:rPr>
                <w:rFonts w:ascii="Times New Roman" w:hAnsi="Times New Roman"/>
                <w:b/>
                <w:kern w:val="2"/>
                <w:sz w:val="22"/>
              </w:rPr>
              <w:t>、回购股份用于股权激励，请问公司何时实施？</w:t>
            </w:r>
          </w:p>
          <w:p w:rsidR="008014F3" w:rsidRPr="008014F3" w:rsidRDefault="00056FF4" w:rsidP="00056FF4">
            <w:pPr>
              <w:widowControl w:val="0"/>
              <w:snapToGrid w:val="0"/>
              <w:spacing w:line="360" w:lineRule="auto"/>
              <w:jc w:val="both"/>
              <w:rPr>
                <w:rFonts w:ascii="Times New Roman" w:hAnsi="Times New Roman"/>
                <w:kern w:val="2"/>
                <w:sz w:val="22"/>
              </w:rPr>
            </w:pPr>
            <w:r w:rsidRPr="00056FF4">
              <w:rPr>
                <w:rFonts w:ascii="Times New Roman" w:hAnsi="Times New Roman" w:hint="eastAsia"/>
                <w:kern w:val="2"/>
                <w:sz w:val="22"/>
              </w:rPr>
              <w:t>回复：公司于</w:t>
            </w:r>
            <w:r w:rsidRPr="00056FF4">
              <w:rPr>
                <w:rFonts w:ascii="Times New Roman" w:hAnsi="Times New Roman"/>
                <w:kern w:val="2"/>
                <w:sz w:val="22"/>
              </w:rPr>
              <w:t>2021</w:t>
            </w:r>
            <w:r w:rsidRPr="00056FF4">
              <w:rPr>
                <w:rFonts w:ascii="Times New Roman" w:hAnsi="Times New Roman"/>
                <w:kern w:val="2"/>
                <w:sz w:val="22"/>
              </w:rPr>
              <w:t>年</w:t>
            </w:r>
            <w:r w:rsidRPr="00056FF4">
              <w:rPr>
                <w:rFonts w:ascii="Times New Roman" w:hAnsi="Times New Roman"/>
                <w:kern w:val="2"/>
                <w:sz w:val="22"/>
              </w:rPr>
              <w:t>7</w:t>
            </w:r>
            <w:r w:rsidRPr="00056FF4">
              <w:rPr>
                <w:rFonts w:ascii="Times New Roman" w:hAnsi="Times New Roman"/>
                <w:kern w:val="2"/>
                <w:sz w:val="22"/>
              </w:rPr>
              <w:t>月</w:t>
            </w:r>
            <w:r w:rsidRPr="00056FF4">
              <w:rPr>
                <w:rFonts w:ascii="Times New Roman" w:hAnsi="Times New Roman"/>
                <w:kern w:val="2"/>
                <w:sz w:val="22"/>
              </w:rPr>
              <w:t>15</w:t>
            </w:r>
            <w:r w:rsidRPr="00056FF4">
              <w:rPr>
                <w:rFonts w:ascii="Times New Roman" w:hAnsi="Times New Roman"/>
                <w:kern w:val="2"/>
                <w:sz w:val="22"/>
              </w:rPr>
              <w:t>日披露公告，完成回购计划共计回购</w:t>
            </w:r>
            <w:r w:rsidRPr="00056FF4">
              <w:rPr>
                <w:rFonts w:ascii="Times New Roman" w:hAnsi="Times New Roman"/>
                <w:kern w:val="2"/>
                <w:sz w:val="22"/>
              </w:rPr>
              <w:lastRenderedPageBreak/>
              <w:t>2,804,660</w:t>
            </w:r>
            <w:r w:rsidRPr="00056FF4">
              <w:rPr>
                <w:rFonts w:ascii="Times New Roman" w:hAnsi="Times New Roman"/>
                <w:kern w:val="2"/>
                <w:sz w:val="22"/>
              </w:rPr>
              <w:t>股，根据公告该部分股份将于公告披露日</w:t>
            </w:r>
            <w:r w:rsidRPr="00056FF4">
              <w:rPr>
                <w:rFonts w:ascii="Times New Roman" w:hAnsi="Times New Roman"/>
                <w:kern w:val="2"/>
                <w:sz w:val="22"/>
              </w:rPr>
              <w:t>3</w:t>
            </w:r>
            <w:r w:rsidRPr="00056FF4">
              <w:rPr>
                <w:rFonts w:ascii="Times New Roman" w:hAnsi="Times New Roman"/>
                <w:kern w:val="2"/>
                <w:sz w:val="22"/>
              </w:rPr>
              <w:t>年内用以实施股权激励，若</w:t>
            </w:r>
            <w:r w:rsidRPr="00056FF4">
              <w:rPr>
                <w:rFonts w:ascii="Times New Roman" w:hAnsi="Times New Roman"/>
                <w:kern w:val="2"/>
                <w:sz w:val="22"/>
              </w:rPr>
              <w:t>3</w:t>
            </w:r>
            <w:r w:rsidRPr="00056FF4">
              <w:rPr>
                <w:rFonts w:ascii="Times New Roman" w:hAnsi="Times New Roman"/>
                <w:kern w:val="2"/>
                <w:sz w:val="22"/>
              </w:rPr>
              <w:t>年内未用于上述用途，该部分股份将注销。后续公司将根据公司经营规划结合市场情况，适时开展股权激励，促进公司平稳健康发展，若实施股权激励计划，公司将依法及时披露有关信息，请关注后续相关公告。</w:t>
            </w:r>
          </w:p>
          <w:p w:rsidR="008014F3" w:rsidRPr="008014F3" w:rsidRDefault="00056FF4" w:rsidP="008014F3">
            <w:pPr>
              <w:widowControl w:val="0"/>
              <w:snapToGrid w:val="0"/>
              <w:spacing w:line="360" w:lineRule="auto"/>
              <w:jc w:val="both"/>
              <w:rPr>
                <w:rFonts w:ascii="Times New Roman" w:hAnsi="Times New Roman"/>
                <w:b/>
                <w:kern w:val="2"/>
                <w:sz w:val="22"/>
              </w:rPr>
            </w:pPr>
            <w:r w:rsidRPr="00056FF4">
              <w:rPr>
                <w:rFonts w:ascii="Times New Roman" w:hAnsi="Times New Roman" w:hint="eastAsia"/>
                <w:b/>
                <w:kern w:val="2"/>
                <w:sz w:val="22"/>
              </w:rPr>
              <w:t>9</w:t>
            </w:r>
            <w:r w:rsidRPr="00056FF4">
              <w:rPr>
                <w:rFonts w:ascii="Times New Roman" w:hAnsi="Times New Roman" w:hint="eastAsia"/>
                <w:b/>
                <w:kern w:val="2"/>
                <w:sz w:val="22"/>
              </w:rPr>
              <w:t>、公司哪些领域具有一定的技术优势？产品在哪些方面领先？</w:t>
            </w:r>
          </w:p>
          <w:p w:rsidR="008014F3" w:rsidRPr="008014F3" w:rsidRDefault="00056FF4" w:rsidP="008014F3">
            <w:pPr>
              <w:widowControl w:val="0"/>
              <w:snapToGrid w:val="0"/>
              <w:spacing w:line="360" w:lineRule="auto"/>
              <w:jc w:val="both"/>
              <w:rPr>
                <w:rFonts w:ascii="Times New Roman" w:hAnsi="Times New Roman"/>
                <w:kern w:val="2"/>
                <w:sz w:val="22"/>
              </w:rPr>
            </w:pPr>
            <w:r>
              <w:rPr>
                <w:rFonts w:ascii="Times New Roman" w:hAnsi="Times New Roman" w:hint="eastAsia"/>
                <w:kern w:val="2"/>
                <w:sz w:val="22"/>
              </w:rPr>
              <w:t>回复：</w:t>
            </w:r>
            <w:r w:rsidRPr="00056FF4">
              <w:rPr>
                <w:rFonts w:ascii="Times New Roman" w:hAnsi="Times New Roman" w:hint="eastAsia"/>
                <w:kern w:val="2"/>
                <w:sz w:val="22"/>
              </w:rPr>
              <w:t>公司深耕纺织化工产品行业二十余年，是国内少有的染助一体化协同发展企业，通过长期的技术积累，公司拥有丰富齐全的产品系列，可满足客户丰富多样的个性化需求，并长期保持在尼龙和羊毛染色产品等细分高端市场的较强竞争力，同时在环保产品等重点领域的研发上取得颇多进展，产品多次入选中国印染行业节能减排先进技术推荐目录。</w:t>
            </w:r>
          </w:p>
          <w:p w:rsidR="008014F3" w:rsidRPr="008014F3" w:rsidRDefault="00056FF4" w:rsidP="008014F3">
            <w:pPr>
              <w:widowControl w:val="0"/>
              <w:snapToGrid w:val="0"/>
              <w:spacing w:line="360" w:lineRule="auto"/>
              <w:jc w:val="both"/>
              <w:rPr>
                <w:rFonts w:ascii="Times New Roman" w:hAnsi="Times New Roman"/>
                <w:b/>
                <w:kern w:val="2"/>
                <w:sz w:val="22"/>
              </w:rPr>
            </w:pPr>
            <w:r w:rsidRPr="00056FF4">
              <w:rPr>
                <w:rFonts w:ascii="Times New Roman" w:hAnsi="Times New Roman" w:hint="eastAsia"/>
                <w:b/>
                <w:kern w:val="2"/>
                <w:sz w:val="22"/>
              </w:rPr>
              <w:t>1</w:t>
            </w:r>
            <w:r w:rsidRPr="00056FF4">
              <w:rPr>
                <w:rFonts w:ascii="Times New Roman" w:hAnsi="Times New Roman"/>
                <w:b/>
                <w:kern w:val="2"/>
                <w:sz w:val="22"/>
              </w:rPr>
              <w:t>0</w:t>
            </w:r>
            <w:r w:rsidRPr="00056FF4">
              <w:rPr>
                <w:rFonts w:ascii="Times New Roman" w:hAnsi="Times New Roman" w:hint="eastAsia"/>
                <w:b/>
                <w:kern w:val="2"/>
                <w:sz w:val="22"/>
              </w:rPr>
              <w:t>、请问公司</w:t>
            </w:r>
            <w:r w:rsidRPr="00056FF4">
              <w:rPr>
                <w:rFonts w:ascii="Times New Roman" w:hAnsi="Times New Roman"/>
                <w:b/>
                <w:kern w:val="2"/>
                <w:sz w:val="22"/>
              </w:rPr>
              <w:t>2021</w:t>
            </w:r>
            <w:r w:rsidRPr="00056FF4">
              <w:rPr>
                <w:rFonts w:ascii="Times New Roman" w:hAnsi="Times New Roman"/>
                <w:b/>
                <w:kern w:val="2"/>
                <w:sz w:val="22"/>
              </w:rPr>
              <w:t>年利润分配方案是什么？何时派发分红？</w:t>
            </w:r>
          </w:p>
          <w:p w:rsidR="008014F3" w:rsidRPr="008014F3" w:rsidRDefault="00056FF4" w:rsidP="008014F3">
            <w:pPr>
              <w:widowControl w:val="0"/>
              <w:snapToGrid w:val="0"/>
              <w:spacing w:line="360" w:lineRule="auto"/>
              <w:jc w:val="both"/>
              <w:rPr>
                <w:rFonts w:ascii="Times New Roman" w:hAnsi="Times New Roman"/>
                <w:kern w:val="2"/>
                <w:sz w:val="22"/>
              </w:rPr>
            </w:pPr>
            <w:r>
              <w:rPr>
                <w:rFonts w:ascii="Times New Roman" w:hAnsi="Times New Roman" w:hint="eastAsia"/>
                <w:kern w:val="2"/>
                <w:sz w:val="22"/>
              </w:rPr>
              <w:t>回复：</w:t>
            </w:r>
            <w:r w:rsidRPr="00056FF4">
              <w:rPr>
                <w:rFonts w:ascii="Times New Roman" w:hAnsi="Times New Roman" w:hint="eastAsia"/>
                <w:kern w:val="2"/>
                <w:sz w:val="22"/>
              </w:rPr>
              <w:t>根据</w:t>
            </w:r>
            <w:r w:rsidRPr="00056FF4">
              <w:rPr>
                <w:rFonts w:ascii="Times New Roman" w:hAnsi="Times New Roman"/>
                <w:kern w:val="2"/>
                <w:sz w:val="22"/>
              </w:rPr>
              <w:t>2022</w:t>
            </w:r>
            <w:r w:rsidRPr="00056FF4">
              <w:rPr>
                <w:rFonts w:ascii="Times New Roman" w:hAnsi="Times New Roman"/>
                <w:kern w:val="2"/>
                <w:sz w:val="22"/>
              </w:rPr>
              <w:t>年</w:t>
            </w:r>
            <w:r w:rsidRPr="00056FF4">
              <w:rPr>
                <w:rFonts w:ascii="Times New Roman" w:hAnsi="Times New Roman"/>
                <w:kern w:val="2"/>
                <w:sz w:val="22"/>
              </w:rPr>
              <w:t>4</w:t>
            </w:r>
            <w:r w:rsidRPr="00056FF4">
              <w:rPr>
                <w:rFonts w:ascii="Times New Roman" w:hAnsi="Times New Roman"/>
                <w:kern w:val="2"/>
                <w:sz w:val="22"/>
              </w:rPr>
              <w:t>月</w:t>
            </w:r>
            <w:r w:rsidRPr="00056FF4">
              <w:rPr>
                <w:rFonts w:ascii="Times New Roman" w:hAnsi="Times New Roman"/>
                <w:kern w:val="2"/>
                <w:sz w:val="22"/>
              </w:rPr>
              <w:t>27</w:t>
            </w:r>
            <w:r w:rsidRPr="00056FF4">
              <w:rPr>
                <w:rFonts w:ascii="Times New Roman" w:hAnsi="Times New Roman"/>
                <w:kern w:val="2"/>
                <w:sz w:val="22"/>
              </w:rPr>
              <w:t>日雅运股份第四届董事会第</w:t>
            </w:r>
            <w:r w:rsidRPr="00056FF4">
              <w:rPr>
                <w:rFonts w:ascii="Times New Roman" w:hAnsi="Times New Roman"/>
                <w:kern w:val="2"/>
                <w:sz w:val="22"/>
              </w:rPr>
              <w:t>16</w:t>
            </w:r>
            <w:r w:rsidRPr="00056FF4">
              <w:rPr>
                <w:rFonts w:ascii="Times New Roman" w:hAnsi="Times New Roman"/>
                <w:kern w:val="2"/>
                <w:sz w:val="22"/>
              </w:rPr>
              <w:t>次会议审议，公司</w:t>
            </w:r>
            <w:r w:rsidRPr="00056FF4">
              <w:rPr>
                <w:rFonts w:ascii="Times New Roman" w:hAnsi="Times New Roman"/>
                <w:kern w:val="2"/>
                <w:sz w:val="22"/>
              </w:rPr>
              <w:t>2021</w:t>
            </w:r>
            <w:r w:rsidRPr="00056FF4">
              <w:rPr>
                <w:rFonts w:ascii="Times New Roman" w:hAnsi="Times New Roman"/>
                <w:kern w:val="2"/>
                <w:sz w:val="22"/>
              </w:rPr>
              <w:t>年度分配方案为：以总股本扣除回购股份暨以</w:t>
            </w:r>
            <w:r w:rsidRPr="00056FF4">
              <w:rPr>
                <w:rFonts w:ascii="Times New Roman" w:hAnsi="Times New Roman"/>
                <w:kern w:val="2"/>
                <w:sz w:val="22"/>
              </w:rPr>
              <w:t>188,555,340</w:t>
            </w:r>
            <w:r w:rsidRPr="00056FF4">
              <w:rPr>
                <w:rFonts w:ascii="Times New Roman" w:hAnsi="Times New Roman"/>
                <w:kern w:val="2"/>
                <w:sz w:val="22"/>
              </w:rPr>
              <w:t>股为基数，按每</w:t>
            </w:r>
            <w:r w:rsidRPr="00056FF4">
              <w:rPr>
                <w:rFonts w:ascii="Times New Roman" w:hAnsi="Times New Roman"/>
                <w:kern w:val="2"/>
                <w:sz w:val="22"/>
              </w:rPr>
              <w:t>10</w:t>
            </w:r>
            <w:r w:rsidRPr="00056FF4">
              <w:rPr>
                <w:rFonts w:ascii="Times New Roman" w:hAnsi="Times New Roman"/>
                <w:kern w:val="2"/>
                <w:sz w:val="22"/>
              </w:rPr>
              <w:t>股派发现金股利人民币</w:t>
            </w:r>
            <w:r w:rsidRPr="00056FF4">
              <w:rPr>
                <w:rFonts w:ascii="Times New Roman" w:hAnsi="Times New Roman"/>
                <w:kern w:val="2"/>
                <w:sz w:val="22"/>
              </w:rPr>
              <w:t>1.20</w:t>
            </w:r>
            <w:r w:rsidRPr="00056FF4">
              <w:rPr>
                <w:rFonts w:ascii="Times New Roman" w:hAnsi="Times New Roman"/>
                <w:kern w:val="2"/>
                <w:sz w:val="22"/>
              </w:rPr>
              <w:t>元（含税），预计派发现金红利</w:t>
            </w:r>
            <w:r w:rsidRPr="00056FF4">
              <w:rPr>
                <w:rFonts w:ascii="Times New Roman" w:hAnsi="Times New Roman"/>
                <w:kern w:val="2"/>
                <w:sz w:val="22"/>
              </w:rPr>
              <w:t>22,626,640.8</w:t>
            </w:r>
            <w:r w:rsidRPr="00056FF4">
              <w:rPr>
                <w:rFonts w:ascii="Times New Roman" w:hAnsi="Times New Roman"/>
                <w:kern w:val="2"/>
                <w:sz w:val="22"/>
              </w:rPr>
              <w:t>元（含税）。若后续公司参与权益分派的股本发生变动，公司拟维持每股分配股利不变，相应调整分配总额。该利润分配方案尚需经公司</w:t>
            </w:r>
            <w:r w:rsidRPr="00056FF4">
              <w:rPr>
                <w:rFonts w:ascii="Times New Roman" w:hAnsi="Times New Roman"/>
                <w:kern w:val="2"/>
                <w:sz w:val="22"/>
              </w:rPr>
              <w:t>2021</w:t>
            </w:r>
            <w:r w:rsidRPr="00056FF4">
              <w:rPr>
                <w:rFonts w:ascii="Times New Roman" w:hAnsi="Times New Roman"/>
                <w:kern w:val="2"/>
                <w:sz w:val="22"/>
              </w:rPr>
              <w:t>年年度股东大会审议通过方可实施，分红安排请关注公司后续相关公告。</w:t>
            </w:r>
          </w:p>
          <w:p w:rsidR="008014F3" w:rsidRPr="008014F3" w:rsidRDefault="00056FF4" w:rsidP="008014F3">
            <w:pPr>
              <w:widowControl w:val="0"/>
              <w:snapToGrid w:val="0"/>
              <w:spacing w:line="360" w:lineRule="auto"/>
              <w:jc w:val="both"/>
              <w:rPr>
                <w:rFonts w:ascii="Times New Roman" w:hAnsi="Times New Roman"/>
                <w:b/>
                <w:kern w:val="2"/>
                <w:sz w:val="22"/>
              </w:rPr>
            </w:pPr>
            <w:r w:rsidRPr="00056FF4">
              <w:rPr>
                <w:rFonts w:ascii="Times New Roman" w:hAnsi="Times New Roman" w:hint="eastAsia"/>
                <w:b/>
                <w:kern w:val="2"/>
                <w:sz w:val="22"/>
              </w:rPr>
              <w:t>1</w:t>
            </w:r>
            <w:r w:rsidRPr="00056FF4">
              <w:rPr>
                <w:rFonts w:ascii="Times New Roman" w:hAnsi="Times New Roman"/>
                <w:b/>
                <w:kern w:val="2"/>
                <w:sz w:val="22"/>
              </w:rPr>
              <w:t>1</w:t>
            </w:r>
            <w:r w:rsidRPr="00056FF4">
              <w:rPr>
                <w:rFonts w:ascii="Times New Roman" w:hAnsi="Times New Roman" w:hint="eastAsia"/>
                <w:b/>
                <w:kern w:val="2"/>
                <w:sz w:val="22"/>
              </w:rPr>
              <w:t>、请问公司在产业链中处于哪一部分？上下游是哪些企业？</w:t>
            </w:r>
          </w:p>
          <w:p w:rsidR="008014F3" w:rsidRDefault="00056FF4" w:rsidP="008014F3">
            <w:pPr>
              <w:widowControl w:val="0"/>
              <w:snapToGrid w:val="0"/>
              <w:spacing w:line="360" w:lineRule="auto"/>
              <w:jc w:val="both"/>
              <w:rPr>
                <w:rFonts w:ascii="Times New Roman" w:hAnsi="Times New Roman"/>
                <w:kern w:val="2"/>
                <w:sz w:val="22"/>
              </w:rPr>
            </w:pPr>
            <w:r>
              <w:rPr>
                <w:rFonts w:ascii="Times New Roman" w:hAnsi="Times New Roman" w:hint="eastAsia"/>
                <w:kern w:val="2"/>
                <w:sz w:val="22"/>
              </w:rPr>
              <w:t>回复：</w:t>
            </w:r>
            <w:r w:rsidRPr="00056FF4">
              <w:rPr>
                <w:rFonts w:ascii="Times New Roman" w:hAnsi="Times New Roman" w:hint="eastAsia"/>
                <w:kern w:val="2"/>
                <w:sz w:val="22"/>
              </w:rPr>
              <w:t>雅运股份是以中高端染料及纺织助剂为主要产品的染整整体解决方案提供商。公司客户以印染企业为主，此外还包括面料商、服装品牌在内的纺织产业链下游各企业，公司向印染企业销售染料及纺织助剂产品并向产业链上的各相关企业提供染整应用技术服务；公司上游主要为</w:t>
            </w:r>
            <w:r w:rsidRPr="00056FF4">
              <w:rPr>
                <w:rFonts w:ascii="Times New Roman" w:hAnsi="Times New Roman"/>
                <w:kern w:val="2"/>
                <w:sz w:val="22"/>
              </w:rPr>
              <w:t>H</w:t>
            </w:r>
            <w:r w:rsidRPr="00056FF4">
              <w:rPr>
                <w:rFonts w:ascii="Times New Roman" w:hAnsi="Times New Roman"/>
                <w:kern w:val="2"/>
                <w:sz w:val="22"/>
              </w:rPr>
              <w:t>酸等染料中间体生产企业，公司根据生产计划、市场价格等因素合理备货，控制成本。</w:t>
            </w:r>
          </w:p>
          <w:p w:rsidR="00056FF4" w:rsidRDefault="00056FF4" w:rsidP="008014F3">
            <w:pPr>
              <w:widowControl w:val="0"/>
              <w:snapToGrid w:val="0"/>
              <w:spacing w:line="360" w:lineRule="auto"/>
              <w:jc w:val="both"/>
              <w:rPr>
                <w:rFonts w:ascii="Times New Roman" w:hAnsi="Times New Roman"/>
                <w:b/>
                <w:kern w:val="2"/>
                <w:sz w:val="22"/>
              </w:rPr>
            </w:pPr>
            <w:r w:rsidRPr="00056FF4">
              <w:rPr>
                <w:rFonts w:ascii="Times New Roman" w:hAnsi="Times New Roman" w:hint="eastAsia"/>
                <w:b/>
                <w:kern w:val="2"/>
                <w:sz w:val="22"/>
              </w:rPr>
              <w:t>1</w:t>
            </w:r>
            <w:r w:rsidRPr="00056FF4">
              <w:rPr>
                <w:rFonts w:ascii="Times New Roman" w:hAnsi="Times New Roman"/>
                <w:b/>
                <w:kern w:val="2"/>
                <w:sz w:val="22"/>
              </w:rPr>
              <w:t>2</w:t>
            </w:r>
            <w:r w:rsidRPr="00056FF4">
              <w:rPr>
                <w:rFonts w:ascii="Times New Roman" w:hAnsi="Times New Roman" w:hint="eastAsia"/>
                <w:b/>
                <w:kern w:val="2"/>
                <w:sz w:val="22"/>
              </w:rPr>
              <w:t>、在建震东新材料项目是否受到疫情影响，建成后将给公司带来怎样的变化？</w:t>
            </w:r>
          </w:p>
          <w:p w:rsidR="00056FF4" w:rsidRDefault="00056FF4" w:rsidP="008014F3">
            <w:pPr>
              <w:widowControl w:val="0"/>
              <w:snapToGrid w:val="0"/>
              <w:spacing w:line="360" w:lineRule="auto"/>
              <w:jc w:val="both"/>
              <w:rPr>
                <w:rFonts w:ascii="Times New Roman" w:hAnsi="Times New Roman"/>
                <w:kern w:val="2"/>
                <w:sz w:val="22"/>
              </w:rPr>
            </w:pPr>
            <w:r w:rsidRPr="00056FF4">
              <w:rPr>
                <w:rFonts w:ascii="Times New Roman" w:hAnsi="Times New Roman" w:hint="eastAsia"/>
                <w:kern w:val="2"/>
                <w:sz w:val="22"/>
              </w:rPr>
              <w:t>回复：公司在建震东新材料项目，受疫情影响物流运输不畅，目前公司正根据当地政策合理规划施工安排，预计项目整体将于年内建成。震东新材料位于浙江绍兴毗邻柯桥纺织印染基地，具有独特的区位优势。根据《浙江省全球先进制造业基地建设“十四五”规划》，浙江“十四五”</w:t>
            </w:r>
            <w:r w:rsidRPr="00056FF4">
              <w:rPr>
                <w:rFonts w:ascii="Times New Roman" w:hAnsi="Times New Roman" w:hint="eastAsia"/>
                <w:kern w:val="2"/>
                <w:sz w:val="22"/>
              </w:rPr>
              <w:lastRenderedPageBreak/>
              <w:t>期间将打造国际一流的现代纺织和服装产业基地，结合目前国内纺织市场集约化发展趋势，未来公司绍兴生产基地有望拥有众多潜在的优质客户。同时随着公司绍兴生产基地的建成，公司助剂生产能力将得到大幅提升，产能布局与区域销售能力也将更为合理。</w:t>
            </w:r>
          </w:p>
          <w:p w:rsidR="00056FF4" w:rsidRPr="00056FF4" w:rsidRDefault="00056FF4" w:rsidP="008014F3">
            <w:pPr>
              <w:widowControl w:val="0"/>
              <w:snapToGrid w:val="0"/>
              <w:spacing w:line="360" w:lineRule="auto"/>
              <w:jc w:val="both"/>
              <w:rPr>
                <w:rFonts w:ascii="Times New Roman" w:hAnsi="Times New Roman"/>
                <w:b/>
                <w:kern w:val="2"/>
                <w:sz w:val="22"/>
              </w:rPr>
            </w:pPr>
            <w:r w:rsidRPr="00056FF4">
              <w:rPr>
                <w:rFonts w:ascii="Times New Roman" w:hAnsi="Times New Roman" w:hint="eastAsia"/>
                <w:b/>
                <w:kern w:val="2"/>
                <w:sz w:val="22"/>
              </w:rPr>
              <w:t>1</w:t>
            </w:r>
            <w:r w:rsidRPr="00056FF4">
              <w:rPr>
                <w:rFonts w:ascii="Times New Roman" w:hAnsi="Times New Roman"/>
                <w:b/>
                <w:kern w:val="2"/>
                <w:sz w:val="22"/>
              </w:rPr>
              <w:t>3</w:t>
            </w:r>
            <w:r w:rsidRPr="00056FF4">
              <w:rPr>
                <w:rFonts w:ascii="Times New Roman" w:hAnsi="Times New Roman" w:hint="eastAsia"/>
                <w:b/>
                <w:kern w:val="2"/>
                <w:sz w:val="22"/>
              </w:rPr>
              <w:t>、近期人民币兑美元的贬值利好纺织服装等行业，请问公司作为纺织服装上游行业是否也能有所获益？</w:t>
            </w:r>
          </w:p>
          <w:p w:rsidR="00056FF4" w:rsidRPr="008014F3" w:rsidRDefault="00056FF4" w:rsidP="008014F3">
            <w:pPr>
              <w:widowControl w:val="0"/>
              <w:snapToGrid w:val="0"/>
              <w:spacing w:line="360" w:lineRule="auto"/>
              <w:jc w:val="both"/>
              <w:rPr>
                <w:rFonts w:ascii="Times New Roman" w:hAnsi="Times New Roman"/>
                <w:kern w:val="2"/>
              </w:rPr>
            </w:pPr>
            <w:r>
              <w:rPr>
                <w:rFonts w:ascii="Times New Roman" w:hAnsi="Times New Roman" w:hint="eastAsia"/>
                <w:kern w:val="2"/>
                <w:sz w:val="22"/>
              </w:rPr>
              <w:t>回复：</w:t>
            </w:r>
            <w:r w:rsidRPr="00056FF4">
              <w:rPr>
                <w:rFonts w:ascii="Times New Roman" w:hAnsi="Times New Roman" w:hint="eastAsia"/>
                <w:kern w:val="2"/>
                <w:sz w:val="22"/>
              </w:rPr>
              <w:t>公司海外收入占公司主营业务收入约</w:t>
            </w:r>
            <w:r w:rsidRPr="00056FF4">
              <w:rPr>
                <w:rFonts w:ascii="Times New Roman" w:hAnsi="Times New Roman"/>
                <w:kern w:val="2"/>
                <w:sz w:val="22"/>
              </w:rPr>
              <w:t>10%</w:t>
            </w:r>
            <w:r w:rsidRPr="00056FF4">
              <w:rPr>
                <w:rFonts w:ascii="Times New Roman" w:hAnsi="Times New Roman"/>
                <w:kern w:val="2"/>
                <w:sz w:val="22"/>
              </w:rPr>
              <w:t>，汇率变化对公司的直接影响不大。公司下游纺织服装行业对出口的依赖较强，能够在一定程度上从贬值中获益，人民币汇率近期的波动理论上将对公司有利。但公司利润受原材料价格、整体经济环境、下游需求等诸多因素影响，总体而言目前的汇率波动有利公司，但对公司业绩影响有限。</w:t>
            </w:r>
          </w:p>
        </w:tc>
      </w:tr>
      <w:tr w:rsidR="008014F3" w:rsidRPr="008014F3" w:rsidTr="00056FF4">
        <w:trPr>
          <w:trHeight w:val="513"/>
        </w:trPr>
        <w:tc>
          <w:tcPr>
            <w:tcW w:w="1555" w:type="dxa"/>
            <w:shd w:val="clear" w:color="auto" w:fill="auto"/>
            <w:vAlign w:val="center"/>
          </w:tcPr>
          <w:p w:rsidR="008014F3" w:rsidRPr="008014F3" w:rsidRDefault="008014F3" w:rsidP="00056FF4">
            <w:pPr>
              <w:widowControl w:val="0"/>
              <w:snapToGrid w:val="0"/>
              <w:spacing w:beforeLines="50" w:before="156" w:line="360" w:lineRule="auto"/>
              <w:jc w:val="center"/>
              <w:rPr>
                <w:rFonts w:ascii="Times New Roman" w:hAnsi="Times New Roman"/>
                <w:b/>
                <w:bCs/>
                <w:kern w:val="2"/>
              </w:rPr>
            </w:pPr>
            <w:r w:rsidRPr="008014F3">
              <w:rPr>
                <w:rFonts w:ascii="Times New Roman" w:hAnsi="Times New Roman" w:hint="eastAsia"/>
                <w:b/>
                <w:bCs/>
                <w:kern w:val="2"/>
              </w:rPr>
              <w:lastRenderedPageBreak/>
              <w:t>附件清单（如有）</w:t>
            </w:r>
          </w:p>
        </w:tc>
        <w:tc>
          <w:tcPr>
            <w:tcW w:w="7087" w:type="dxa"/>
            <w:shd w:val="clear" w:color="auto" w:fill="auto"/>
            <w:vAlign w:val="center"/>
          </w:tcPr>
          <w:p w:rsidR="008014F3" w:rsidRPr="008014F3" w:rsidRDefault="00056FF4" w:rsidP="00056FF4">
            <w:pPr>
              <w:widowControl w:val="0"/>
              <w:snapToGrid w:val="0"/>
              <w:spacing w:beforeLines="50" w:before="156" w:line="360" w:lineRule="auto"/>
              <w:jc w:val="both"/>
              <w:rPr>
                <w:rFonts w:ascii="Times New Roman" w:hAnsi="Times New Roman"/>
                <w:kern w:val="2"/>
              </w:rPr>
            </w:pPr>
            <w:r>
              <w:rPr>
                <w:rFonts w:ascii="Times New Roman" w:hAnsi="Times New Roman" w:hint="eastAsia"/>
                <w:kern w:val="2"/>
              </w:rPr>
              <w:t>无</w:t>
            </w:r>
          </w:p>
        </w:tc>
      </w:tr>
      <w:tr w:rsidR="008014F3" w:rsidRPr="008014F3" w:rsidTr="00056FF4">
        <w:trPr>
          <w:trHeight w:val="340"/>
        </w:trPr>
        <w:tc>
          <w:tcPr>
            <w:tcW w:w="1555" w:type="dxa"/>
            <w:shd w:val="clear" w:color="auto" w:fill="auto"/>
            <w:vAlign w:val="center"/>
          </w:tcPr>
          <w:p w:rsidR="008014F3" w:rsidRPr="008014F3" w:rsidRDefault="008014F3" w:rsidP="00056FF4">
            <w:pPr>
              <w:widowControl w:val="0"/>
              <w:snapToGrid w:val="0"/>
              <w:spacing w:beforeLines="50" w:before="156" w:line="360" w:lineRule="auto"/>
              <w:jc w:val="center"/>
              <w:rPr>
                <w:rFonts w:ascii="Times New Roman" w:hAnsi="Times New Roman"/>
                <w:b/>
                <w:bCs/>
                <w:kern w:val="2"/>
              </w:rPr>
            </w:pPr>
            <w:r w:rsidRPr="008014F3">
              <w:rPr>
                <w:rFonts w:ascii="Times New Roman" w:hAnsi="Times New Roman" w:hint="eastAsia"/>
                <w:b/>
                <w:bCs/>
                <w:kern w:val="2"/>
              </w:rPr>
              <w:t>日期</w:t>
            </w:r>
          </w:p>
        </w:tc>
        <w:tc>
          <w:tcPr>
            <w:tcW w:w="7087" w:type="dxa"/>
            <w:shd w:val="clear" w:color="auto" w:fill="auto"/>
          </w:tcPr>
          <w:p w:rsidR="008014F3" w:rsidRPr="008014F3" w:rsidRDefault="00056FF4" w:rsidP="00CC75EF">
            <w:pPr>
              <w:widowControl w:val="0"/>
              <w:snapToGrid w:val="0"/>
              <w:spacing w:beforeLines="50" w:before="156" w:line="360" w:lineRule="auto"/>
              <w:jc w:val="both"/>
              <w:rPr>
                <w:rFonts w:ascii="Times New Roman" w:hAnsi="Times New Roman"/>
                <w:kern w:val="2"/>
              </w:rPr>
            </w:pPr>
            <w:r>
              <w:rPr>
                <w:rFonts w:ascii="Times New Roman" w:hAnsi="Times New Roman" w:hint="eastAsia"/>
                <w:kern w:val="2"/>
              </w:rPr>
              <w:t>2022</w:t>
            </w:r>
            <w:r>
              <w:rPr>
                <w:rFonts w:ascii="Times New Roman" w:hAnsi="Times New Roman" w:hint="eastAsia"/>
                <w:kern w:val="2"/>
              </w:rPr>
              <w:t>年</w:t>
            </w:r>
            <w:r>
              <w:rPr>
                <w:rFonts w:ascii="Times New Roman" w:hAnsi="Times New Roman" w:hint="eastAsia"/>
                <w:kern w:val="2"/>
              </w:rPr>
              <w:t>5</w:t>
            </w:r>
            <w:r>
              <w:rPr>
                <w:rFonts w:ascii="Times New Roman" w:hAnsi="Times New Roman" w:hint="eastAsia"/>
                <w:kern w:val="2"/>
              </w:rPr>
              <w:t>月</w:t>
            </w:r>
            <w:r>
              <w:rPr>
                <w:rFonts w:ascii="Times New Roman" w:hAnsi="Times New Roman" w:hint="eastAsia"/>
                <w:kern w:val="2"/>
              </w:rPr>
              <w:t>2</w:t>
            </w:r>
            <w:r w:rsidR="00CC75EF">
              <w:rPr>
                <w:rFonts w:ascii="Times New Roman" w:hAnsi="Times New Roman"/>
                <w:kern w:val="2"/>
              </w:rPr>
              <w:t>4</w:t>
            </w:r>
            <w:bookmarkStart w:id="0" w:name="_GoBack"/>
            <w:bookmarkEnd w:id="0"/>
            <w:r>
              <w:rPr>
                <w:rFonts w:ascii="Times New Roman" w:hAnsi="Times New Roman" w:hint="eastAsia"/>
                <w:kern w:val="2"/>
              </w:rPr>
              <w:t>日</w:t>
            </w:r>
          </w:p>
        </w:tc>
      </w:tr>
    </w:tbl>
    <w:p w:rsidR="005E1CC9" w:rsidRPr="0021396B" w:rsidRDefault="005E1CC9"/>
    <w:sectPr w:rsidR="005E1CC9" w:rsidRPr="002139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B8C" w:rsidRDefault="00EB7B8C" w:rsidP="005E1CC9">
      <w:r>
        <w:separator/>
      </w:r>
    </w:p>
  </w:endnote>
  <w:endnote w:type="continuationSeparator" w:id="0">
    <w:p w:rsidR="00EB7B8C" w:rsidRDefault="00EB7B8C" w:rsidP="005E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B8C" w:rsidRDefault="00EB7B8C" w:rsidP="005E1CC9">
      <w:r>
        <w:separator/>
      </w:r>
    </w:p>
  </w:footnote>
  <w:footnote w:type="continuationSeparator" w:id="0">
    <w:p w:rsidR="00EB7B8C" w:rsidRDefault="00EB7B8C" w:rsidP="005E1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2"/>
    <w:rsid w:val="00006203"/>
    <w:rsid w:val="00013F51"/>
    <w:rsid w:val="00016ACF"/>
    <w:rsid w:val="000329C0"/>
    <w:rsid w:val="00055D11"/>
    <w:rsid w:val="00056FF4"/>
    <w:rsid w:val="0006430B"/>
    <w:rsid w:val="00073D5F"/>
    <w:rsid w:val="00093C0E"/>
    <w:rsid w:val="000A2EF6"/>
    <w:rsid w:val="000A6C97"/>
    <w:rsid w:val="000B6E65"/>
    <w:rsid w:val="000C2ECC"/>
    <w:rsid w:val="000D2124"/>
    <w:rsid w:val="000E4856"/>
    <w:rsid w:val="000F06A2"/>
    <w:rsid w:val="00101CC8"/>
    <w:rsid w:val="00102FA3"/>
    <w:rsid w:val="00107260"/>
    <w:rsid w:val="00112283"/>
    <w:rsid w:val="00112FB0"/>
    <w:rsid w:val="0012302C"/>
    <w:rsid w:val="00124247"/>
    <w:rsid w:val="00126DCA"/>
    <w:rsid w:val="00137D71"/>
    <w:rsid w:val="0014500D"/>
    <w:rsid w:val="00166DC9"/>
    <w:rsid w:val="001677A2"/>
    <w:rsid w:val="00167AFF"/>
    <w:rsid w:val="001749A2"/>
    <w:rsid w:val="00180977"/>
    <w:rsid w:val="001938A1"/>
    <w:rsid w:val="00195B5A"/>
    <w:rsid w:val="001A54A4"/>
    <w:rsid w:val="001C1B93"/>
    <w:rsid w:val="001C2171"/>
    <w:rsid w:val="001C4172"/>
    <w:rsid w:val="001C64A7"/>
    <w:rsid w:val="001C6B9F"/>
    <w:rsid w:val="001D71F7"/>
    <w:rsid w:val="001E1860"/>
    <w:rsid w:val="001E7B12"/>
    <w:rsid w:val="001F1C78"/>
    <w:rsid w:val="001F30B4"/>
    <w:rsid w:val="0020079F"/>
    <w:rsid w:val="0020379E"/>
    <w:rsid w:val="00204D61"/>
    <w:rsid w:val="0021396B"/>
    <w:rsid w:val="00222E4E"/>
    <w:rsid w:val="00236E36"/>
    <w:rsid w:val="002542FB"/>
    <w:rsid w:val="00270F2D"/>
    <w:rsid w:val="002728B5"/>
    <w:rsid w:val="00287864"/>
    <w:rsid w:val="00290C62"/>
    <w:rsid w:val="002913E8"/>
    <w:rsid w:val="00294823"/>
    <w:rsid w:val="002A13DD"/>
    <w:rsid w:val="002A241C"/>
    <w:rsid w:val="002A48BF"/>
    <w:rsid w:val="002A7D54"/>
    <w:rsid w:val="002A7E54"/>
    <w:rsid w:val="002B14D5"/>
    <w:rsid w:val="002C2BCD"/>
    <w:rsid w:val="002C2CB3"/>
    <w:rsid w:val="002D397D"/>
    <w:rsid w:val="002D3D0B"/>
    <w:rsid w:val="002E1188"/>
    <w:rsid w:val="002E145B"/>
    <w:rsid w:val="002F7F7D"/>
    <w:rsid w:val="003002BE"/>
    <w:rsid w:val="00307A3C"/>
    <w:rsid w:val="0032038E"/>
    <w:rsid w:val="00322FF1"/>
    <w:rsid w:val="00323678"/>
    <w:rsid w:val="0032477E"/>
    <w:rsid w:val="00344835"/>
    <w:rsid w:val="00351431"/>
    <w:rsid w:val="003518FE"/>
    <w:rsid w:val="003520DB"/>
    <w:rsid w:val="00357CDE"/>
    <w:rsid w:val="00375E41"/>
    <w:rsid w:val="00381FFE"/>
    <w:rsid w:val="003955EB"/>
    <w:rsid w:val="003973FE"/>
    <w:rsid w:val="003A67CA"/>
    <w:rsid w:val="003B139C"/>
    <w:rsid w:val="003B2A20"/>
    <w:rsid w:val="003B2FC2"/>
    <w:rsid w:val="003B3F67"/>
    <w:rsid w:val="003C4771"/>
    <w:rsid w:val="003D39F5"/>
    <w:rsid w:val="003D646E"/>
    <w:rsid w:val="003E47F0"/>
    <w:rsid w:val="003E6454"/>
    <w:rsid w:val="003F048E"/>
    <w:rsid w:val="003F49FE"/>
    <w:rsid w:val="003F59C6"/>
    <w:rsid w:val="003F6EAE"/>
    <w:rsid w:val="0040154F"/>
    <w:rsid w:val="00406BCA"/>
    <w:rsid w:val="00411922"/>
    <w:rsid w:val="004121B1"/>
    <w:rsid w:val="00413BA5"/>
    <w:rsid w:val="004155EB"/>
    <w:rsid w:val="00434E39"/>
    <w:rsid w:val="00440206"/>
    <w:rsid w:val="00445A53"/>
    <w:rsid w:val="0045084F"/>
    <w:rsid w:val="00452FC2"/>
    <w:rsid w:val="00455CB2"/>
    <w:rsid w:val="00462A31"/>
    <w:rsid w:val="00466C30"/>
    <w:rsid w:val="00474120"/>
    <w:rsid w:val="0047673B"/>
    <w:rsid w:val="004803DB"/>
    <w:rsid w:val="00481C10"/>
    <w:rsid w:val="004850EE"/>
    <w:rsid w:val="00492C44"/>
    <w:rsid w:val="004A47F5"/>
    <w:rsid w:val="004B0C2B"/>
    <w:rsid w:val="004B5DEB"/>
    <w:rsid w:val="004C229F"/>
    <w:rsid w:val="004C40EA"/>
    <w:rsid w:val="004C679F"/>
    <w:rsid w:val="004D5508"/>
    <w:rsid w:val="004D641A"/>
    <w:rsid w:val="004E2CAA"/>
    <w:rsid w:val="004F17B4"/>
    <w:rsid w:val="004F7630"/>
    <w:rsid w:val="004F79EE"/>
    <w:rsid w:val="00503167"/>
    <w:rsid w:val="00510E5A"/>
    <w:rsid w:val="00512F7D"/>
    <w:rsid w:val="005158D8"/>
    <w:rsid w:val="00520BCA"/>
    <w:rsid w:val="005222E2"/>
    <w:rsid w:val="00530001"/>
    <w:rsid w:val="005323F2"/>
    <w:rsid w:val="005421C8"/>
    <w:rsid w:val="00557900"/>
    <w:rsid w:val="00575C8C"/>
    <w:rsid w:val="00577C57"/>
    <w:rsid w:val="00581D43"/>
    <w:rsid w:val="00595C88"/>
    <w:rsid w:val="005A2EDB"/>
    <w:rsid w:val="005B0D4A"/>
    <w:rsid w:val="005B66DF"/>
    <w:rsid w:val="005E1CC9"/>
    <w:rsid w:val="005F2D4D"/>
    <w:rsid w:val="00604203"/>
    <w:rsid w:val="0061226C"/>
    <w:rsid w:val="00616264"/>
    <w:rsid w:val="00635171"/>
    <w:rsid w:val="00636F4B"/>
    <w:rsid w:val="00642D02"/>
    <w:rsid w:val="00651A6B"/>
    <w:rsid w:val="00652B21"/>
    <w:rsid w:val="00663BA8"/>
    <w:rsid w:val="006663F8"/>
    <w:rsid w:val="00672563"/>
    <w:rsid w:val="00674047"/>
    <w:rsid w:val="00674155"/>
    <w:rsid w:val="00694BC6"/>
    <w:rsid w:val="006A15F1"/>
    <w:rsid w:val="006A1A40"/>
    <w:rsid w:val="006A1E6F"/>
    <w:rsid w:val="006B6062"/>
    <w:rsid w:val="006C0B38"/>
    <w:rsid w:val="006C1733"/>
    <w:rsid w:val="006C1C28"/>
    <w:rsid w:val="006C532E"/>
    <w:rsid w:val="006D3BA3"/>
    <w:rsid w:val="006E0B39"/>
    <w:rsid w:val="006E10D5"/>
    <w:rsid w:val="006E2447"/>
    <w:rsid w:val="006E2DF9"/>
    <w:rsid w:val="007051B1"/>
    <w:rsid w:val="00706E01"/>
    <w:rsid w:val="007202E4"/>
    <w:rsid w:val="007317EC"/>
    <w:rsid w:val="00732A0D"/>
    <w:rsid w:val="00737650"/>
    <w:rsid w:val="00745931"/>
    <w:rsid w:val="00746ACD"/>
    <w:rsid w:val="0075032C"/>
    <w:rsid w:val="007509E1"/>
    <w:rsid w:val="00764818"/>
    <w:rsid w:val="00764CCD"/>
    <w:rsid w:val="00767C5E"/>
    <w:rsid w:val="00771E41"/>
    <w:rsid w:val="0077202F"/>
    <w:rsid w:val="00777B60"/>
    <w:rsid w:val="007820E6"/>
    <w:rsid w:val="00784754"/>
    <w:rsid w:val="00785583"/>
    <w:rsid w:val="00786543"/>
    <w:rsid w:val="00790230"/>
    <w:rsid w:val="007928E7"/>
    <w:rsid w:val="007A36CB"/>
    <w:rsid w:val="007A5C60"/>
    <w:rsid w:val="007B660B"/>
    <w:rsid w:val="007D34EC"/>
    <w:rsid w:val="007D512F"/>
    <w:rsid w:val="00800223"/>
    <w:rsid w:val="008014F3"/>
    <w:rsid w:val="00806C4C"/>
    <w:rsid w:val="00814438"/>
    <w:rsid w:val="00834679"/>
    <w:rsid w:val="00845124"/>
    <w:rsid w:val="008466D8"/>
    <w:rsid w:val="00851599"/>
    <w:rsid w:val="00854605"/>
    <w:rsid w:val="00855E0F"/>
    <w:rsid w:val="008569DA"/>
    <w:rsid w:val="008803D0"/>
    <w:rsid w:val="008A0C82"/>
    <w:rsid w:val="008B4CBC"/>
    <w:rsid w:val="008B6017"/>
    <w:rsid w:val="008C0F98"/>
    <w:rsid w:val="008C43B0"/>
    <w:rsid w:val="008E4F39"/>
    <w:rsid w:val="008E662D"/>
    <w:rsid w:val="008E669E"/>
    <w:rsid w:val="008E7FB2"/>
    <w:rsid w:val="008F06C0"/>
    <w:rsid w:val="008F3D97"/>
    <w:rsid w:val="00905764"/>
    <w:rsid w:val="00907D57"/>
    <w:rsid w:val="00913C3F"/>
    <w:rsid w:val="00915B70"/>
    <w:rsid w:val="00936BFF"/>
    <w:rsid w:val="009407E4"/>
    <w:rsid w:val="00944A00"/>
    <w:rsid w:val="0095389B"/>
    <w:rsid w:val="009561CA"/>
    <w:rsid w:val="00957F4D"/>
    <w:rsid w:val="009602F0"/>
    <w:rsid w:val="00962B91"/>
    <w:rsid w:val="00964DEB"/>
    <w:rsid w:val="009713B2"/>
    <w:rsid w:val="00983034"/>
    <w:rsid w:val="00993A01"/>
    <w:rsid w:val="009A162B"/>
    <w:rsid w:val="009A3362"/>
    <w:rsid w:val="009B5DFA"/>
    <w:rsid w:val="009B6CC7"/>
    <w:rsid w:val="009B7495"/>
    <w:rsid w:val="009C1AAB"/>
    <w:rsid w:val="009C2573"/>
    <w:rsid w:val="009C31EE"/>
    <w:rsid w:val="009C6796"/>
    <w:rsid w:val="009E653E"/>
    <w:rsid w:val="009E65A3"/>
    <w:rsid w:val="009F6D01"/>
    <w:rsid w:val="00A03B87"/>
    <w:rsid w:val="00A0401F"/>
    <w:rsid w:val="00A05641"/>
    <w:rsid w:val="00A100F6"/>
    <w:rsid w:val="00A10A33"/>
    <w:rsid w:val="00A13A96"/>
    <w:rsid w:val="00A2240B"/>
    <w:rsid w:val="00A2509E"/>
    <w:rsid w:val="00A35A1C"/>
    <w:rsid w:val="00A36D22"/>
    <w:rsid w:val="00A4411D"/>
    <w:rsid w:val="00A45606"/>
    <w:rsid w:val="00A51B9F"/>
    <w:rsid w:val="00A521A9"/>
    <w:rsid w:val="00A6487D"/>
    <w:rsid w:val="00A6675B"/>
    <w:rsid w:val="00A71C12"/>
    <w:rsid w:val="00A71DB3"/>
    <w:rsid w:val="00A85B30"/>
    <w:rsid w:val="00AA4748"/>
    <w:rsid w:val="00AA54EF"/>
    <w:rsid w:val="00AA6021"/>
    <w:rsid w:val="00AC33E5"/>
    <w:rsid w:val="00AD0E8B"/>
    <w:rsid w:val="00AD137A"/>
    <w:rsid w:val="00AD2528"/>
    <w:rsid w:val="00AD26F5"/>
    <w:rsid w:val="00AF1205"/>
    <w:rsid w:val="00B0470A"/>
    <w:rsid w:val="00B103B8"/>
    <w:rsid w:val="00B31420"/>
    <w:rsid w:val="00B35BAB"/>
    <w:rsid w:val="00B3692B"/>
    <w:rsid w:val="00B36D9E"/>
    <w:rsid w:val="00B429B5"/>
    <w:rsid w:val="00B551AA"/>
    <w:rsid w:val="00B6043B"/>
    <w:rsid w:val="00B678FF"/>
    <w:rsid w:val="00B71D05"/>
    <w:rsid w:val="00B74922"/>
    <w:rsid w:val="00B76862"/>
    <w:rsid w:val="00B85FD8"/>
    <w:rsid w:val="00B8686F"/>
    <w:rsid w:val="00B92036"/>
    <w:rsid w:val="00BA6616"/>
    <w:rsid w:val="00BB24B0"/>
    <w:rsid w:val="00BB6BCF"/>
    <w:rsid w:val="00BD3F2B"/>
    <w:rsid w:val="00BE367C"/>
    <w:rsid w:val="00BE71B2"/>
    <w:rsid w:val="00BF3B5F"/>
    <w:rsid w:val="00BF6B47"/>
    <w:rsid w:val="00C0569B"/>
    <w:rsid w:val="00C108DA"/>
    <w:rsid w:val="00C20259"/>
    <w:rsid w:val="00C20F44"/>
    <w:rsid w:val="00C35D78"/>
    <w:rsid w:val="00C462CE"/>
    <w:rsid w:val="00C47144"/>
    <w:rsid w:val="00C5022C"/>
    <w:rsid w:val="00C60936"/>
    <w:rsid w:val="00C63664"/>
    <w:rsid w:val="00C6617A"/>
    <w:rsid w:val="00C70AA8"/>
    <w:rsid w:val="00C735DC"/>
    <w:rsid w:val="00C771FF"/>
    <w:rsid w:val="00C801CB"/>
    <w:rsid w:val="00C842E0"/>
    <w:rsid w:val="00C861E1"/>
    <w:rsid w:val="00C86C1B"/>
    <w:rsid w:val="00C874E5"/>
    <w:rsid w:val="00CA0354"/>
    <w:rsid w:val="00CB1029"/>
    <w:rsid w:val="00CB26D4"/>
    <w:rsid w:val="00CC5CD1"/>
    <w:rsid w:val="00CC75EF"/>
    <w:rsid w:val="00CD18F3"/>
    <w:rsid w:val="00CD2185"/>
    <w:rsid w:val="00CE0E5C"/>
    <w:rsid w:val="00CF2298"/>
    <w:rsid w:val="00CF36FF"/>
    <w:rsid w:val="00CF5583"/>
    <w:rsid w:val="00CF632F"/>
    <w:rsid w:val="00D0676F"/>
    <w:rsid w:val="00D106AB"/>
    <w:rsid w:val="00D21F6D"/>
    <w:rsid w:val="00D23452"/>
    <w:rsid w:val="00D25535"/>
    <w:rsid w:val="00D2637A"/>
    <w:rsid w:val="00D339AA"/>
    <w:rsid w:val="00D46F44"/>
    <w:rsid w:val="00D741B7"/>
    <w:rsid w:val="00D75E8C"/>
    <w:rsid w:val="00D8255F"/>
    <w:rsid w:val="00D84679"/>
    <w:rsid w:val="00D85A01"/>
    <w:rsid w:val="00D8610F"/>
    <w:rsid w:val="00D9375E"/>
    <w:rsid w:val="00D93ED4"/>
    <w:rsid w:val="00D94F96"/>
    <w:rsid w:val="00D9600E"/>
    <w:rsid w:val="00DA0D30"/>
    <w:rsid w:val="00DA6674"/>
    <w:rsid w:val="00DB0602"/>
    <w:rsid w:val="00DB0822"/>
    <w:rsid w:val="00DB1471"/>
    <w:rsid w:val="00DB3398"/>
    <w:rsid w:val="00DB4D42"/>
    <w:rsid w:val="00DB558E"/>
    <w:rsid w:val="00DC37FA"/>
    <w:rsid w:val="00DD063C"/>
    <w:rsid w:val="00DD0B35"/>
    <w:rsid w:val="00DD551C"/>
    <w:rsid w:val="00DD6D2D"/>
    <w:rsid w:val="00DD7992"/>
    <w:rsid w:val="00DE1F4D"/>
    <w:rsid w:val="00DF51DA"/>
    <w:rsid w:val="00DF7103"/>
    <w:rsid w:val="00E0189C"/>
    <w:rsid w:val="00E02E4F"/>
    <w:rsid w:val="00E06DFF"/>
    <w:rsid w:val="00E25D16"/>
    <w:rsid w:val="00E308AF"/>
    <w:rsid w:val="00E32FFA"/>
    <w:rsid w:val="00E37D68"/>
    <w:rsid w:val="00E46625"/>
    <w:rsid w:val="00E50FEC"/>
    <w:rsid w:val="00E52138"/>
    <w:rsid w:val="00E533C3"/>
    <w:rsid w:val="00E550C4"/>
    <w:rsid w:val="00E553CA"/>
    <w:rsid w:val="00E5590D"/>
    <w:rsid w:val="00E62DC8"/>
    <w:rsid w:val="00E71D4D"/>
    <w:rsid w:val="00E847BF"/>
    <w:rsid w:val="00E84EB0"/>
    <w:rsid w:val="00E8778F"/>
    <w:rsid w:val="00E9338C"/>
    <w:rsid w:val="00EA3A42"/>
    <w:rsid w:val="00EA4CAF"/>
    <w:rsid w:val="00EB65E2"/>
    <w:rsid w:val="00EB7B8C"/>
    <w:rsid w:val="00EC18CB"/>
    <w:rsid w:val="00EC6220"/>
    <w:rsid w:val="00ED162B"/>
    <w:rsid w:val="00EE339C"/>
    <w:rsid w:val="00EE4766"/>
    <w:rsid w:val="00EE54B0"/>
    <w:rsid w:val="00EE766A"/>
    <w:rsid w:val="00F00FFE"/>
    <w:rsid w:val="00F12D3B"/>
    <w:rsid w:val="00F239C4"/>
    <w:rsid w:val="00F2507E"/>
    <w:rsid w:val="00F3545F"/>
    <w:rsid w:val="00F413B7"/>
    <w:rsid w:val="00F43313"/>
    <w:rsid w:val="00F43585"/>
    <w:rsid w:val="00F5129B"/>
    <w:rsid w:val="00F5175E"/>
    <w:rsid w:val="00F52739"/>
    <w:rsid w:val="00F7007A"/>
    <w:rsid w:val="00F739CF"/>
    <w:rsid w:val="00F74783"/>
    <w:rsid w:val="00F76179"/>
    <w:rsid w:val="00F9705E"/>
    <w:rsid w:val="00FA3F8F"/>
    <w:rsid w:val="00FA4B6D"/>
    <w:rsid w:val="00FA5248"/>
    <w:rsid w:val="00FA5811"/>
    <w:rsid w:val="00FC6E83"/>
    <w:rsid w:val="00FD5C51"/>
    <w:rsid w:val="00FD6C8F"/>
    <w:rsid w:val="00FF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D301"/>
  <w15:chartTrackingRefBased/>
  <w15:docId w15:val="{A17C1D73-521D-4A52-944F-1D34E284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C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CC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5E1CC9"/>
    <w:rPr>
      <w:sz w:val="18"/>
      <w:szCs w:val="18"/>
    </w:rPr>
  </w:style>
  <w:style w:type="paragraph" w:styleId="a5">
    <w:name w:val="footer"/>
    <w:basedOn w:val="a"/>
    <w:link w:val="a6"/>
    <w:uiPriority w:val="99"/>
    <w:unhideWhenUsed/>
    <w:rsid w:val="005E1CC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5E1C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34382">
      <w:bodyDiv w:val="1"/>
      <w:marLeft w:val="0"/>
      <w:marRight w:val="0"/>
      <w:marTop w:val="0"/>
      <w:marBottom w:val="0"/>
      <w:divBdr>
        <w:top w:val="none" w:sz="0" w:space="0" w:color="auto"/>
        <w:left w:val="none" w:sz="0" w:space="0" w:color="auto"/>
        <w:bottom w:val="none" w:sz="0" w:space="0" w:color="auto"/>
        <w:right w:val="none" w:sz="0" w:space="0" w:color="auto"/>
      </w:divBdr>
    </w:div>
    <w:div w:id="685714164">
      <w:bodyDiv w:val="1"/>
      <w:marLeft w:val="0"/>
      <w:marRight w:val="0"/>
      <w:marTop w:val="0"/>
      <w:marBottom w:val="0"/>
      <w:divBdr>
        <w:top w:val="none" w:sz="0" w:space="0" w:color="auto"/>
        <w:left w:val="none" w:sz="0" w:space="0" w:color="auto"/>
        <w:bottom w:val="none" w:sz="0" w:space="0" w:color="auto"/>
        <w:right w:val="none" w:sz="0" w:space="0" w:color="auto"/>
      </w:divBdr>
    </w:div>
    <w:div w:id="1078094941">
      <w:bodyDiv w:val="1"/>
      <w:marLeft w:val="0"/>
      <w:marRight w:val="0"/>
      <w:marTop w:val="0"/>
      <w:marBottom w:val="0"/>
      <w:divBdr>
        <w:top w:val="none" w:sz="0" w:space="0" w:color="auto"/>
        <w:left w:val="none" w:sz="0" w:space="0" w:color="auto"/>
        <w:bottom w:val="none" w:sz="0" w:space="0" w:color="auto"/>
        <w:right w:val="none" w:sz="0" w:space="0" w:color="auto"/>
      </w:divBdr>
    </w:div>
    <w:div w:id="1330672125">
      <w:bodyDiv w:val="1"/>
      <w:marLeft w:val="0"/>
      <w:marRight w:val="0"/>
      <w:marTop w:val="0"/>
      <w:marBottom w:val="0"/>
      <w:divBdr>
        <w:top w:val="none" w:sz="0" w:space="0" w:color="auto"/>
        <w:left w:val="none" w:sz="0" w:space="0" w:color="auto"/>
        <w:bottom w:val="none" w:sz="0" w:space="0" w:color="auto"/>
        <w:right w:val="none" w:sz="0" w:space="0" w:color="auto"/>
      </w:divBdr>
    </w:div>
    <w:div w:id="21168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sunyiqun</dc:creator>
  <cp:keywords/>
  <dc:description/>
  <cp:lastModifiedBy>sunyiqun</cp:lastModifiedBy>
  <cp:revision>11</cp:revision>
  <dcterms:created xsi:type="dcterms:W3CDTF">2022-05-20T05:26:00Z</dcterms:created>
  <dcterms:modified xsi:type="dcterms:W3CDTF">2022-05-24T05:00:00Z</dcterms:modified>
</cp:coreProperties>
</file>