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6C" w:rsidRDefault="00106454">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证券代码：600927                                 证券简称：</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永安期货</w:t>
      </w:r>
    </w:p>
    <w:p w:rsidR="005F246C" w:rsidRDefault="0010645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永安期货股份有限公司</w:t>
      </w:r>
    </w:p>
    <w:p w:rsidR="005F246C" w:rsidRDefault="00106454" w:rsidP="009A7927">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AC0ECA" w:rsidRPr="00AC0ECA" w:rsidRDefault="00AC0ECA" w:rsidP="009A7927">
      <w:pPr>
        <w:keepNext/>
        <w:keepLines/>
        <w:spacing w:beforeLines="50" w:before="156" w:afterLines="50" w:after="156" w:line="360" w:lineRule="auto"/>
        <w:jc w:val="center"/>
        <w:outlineLvl w:val="1"/>
        <w:rPr>
          <w:rFonts w:ascii="宋体" w:eastAsia="宋体" w:hAnsi="宋体" w:cs="Times New Roman" w:hint="eastAsia"/>
          <w:b/>
          <w:bCs/>
          <w:sz w:val="28"/>
          <w:szCs w:val="32"/>
        </w:rPr>
      </w:pPr>
      <w:r w:rsidRPr="00AC0ECA">
        <w:rPr>
          <w:rFonts w:ascii="宋体" w:eastAsia="宋体" w:hAnsi="宋体" w:cs="Times New Roman" w:hint="eastAsia"/>
          <w:b/>
          <w:bCs/>
          <w:sz w:val="28"/>
          <w:szCs w:val="32"/>
        </w:rPr>
        <w:t>（2</w:t>
      </w:r>
      <w:r w:rsidRPr="00AC0ECA">
        <w:rPr>
          <w:rFonts w:ascii="宋体" w:eastAsia="宋体" w:hAnsi="宋体" w:cs="Times New Roman"/>
          <w:b/>
          <w:bCs/>
          <w:sz w:val="28"/>
          <w:szCs w:val="32"/>
        </w:rPr>
        <w:t>022</w:t>
      </w:r>
      <w:r w:rsidRPr="00AC0ECA">
        <w:rPr>
          <w:rFonts w:ascii="宋体" w:eastAsia="宋体" w:hAnsi="宋体" w:cs="Times New Roman" w:hint="eastAsia"/>
          <w:b/>
          <w:bCs/>
          <w:sz w:val="28"/>
          <w:szCs w:val="32"/>
        </w:rPr>
        <w:t>年5月）</w:t>
      </w:r>
    </w:p>
    <w:p w:rsidR="008E7A73" w:rsidRPr="008E7A73" w:rsidRDefault="008E7A73" w:rsidP="008E7A73">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编号：2022-00</w:t>
      </w:r>
      <w:r>
        <w:rPr>
          <w:rFonts w:ascii="宋体" w:eastAsia="宋体" w:hAnsi="宋体" w:cs="Times New Roman"/>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6287"/>
      </w:tblGrid>
      <w:tr w:rsidR="005F246C" w:rsidTr="008263AE">
        <w:tc>
          <w:tcPr>
            <w:tcW w:w="2553" w:type="dxa"/>
            <w:shd w:val="clear" w:color="auto" w:fill="auto"/>
          </w:tcPr>
          <w:p w:rsidR="005F246C" w:rsidRDefault="0010645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rsidR="005F246C" w:rsidRDefault="005F246C">
            <w:pPr>
              <w:spacing w:line="360" w:lineRule="auto"/>
              <w:rPr>
                <w:rFonts w:ascii="宋体" w:eastAsia="宋体" w:hAnsi="宋体" w:cs="Times New Roman"/>
                <w:b/>
                <w:bCs/>
                <w:iCs/>
                <w:sz w:val="24"/>
                <w:szCs w:val="24"/>
              </w:rPr>
            </w:pPr>
          </w:p>
        </w:tc>
        <w:tc>
          <w:tcPr>
            <w:tcW w:w="6287" w:type="dxa"/>
            <w:shd w:val="clear" w:color="auto" w:fill="auto"/>
          </w:tcPr>
          <w:p w:rsidR="005F246C" w:rsidRDefault="00106454">
            <w:pPr>
              <w:spacing w:line="360" w:lineRule="auto"/>
              <w:rPr>
                <w:rFonts w:ascii="宋体" w:eastAsia="宋体" w:hAnsi="宋体" w:cs="Times New Roman"/>
                <w:bCs/>
                <w:iCs/>
                <w:sz w:val="24"/>
                <w:szCs w:val="24"/>
              </w:rPr>
            </w:pPr>
            <w:r>
              <w:rPr>
                <w:rFonts w:ascii="Times New Roman" w:hAnsi="Times New Roman" w:hint="eastAsia"/>
                <w:sz w:val="22"/>
                <w:szCs w:val="21"/>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rsidR="005F246C" w:rsidRDefault="0010645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rsidR="005F246C" w:rsidRDefault="0010645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5F246C" w:rsidRDefault="00106454">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现场参观□电话会议</w:t>
            </w:r>
          </w:p>
          <w:p w:rsidR="005F246C" w:rsidRDefault="0010645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5F246C" w:rsidTr="008263AE">
        <w:tc>
          <w:tcPr>
            <w:tcW w:w="2553" w:type="dxa"/>
            <w:shd w:val="clear" w:color="auto" w:fill="auto"/>
          </w:tcPr>
          <w:p w:rsidR="005F246C" w:rsidRDefault="0010645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287" w:type="dxa"/>
            <w:shd w:val="clear" w:color="auto" w:fill="auto"/>
          </w:tcPr>
          <w:p w:rsidR="00E1620D" w:rsidRDefault="00E1620D">
            <w:pPr>
              <w:tabs>
                <w:tab w:val="center" w:pos="2798"/>
              </w:tabs>
              <w:spacing w:line="360" w:lineRule="auto"/>
              <w:rPr>
                <w:rFonts w:eastAsia="宋体"/>
                <w:sz w:val="24"/>
                <w:szCs w:val="20"/>
              </w:rPr>
            </w:pPr>
            <w:r>
              <w:rPr>
                <w:rFonts w:eastAsia="宋体" w:hint="eastAsia"/>
                <w:sz w:val="24"/>
                <w:szCs w:val="20"/>
              </w:rPr>
              <w:t>5</w:t>
            </w:r>
            <w:r>
              <w:rPr>
                <w:rFonts w:eastAsia="宋体" w:hint="eastAsia"/>
                <w:sz w:val="24"/>
                <w:szCs w:val="20"/>
              </w:rPr>
              <w:t>月</w:t>
            </w:r>
            <w:r>
              <w:rPr>
                <w:rFonts w:eastAsia="宋体" w:hint="eastAsia"/>
                <w:sz w:val="24"/>
                <w:szCs w:val="20"/>
              </w:rPr>
              <w:t>6</w:t>
            </w:r>
            <w:r>
              <w:rPr>
                <w:rFonts w:eastAsia="宋体" w:hint="eastAsia"/>
                <w:sz w:val="24"/>
                <w:szCs w:val="20"/>
              </w:rPr>
              <w:t>日</w:t>
            </w:r>
            <w:r w:rsidR="003943DA">
              <w:rPr>
                <w:rFonts w:ascii="宋体" w:eastAsia="宋体" w:hAnsi="宋体" w:cs="Times New Roman" w:hint="eastAsia"/>
                <w:bCs/>
                <w:iCs/>
                <w:sz w:val="24"/>
                <w:szCs w:val="24"/>
              </w:rPr>
              <w:t>1</w:t>
            </w:r>
            <w:r w:rsidR="003943DA">
              <w:rPr>
                <w:rFonts w:ascii="宋体" w:eastAsia="宋体" w:hAnsi="宋体" w:cs="Times New Roman"/>
                <w:bCs/>
                <w:iCs/>
                <w:sz w:val="24"/>
                <w:szCs w:val="24"/>
              </w:rPr>
              <w:t>5</w:t>
            </w:r>
            <w:r w:rsidR="003943DA">
              <w:rPr>
                <w:rFonts w:ascii="宋体" w:eastAsia="宋体" w:hAnsi="宋体" w:cs="Times New Roman" w:hint="eastAsia"/>
                <w:bCs/>
                <w:iCs/>
                <w:sz w:val="24"/>
                <w:szCs w:val="24"/>
              </w:rPr>
              <w:t>:00</w:t>
            </w:r>
            <w:r w:rsidR="003943DA">
              <w:rPr>
                <w:rFonts w:ascii="宋体" w:eastAsia="宋体" w:hAnsi="宋体" w:cs="Times New Roman"/>
                <w:bCs/>
                <w:iCs/>
                <w:sz w:val="24"/>
                <w:szCs w:val="24"/>
              </w:rPr>
              <w:t>-17</w:t>
            </w:r>
            <w:r w:rsidR="003943DA">
              <w:rPr>
                <w:rFonts w:ascii="宋体" w:eastAsia="宋体" w:hAnsi="宋体" w:cs="Times New Roman" w:hint="eastAsia"/>
                <w:bCs/>
                <w:iCs/>
                <w:sz w:val="24"/>
                <w:szCs w:val="24"/>
              </w:rPr>
              <w:t>：0</w:t>
            </w:r>
            <w:r w:rsidR="003943DA">
              <w:rPr>
                <w:rFonts w:ascii="宋体" w:eastAsia="宋体" w:hAnsi="宋体" w:cs="Times New Roman"/>
                <w:bCs/>
                <w:iCs/>
                <w:sz w:val="24"/>
                <w:szCs w:val="24"/>
              </w:rPr>
              <w:t>0</w:t>
            </w:r>
            <w:r w:rsidR="00AC0ECA">
              <w:rPr>
                <w:rFonts w:eastAsia="宋体" w:hint="eastAsia"/>
                <w:sz w:val="24"/>
                <w:szCs w:val="20"/>
              </w:rPr>
              <w:t xml:space="preserve"> </w:t>
            </w:r>
            <w:r>
              <w:rPr>
                <w:rFonts w:eastAsia="宋体" w:hint="eastAsia"/>
                <w:sz w:val="24"/>
                <w:szCs w:val="20"/>
              </w:rPr>
              <w:t>嘉实基金、东方证券</w:t>
            </w:r>
          </w:p>
          <w:p w:rsidR="00AC0ECA" w:rsidRDefault="00E1620D">
            <w:pPr>
              <w:tabs>
                <w:tab w:val="center" w:pos="2798"/>
              </w:tabs>
              <w:spacing w:line="360" w:lineRule="auto"/>
              <w:rPr>
                <w:rFonts w:eastAsia="宋体"/>
                <w:sz w:val="24"/>
                <w:szCs w:val="20"/>
              </w:rPr>
            </w:pPr>
            <w:r>
              <w:rPr>
                <w:rFonts w:eastAsia="宋体"/>
                <w:sz w:val="24"/>
                <w:szCs w:val="20"/>
              </w:rPr>
              <w:t>5</w:t>
            </w:r>
            <w:r>
              <w:rPr>
                <w:rFonts w:eastAsia="宋体" w:hint="eastAsia"/>
                <w:sz w:val="24"/>
                <w:szCs w:val="20"/>
              </w:rPr>
              <w:t>月</w:t>
            </w:r>
            <w:r>
              <w:rPr>
                <w:rFonts w:eastAsia="宋体" w:hint="eastAsia"/>
                <w:sz w:val="24"/>
                <w:szCs w:val="20"/>
              </w:rPr>
              <w:t>1</w:t>
            </w:r>
            <w:r>
              <w:rPr>
                <w:rFonts w:eastAsia="宋体"/>
                <w:sz w:val="24"/>
                <w:szCs w:val="20"/>
              </w:rPr>
              <w:t>8</w:t>
            </w:r>
            <w:r>
              <w:rPr>
                <w:rFonts w:eastAsia="宋体" w:hint="eastAsia"/>
                <w:sz w:val="24"/>
                <w:szCs w:val="20"/>
              </w:rPr>
              <w:t>日</w:t>
            </w:r>
            <w:r w:rsidR="003943DA">
              <w:rPr>
                <w:rFonts w:ascii="宋体" w:eastAsia="宋体" w:hAnsi="宋体" w:cs="Times New Roman" w:hint="eastAsia"/>
                <w:bCs/>
                <w:iCs/>
                <w:sz w:val="24"/>
                <w:szCs w:val="24"/>
              </w:rPr>
              <w:t>1</w:t>
            </w:r>
            <w:r w:rsidR="003943DA">
              <w:rPr>
                <w:rFonts w:ascii="宋体" w:eastAsia="宋体" w:hAnsi="宋体" w:cs="Times New Roman"/>
                <w:bCs/>
                <w:iCs/>
                <w:sz w:val="24"/>
                <w:szCs w:val="24"/>
              </w:rPr>
              <w:t>3</w:t>
            </w:r>
            <w:r w:rsidR="003943DA">
              <w:rPr>
                <w:rFonts w:ascii="宋体" w:eastAsia="宋体" w:hAnsi="宋体" w:cs="Times New Roman" w:hint="eastAsia"/>
                <w:bCs/>
                <w:iCs/>
                <w:sz w:val="24"/>
                <w:szCs w:val="24"/>
              </w:rPr>
              <w:t>:00</w:t>
            </w:r>
            <w:r w:rsidR="003943DA">
              <w:rPr>
                <w:rFonts w:ascii="宋体" w:eastAsia="宋体" w:hAnsi="宋体" w:cs="Times New Roman"/>
                <w:bCs/>
                <w:iCs/>
                <w:sz w:val="24"/>
                <w:szCs w:val="24"/>
              </w:rPr>
              <w:t>-15</w:t>
            </w:r>
            <w:r w:rsidR="003943DA">
              <w:rPr>
                <w:rFonts w:ascii="宋体" w:eastAsia="宋体" w:hAnsi="宋体" w:cs="Times New Roman" w:hint="eastAsia"/>
                <w:bCs/>
                <w:iCs/>
                <w:sz w:val="24"/>
                <w:szCs w:val="24"/>
              </w:rPr>
              <w:t>：0</w:t>
            </w:r>
            <w:r w:rsidR="003943DA">
              <w:rPr>
                <w:rFonts w:ascii="宋体" w:eastAsia="宋体" w:hAnsi="宋体" w:cs="Times New Roman"/>
                <w:bCs/>
                <w:iCs/>
                <w:sz w:val="24"/>
                <w:szCs w:val="24"/>
              </w:rPr>
              <w:t>0</w:t>
            </w:r>
            <w:r w:rsidR="00AC0ECA">
              <w:rPr>
                <w:rFonts w:eastAsia="宋体" w:hint="eastAsia"/>
                <w:sz w:val="24"/>
                <w:szCs w:val="20"/>
              </w:rPr>
              <w:t xml:space="preserve"> </w:t>
            </w:r>
            <w:r w:rsidR="007D2C01" w:rsidRPr="007D2C01">
              <w:rPr>
                <w:rFonts w:eastAsia="宋体" w:hint="eastAsia"/>
                <w:sz w:val="24"/>
                <w:szCs w:val="20"/>
              </w:rPr>
              <w:t>兴业证券</w:t>
            </w:r>
            <w:r w:rsidR="007D2C01">
              <w:rPr>
                <w:rFonts w:eastAsia="宋体" w:hint="eastAsia"/>
                <w:sz w:val="24"/>
                <w:szCs w:val="20"/>
              </w:rPr>
              <w:t>、</w:t>
            </w:r>
            <w:r w:rsidR="007D2C01" w:rsidRPr="007D2C01">
              <w:rPr>
                <w:rFonts w:eastAsia="宋体" w:hint="eastAsia"/>
                <w:sz w:val="24"/>
                <w:szCs w:val="20"/>
              </w:rPr>
              <w:t>泰康公募</w:t>
            </w:r>
            <w:r w:rsidR="007D2C01">
              <w:rPr>
                <w:rFonts w:eastAsia="宋体" w:hint="eastAsia"/>
                <w:sz w:val="24"/>
                <w:szCs w:val="20"/>
              </w:rPr>
              <w:t>、</w:t>
            </w:r>
            <w:r w:rsidR="007D2C01" w:rsidRPr="007D2C01">
              <w:rPr>
                <w:rFonts w:eastAsia="宋体" w:hint="eastAsia"/>
                <w:sz w:val="24"/>
                <w:szCs w:val="20"/>
              </w:rPr>
              <w:t>仁桥资产</w:t>
            </w:r>
          </w:p>
          <w:p w:rsidR="005F246C" w:rsidRDefault="003943DA">
            <w:pPr>
              <w:tabs>
                <w:tab w:val="center" w:pos="2798"/>
              </w:tabs>
              <w:spacing w:line="360" w:lineRule="auto"/>
              <w:rPr>
                <w:rFonts w:ascii="宋体" w:eastAsia="宋体" w:hAnsi="宋体" w:cs="Times New Roman"/>
                <w:bCs/>
                <w:iCs/>
                <w:sz w:val="24"/>
                <w:szCs w:val="24"/>
              </w:rPr>
            </w:pPr>
            <w:r>
              <w:rPr>
                <w:rFonts w:eastAsia="宋体"/>
                <w:sz w:val="24"/>
                <w:szCs w:val="20"/>
              </w:rPr>
              <w:t>5</w:t>
            </w:r>
            <w:r>
              <w:rPr>
                <w:rFonts w:eastAsia="宋体" w:hint="eastAsia"/>
                <w:sz w:val="24"/>
                <w:szCs w:val="20"/>
              </w:rPr>
              <w:t>月</w:t>
            </w:r>
            <w:r>
              <w:rPr>
                <w:rFonts w:eastAsia="宋体" w:hint="eastAsia"/>
                <w:sz w:val="24"/>
                <w:szCs w:val="20"/>
              </w:rPr>
              <w:t>1</w:t>
            </w:r>
            <w:r>
              <w:rPr>
                <w:rFonts w:eastAsia="宋体"/>
                <w:sz w:val="24"/>
                <w:szCs w:val="20"/>
              </w:rPr>
              <w:t>8</w:t>
            </w:r>
            <w:r>
              <w:rPr>
                <w:rFonts w:eastAsia="宋体" w:hint="eastAsia"/>
                <w:sz w:val="24"/>
                <w:szCs w:val="20"/>
              </w:rPr>
              <w:t>日</w:t>
            </w:r>
            <w:r>
              <w:rPr>
                <w:rFonts w:ascii="宋体" w:eastAsia="宋体" w:hAnsi="宋体" w:cs="Times New Roman" w:hint="eastAsia"/>
                <w:bCs/>
                <w:iCs/>
                <w:sz w:val="24"/>
                <w:szCs w:val="24"/>
              </w:rPr>
              <w:t>1</w:t>
            </w:r>
            <w:r>
              <w:rPr>
                <w:rFonts w:ascii="宋体" w:eastAsia="宋体" w:hAnsi="宋体" w:cs="Times New Roman"/>
                <w:bCs/>
                <w:iCs/>
                <w:sz w:val="24"/>
                <w:szCs w:val="24"/>
              </w:rPr>
              <w:t>5</w:t>
            </w:r>
            <w:r>
              <w:rPr>
                <w:rFonts w:ascii="宋体" w:eastAsia="宋体" w:hAnsi="宋体" w:cs="Times New Roman" w:hint="eastAsia"/>
                <w:bCs/>
                <w:iCs/>
                <w:sz w:val="24"/>
                <w:szCs w:val="24"/>
              </w:rPr>
              <w:t>:00</w:t>
            </w:r>
            <w:r>
              <w:rPr>
                <w:rFonts w:ascii="宋体" w:eastAsia="宋体" w:hAnsi="宋体" w:cs="Times New Roman"/>
                <w:bCs/>
                <w:iCs/>
                <w:sz w:val="24"/>
                <w:szCs w:val="24"/>
              </w:rPr>
              <w:t>-17</w:t>
            </w:r>
            <w:r>
              <w:rPr>
                <w:rFonts w:ascii="宋体" w:eastAsia="宋体" w:hAnsi="宋体" w:cs="Times New Roman" w:hint="eastAsia"/>
                <w:bCs/>
                <w:iCs/>
                <w:sz w:val="24"/>
                <w:szCs w:val="24"/>
              </w:rPr>
              <w:t>：0</w:t>
            </w:r>
            <w:r>
              <w:rPr>
                <w:rFonts w:ascii="宋体" w:eastAsia="宋体" w:hAnsi="宋体" w:cs="Times New Roman"/>
                <w:bCs/>
                <w:iCs/>
                <w:sz w:val="24"/>
                <w:szCs w:val="24"/>
              </w:rPr>
              <w:t>0</w:t>
            </w:r>
            <w:r w:rsidR="00AC0ECA">
              <w:rPr>
                <w:rFonts w:eastAsia="宋体" w:hint="eastAsia"/>
                <w:sz w:val="24"/>
                <w:szCs w:val="20"/>
              </w:rPr>
              <w:t xml:space="preserve"> </w:t>
            </w:r>
            <w:r w:rsidR="007D2C01">
              <w:rPr>
                <w:rFonts w:eastAsia="宋体" w:hint="eastAsia"/>
                <w:sz w:val="24"/>
                <w:szCs w:val="20"/>
              </w:rPr>
              <w:t>南方基金、华泰证券</w:t>
            </w:r>
          </w:p>
        </w:tc>
      </w:tr>
      <w:tr w:rsidR="005F246C" w:rsidTr="008263AE">
        <w:tc>
          <w:tcPr>
            <w:tcW w:w="2553" w:type="dxa"/>
            <w:shd w:val="clear" w:color="auto" w:fill="auto"/>
          </w:tcPr>
          <w:p w:rsidR="005F246C" w:rsidRDefault="0010645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287" w:type="dxa"/>
            <w:shd w:val="clear" w:color="auto" w:fill="auto"/>
          </w:tcPr>
          <w:p w:rsidR="005F246C" w:rsidRDefault="0010645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线上会议</w:t>
            </w:r>
          </w:p>
        </w:tc>
      </w:tr>
      <w:tr w:rsidR="005F246C" w:rsidTr="008263AE">
        <w:tc>
          <w:tcPr>
            <w:tcW w:w="2553" w:type="dxa"/>
            <w:shd w:val="clear" w:color="auto" w:fill="auto"/>
          </w:tcPr>
          <w:p w:rsidR="005F246C" w:rsidRDefault="007D2C0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287" w:type="dxa"/>
            <w:shd w:val="clear" w:color="auto" w:fill="auto"/>
          </w:tcPr>
          <w:p w:rsidR="005F246C" w:rsidRDefault="0010645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A904B9">
              <w:rPr>
                <w:rFonts w:ascii="宋体" w:eastAsia="宋体" w:hAnsi="宋体" w:cs="Times New Roman" w:hint="eastAsia"/>
                <w:bCs/>
                <w:iCs/>
                <w:sz w:val="24"/>
                <w:szCs w:val="24"/>
              </w:rPr>
              <w:t>兼</w:t>
            </w:r>
            <w:r w:rsidR="000C5BAC">
              <w:rPr>
                <w:rFonts w:ascii="宋体" w:eastAsia="宋体" w:hAnsi="宋体" w:cs="Times New Roman" w:hint="eastAsia"/>
                <w:bCs/>
                <w:iCs/>
                <w:sz w:val="24"/>
                <w:szCs w:val="24"/>
              </w:rPr>
              <w:t>计划财务总部</w:t>
            </w:r>
            <w:r w:rsidR="000C5BAC">
              <w:rPr>
                <w:rFonts w:ascii="宋体" w:eastAsia="宋体" w:hAnsi="宋体" w:cs="Times New Roman" w:hint="eastAsia"/>
                <w:bCs/>
                <w:iCs/>
                <w:sz w:val="24"/>
                <w:szCs w:val="24"/>
              </w:rPr>
              <w:t>经理</w:t>
            </w:r>
            <w:r>
              <w:rPr>
                <w:rFonts w:ascii="宋体" w:eastAsia="宋体" w:hAnsi="宋体" w:cs="Times New Roman" w:hint="eastAsia"/>
                <w:bCs/>
                <w:iCs/>
                <w:sz w:val="24"/>
                <w:szCs w:val="24"/>
              </w:rPr>
              <w:t>、</w:t>
            </w:r>
            <w:r w:rsidR="007D2C01">
              <w:rPr>
                <w:rFonts w:ascii="宋体" w:eastAsia="宋体" w:hAnsi="宋体" w:cs="Times New Roman" w:hint="eastAsia"/>
                <w:bCs/>
                <w:iCs/>
                <w:sz w:val="24"/>
                <w:szCs w:val="24"/>
              </w:rPr>
              <w:t>研究中心副经理、</w:t>
            </w:r>
            <w:r>
              <w:rPr>
                <w:rFonts w:ascii="宋体" w:eastAsia="宋体" w:hAnsi="宋体" w:cs="Times New Roman" w:hint="eastAsia"/>
                <w:bCs/>
                <w:iCs/>
                <w:sz w:val="24"/>
                <w:szCs w:val="24"/>
              </w:rPr>
              <w:t>计划财务总部</w:t>
            </w:r>
            <w:r w:rsidR="001F79FF">
              <w:rPr>
                <w:rFonts w:ascii="宋体" w:eastAsia="宋体" w:hAnsi="宋体" w:cs="Times New Roman" w:hint="eastAsia"/>
                <w:bCs/>
                <w:iCs/>
                <w:sz w:val="24"/>
                <w:szCs w:val="24"/>
              </w:rPr>
              <w:t>及董事会办公室</w:t>
            </w:r>
            <w:r>
              <w:rPr>
                <w:rFonts w:ascii="宋体" w:eastAsia="宋体" w:hAnsi="宋体" w:cs="Times New Roman" w:hint="eastAsia"/>
                <w:bCs/>
                <w:iCs/>
                <w:sz w:val="24"/>
                <w:szCs w:val="24"/>
              </w:rPr>
              <w:t>相关人员</w:t>
            </w:r>
            <w:r>
              <w:rPr>
                <w:rFonts w:ascii="宋体" w:eastAsia="宋体" w:hAnsi="宋体" w:cs="Times New Roman"/>
                <w:bCs/>
                <w:iCs/>
                <w:sz w:val="24"/>
                <w:szCs w:val="24"/>
              </w:rPr>
              <w:t xml:space="preserve"> </w:t>
            </w:r>
            <w:bookmarkStart w:id="0" w:name="_GoBack"/>
            <w:bookmarkEnd w:id="0"/>
          </w:p>
        </w:tc>
      </w:tr>
      <w:tr w:rsidR="005F246C" w:rsidTr="008263AE">
        <w:trPr>
          <w:trHeight w:val="2701"/>
        </w:trPr>
        <w:tc>
          <w:tcPr>
            <w:tcW w:w="2553" w:type="dxa"/>
            <w:shd w:val="clear" w:color="auto" w:fill="auto"/>
            <w:vAlign w:val="center"/>
          </w:tcPr>
          <w:p w:rsidR="005F246C" w:rsidRDefault="0010645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287" w:type="dxa"/>
            <w:shd w:val="clear" w:color="auto" w:fill="auto"/>
          </w:tcPr>
          <w:p w:rsidR="000C5BAC" w:rsidRPr="003F1202" w:rsidRDefault="000C5BAC" w:rsidP="000C5BAC">
            <w:pPr>
              <w:ind w:firstLineChars="200" w:firstLine="482"/>
              <w:rPr>
                <w:rFonts w:ascii="宋体" w:eastAsia="宋体" w:hAnsi="宋体" w:cs="Times New Roman"/>
                <w:b/>
                <w:iCs/>
                <w:sz w:val="24"/>
                <w:szCs w:val="24"/>
              </w:rPr>
            </w:pPr>
            <w:r w:rsidRPr="003F1202">
              <w:rPr>
                <w:rFonts w:ascii="宋体" w:eastAsia="宋体" w:hAnsi="宋体" w:cs="Times New Roman" w:hint="eastAsia"/>
                <w:b/>
                <w:iCs/>
                <w:sz w:val="24"/>
                <w:szCs w:val="24"/>
              </w:rPr>
              <w:t>问:公司整体的发展战略是什么？</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答: 站在上市的新起点上，公司认真谋划好“十四五”发展战略规划，确立了“135”战略架构，即一个战略定位、三个战略目标、五条战略路径。以“大宗商品投行、大类资产配置专家、产融资源整合者”为战略目标，通过“五个永安”战略路径，打造行业领先、独具特色的衍生品投行，为建设高效率、有活力、开放型的期货市场贡献力量。</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一个战略定位：打造衍生品投行，指以运用衍生品作为主要工具和核心能力，围绕大类资产和大宗商品产业链业务领域，为客户提供资产配置、风险管理、投融资服务的综合性金融服务机构。</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三个战略目标：打造大宗商品投行，促进场内场外、期货现货协同发展，形成产业链、供应链、价值链的综合服务体系，提供个性化的风险管理方案。打造大类资产配</w:t>
            </w:r>
            <w:r w:rsidRPr="003F1202">
              <w:rPr>
                <w:rFonts w:ascii="宋体" w:eastAsia="宋体" w:hAnsi="宋体" w:cs="Times New Roman" w:hint="eastAsia"/>
                <w:iCs/>
                <w:sz w:val="24"/>
                <w:szCs w:val="24"/>
              </w:rPr>
              <w:lastRenderedPageBreak/>
              <w:t>置专家，以衍生品工具为核心，向证券权益类、债券固收类、衍生期权类、海外资产配置扩展，提升资产配置能力，满足日益增长的财富增值需求。打造产融资源整合者，通过产业链上下游、境内外的资产和股权投资，开展战略合作，成为产业链上国际级、全球化的头部综合服务商。</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五条战略路径：打造资本永安，通过A股市场融资与资本运作，积极增强公司融资能力与资本运营能力，为大力发展风险管理业务、开展战略性投资、提升产业链服务能力、建设衍生品投行提供强有力的资金保障。打造数智永安，锚定“MORE”战略目标，即中台化（MiddlePlatform）、线上化（Online）、数智化（Resourceful）和组织升级（Evolution），通过“5+3”战略路径，推动业务数字化、投研一体化、运营精细化、营销网络化、合规智能化以及数字化基础设施升级，使数字化能力成为公司的核心竞争力。打造生态永安，充分发挥行业头部企业的影响力，积极对接和动员多元化渠道和资源，加强全方位、跨行业战略合作，为公司打造衍生品投行构筑起网络通畅、资源协同、优势互补的发展空间和生态系统。打造人才永安，坚持“人才是第一生产力”的发展理念，着力人才队伍建设，通过实施“123”人力资源管理提升计划，建设一个高效协同的组织生态，形成人力资源数字管理平台和人才梯度培养系统两大抓手，培养管理队伍、投研队伍、销售队伍三支人才队伍，充分发挥人才引擎作用，为实现公司战略目标提供人才支撑。打造文化永安，以“一切只为客户”作为公司基本理念，坚持合法合规、坚持客户利益至上、坚持以人为本、坚持股东利益最大化、坚持企业社会责任，积极推动企业文化和品牌建设，持续创造文化价值，不断提升品牌影响力。</w:t>
            </w:r>
          </w:p>
          <w:p w:rsidR="000C5BAC" w:rsidRPr="003F1202" w:rsidRDefault="000C5BAC" w:rsidP="000C5BAC">
            <w:pPr>
              <w:ind w:firstLineChars="200" w:firstLine="482"/>
              <w:rPr>
                <w:rFonts w:ascii="宋体" w:eastAsia="宋体" w:hAnsi="宋体" w:cs="Times New Roman"/>
                <w:b/>
                <w:iCs/>
                <w:sz w:val="24"/>
                <w:szCs w:val="24"/>
              </w:rPr>
            </w:pPr>
            <w:r w:rsidRPr="003F1202">
              <w:rPr>
                <w:rFonts w:ascii="宋体" w:eastAsia="宋体" w:hAnsi="宋体" w:cs="Times New Roman" w:hint="eastAsia"/>
                <w:b/>
                <w:iCs/>
                <w:sz w:val="24"/>
                <w:szCs w:val="24"/>
              </w:rPr>
              <w:t xml:space="preserve">问: </w:t>
            </w:r>
            <w:r>
              <w:rPr>
                <w:rFonts w:ascii="宋体" w:eastAsia="宋体" w:hAnsi="宋体" w:cs="Times New Roman" w:hint="eastAsia"/>
                <w:b/>
                <w:iCs/>
                <w:sz w:val="24"/>
                <w:szCs w:val="24"/>
              </w:rPr>
              <w:t>介绍下公司的</w:t>
            </w:r>
            <w:r w:rsidRPr="003F1202">
              <w:rPr>
                <w:rFonts w:ascii="宋体" w:eastAsia="宋体" w:hAnsi="宋体" w:cs="Times New Roman" w:hint="eastAsia"/>
                <w:b/>
                <w:iCs/>
                <w:sz w:val="24"/>
                <w:szCs w:val="24"/>
              </w:rPr>
              <w:t>资管业务</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答: 2021年是“资管新规”过渡期收官之年。公司已在2020年末提前完成全部资产管理计划的整改工作。公司资产管理业务审核委员会对资产管理业务开展过程中的重大事项进行审批，通过资产管理总部对资产管理业务实行统一管理。公司资产管理业务严格遵循“资管新规”要求，依法开展资产管理业务。公司坚持投研赋能与主动管理，在深耕商品与金融衍生品市场的基础上，打造风险可控、盈利能力较强的资管产品，追求产品安全管理、风险可控、稳健盈利的资产管理目标。通过不断强化大类资产轮动能力，总结提炼投研体系，提升资管产品收益率，公司打造了“永盈系列”、“永致系列”等主动管理系列产品及“CTA联盟”、“混合优选”等FOF系列产品。</w:t>
            </w:r>
          </w:p>
          <w:p w:rsidR="000C5BAC" w:rsidRPr="003F1202" w:rsidRDefault="004D1091" w:rsidP="000C5BAC">
            <w:pPr>
              <w:ind w:firstLineChars="200" w:firstLine="480"/>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021</w:t>
            </w:r>
            <w:r>
              <w:rPr>
                <w:rFonts w:ascii="宋体" w:eastAsia="宋体" w:hAnsi="宋体" w:cs="Times New Roman" w:hint="eastAsia"/>
                <w:iCs/>
                <w:sz w:val="24"/>
                <w:szCs w:val="24"/>
              </w:rPr>
              <w:t>年</w:t>
            </w:r>
            <w:r w:rsidR="000C5BAC" w:rsidRPr="003F1202">
              <w:rPr>
                <w:rFonts w:ascii="宋体" w:eastAsia="宋体" w:hAnsi="宋体" w:cs="Times New Roman" w:hint="eastAsia"/>
                <w:iCs/>
                <w:sz w:val="24"/>
                <w:szCs w:val="24"/>
              </w:rPr>
              <w:t>末，公司资管产品规模为32.25亿元，资产管理业务全年收入为1,952.17万元。</w:t>
            </w:r>
          </w:p>
          <w:p w:rsidR="000C5BAC" w:rsidRPr="003F1202" w:rsidRDefault="000C5BAC" w:rsidP="000C5BAC">
            <w:pPr>
              <w:ind w:firstLineChars="200" w:firstLine="482"/>
              <w:rPr>
                <w:rFonts w:ascii="宋体" w:eastAsia="宋体" w:hAnsi="宋体" w:cs="Times New Roman"/>
                <w:b/>
                <w:iCs/>
                <w:sz w:val="24"/>
                <w:szCs w:val="24"/>
              </w:rPr>
            </w:pPr>
            <w:r w:rsidRPr="003F1202">
              <w:rPr>
                <w:rFonts w:ascii="宋体" w:eastAsia="宋体" w:hAnsi="宋体" w:cs="Times New Roman" w:hint="eastAsia"/>
                <w:b/>
                <w:iCs/>
                <w:sz w:val="24"/>
                <w:szCs w:val="24"/>
              </w:rPr>
              <w:t>问</w:t>
            </w:r>
            <w:r>
              <w:rPr>
                <w:rFonts w:ascii="宋体" w:eastAsia="宋体" w:hAnsi="宋体" w:cs="Times New Roman" w:hint="eastAsia"/>
                <w:b/>
                <w:iCs/>
                <w:sz w:val="24"/>
                <w:szCs w:val="24"/>
              </w:rPr>
              <w:t>:</w:t>
            </w:r>
            <w:r>
              <w:rPr>
                <w:rFonts w:ascii="宋体" w:eastAsia="宋体" w:hAnsi="宋体" w:cs="Times New Roman"/>
                <w:b/>
                <w:iCs/>
                <w:sz w:val="24"/>
                <w:szCs w:val="24"/>
              </w:rPr>
              <w:t xml:space="preserve"> </w:t>
            </w:r>
            <w:r w:rsidRPr="003F1202">
              <w:rPr>
                <w:rFonts w:ascii="宋体" w:eastAsia="宋体" w:hAnsi="宋体" w:cs="Times New Roman" w:hint="eastAsia"/>
                <w:b/>
                <w:iCs/>
                <w:sz w:val="24"/>
                <w:szCs w:val="24"/>
              </w:rPr>
              <w:t>介绍下公司的风险管理业务</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lastRenderedPageBreak/>
              <w:t>答：公司风险管理业务主要由子公司永安资本负责。永安资本作为独立的法人机构，其董事会负责制定整体经营方针，并由其经营管理层负责具体实施。永安资本设立负责基差贸易业务、场外衍生品业务、做市业务的部门，各业务部门负责人制定业务规划方案，审批通过后严格落实执行，从而有效推进相关业务的开展。</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2021年，公司积极响应中央“助力中小企业运用期货套期保值工具应对原材料价格大幅波动风险”的号召，将永安资本打造为“交易所服务实体转化器，上下游中小企业衔接者”，结合场内和场外两个市场，综合利用期货、期权、互换等金融衍生工具，为客户提供一流的风险管理产品与服务。永安资本荣列“2021中国服务业企业500强”第247位。</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（1）基差贸易业务</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2021年，永安资本通过架构调整、业务整合，进一步夯实黑色、化工、农产品三足鼎立的业务板块格局，积极开拓平阳塑编集群延期点价、海外工厂“锁价+配送”、基建工程原材料锁价等业务模式；贸易商厂库合计达到12个，新增聚氯乙烯、聚丙烯、短纤、乙二醇、沥青等5个贸易商厂库，成为助力实体企业“采购、销售、仓储、物流”一体化风险管理新抓手。</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永安资本本年向新加坡子公司增资1,500万美元，积极参与了国际大宗商品贸易新通道建设，与公司密切合作，完成低硫燃料油业务的首次跨境交收，期现业务实现五大洲覆盖，将期货市场资源配置的功能辐射至东南亚、欧洲、澳洲等地区。</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报告期内，永安资本基差贸易销售规模达到358亿元，同比增长55%。</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（2）场外衍生品业务</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2021年，公司场外业务规模增长迅速,累计新增名义本金1,178.42亿元，同比增长105.79%。场外衍生品业务种类呈现多样化，权益类交易账户数量增长超过5倍。场外衍生品业务系统进一步完善，实现期权策略研发能力和精细化管理水平的双提升。</w:t>
            </w:r>
          </w:p>
          <w:p w:rsidR="000C5BAC" w:rsidRPr="003F1202"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（3）做市业务</w:t>
            </w:r>
          </w:p>
          <w:p w:rsidR="000C5BAC" w:rsidRDefault="000C5BAC" w:rsidP="000C5BAC">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2021年，永安资本有效提升做市管理能力，拓宽做市品种覆盖面，新增短纤、棉花、苯乙烯、尿素等品种的做市资格，全年做市业务共涉及9个商品期权、19个商品期货品种。积极开拓金融期货做市业务，开展了上证50ETF、沪深300ETF的做市业务。</w:t>
            </w:r>
          </w:p>
          <w:p w:rsidR="003F1202" w:rsidRPr="003F1202" w:rsidRDefault="003F1202" w:rsidP="000C5BAC">
            <w:pPr>
              <w:ind w:firstLineChars="200" w:firstLine="482"/>
              <w:rPr>
                <w:rFonts w:ascii="宋体" w:eastAsia="宋体" w:hAnsi="宋体" w:cs="Times New Roman"/>
                <w:b/>
                <w:iCs/>
                <w:sz w:val="24"/>
                <w:szCs w:val="24"/>
              </w:rPr>
            </w:pPr>
            <w:r w:rsidRPr="003F1202">
              <w:rPr>
                <w:rFonts w:ascii="宋体" w:eastAsia="宋体" w:hAnsi="宋体" w:cs="Times New Roman" w:hint="eastAsia"/>
                <w:b/>
                <w:iCs/>
                <w:sz w:val="24"/>
                <w:szCs w:val="24"/>
              </w:rPr>
              <w:t>问:</w:t>
            </w:r>
            <w:r w:rsidR="007D2C01" w:rsidRPr="007D2C01">
              <w:rPr>
                <w:rFonts w:ascii="宋体" w:eastAsia="宋体" w:hAnsi="宋体" w:cs="Times New Roman" w:hint="eastAsia"/>
                <w:b/>
                <w:iCs/>
                <w:sz w:val="24"/>
                <w:szCs w:val="24"/>
              </w:rPr>
              <w:t xml:space="preserve"> 作为一个高度同质化的行业，永安期货能够长大的主要因素在于什么方面，或者说永安期货有别于其他期货公司的竞争优势和壁垒主要体现在什么方面？</w:t>
            </w:r>
          </w:p>
          <w:p w:rsidR="007D2C01" w:rsidRPr="007D2C01" w:rsidRDefault="003F1202" w:rsidP="007D2C01">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 xml:space="preserve">答: </w:t>
            </w:r>
            <w:r w:rsidR="007D2C01" w:rsidRPr="007D2C01">
              <w:rPr>
                <w:rFonts w:ascii="宋体" w:eastAsia="宋体" w:hAnsi="宋体" w:cs="Times New Roman" w:hint="eastAsia"/>
                <w:iCs/>
                <w:sz w:val="24"/>
                <w:szCs w:val="24"/>
              </w:rPr>
              <w:t>相较于同行业期货公司，公司具备独特的竞争优</w:t>
            </w:r>
            <w:r w:rsidR="007D2C01" w:rsidRPr="007D2C01">
              <w:rPr>
                <w:rFonts w:ascii="宋体" w:eastAsia="宋体" w:hAnsi="宋体" w:cs="Times New Roman" w:hint="eastAsia"/>
                <w:iCs/>
                <w:sz w:val="24"/>
                <w:szCs w:val="24"/>
              </w:rPr>
              <w:lastRenderedPageBreak/>
              <w:t>势。首先在于精准的战略定位，当前，公司确立了“135”战略架构，即一个战略定位、三个战略目标、五条战略路径。以 “大宗商品投行、大类资产配置专家、产融资源整合者”为战略目标，通过“五个永安”战略路径，打造行业领先、独具特色的衍生品投行，为建设高效率、有活力、开放型的期货市场贡献力量。</w:t>
            </w:r>
          </w:p>
          <w:p w:rsidR="007D2C01" w:rsidRPr="007D2C01" w:rsidRDefault="007D2C01" w:rsidP="007D2C01">
            <w:pPr>
              <w:ind w:firstLineChars="200" w:firstLine="480"/>
              <w:rPr>
                <w:rFonts w:ascii="宋体" w:eastAsia="宋体" w:hAnsi="宋体" w:cs="Times New Roman"/>
                <w:iCs/>
                <w:sz w:val="24"/>
                <w:szCs w:val="24"/>
              </w:rPr>
            </w:pPr>
            <w:r w:rsidRPr="007D2C01">
              <w:rPr>
                <w:rFonts w:ascii="宋体" w:eastAsia="宋体" w:hAnsi="宋体" w:cs="Times New Roman" w:hint="eastAsia"/>
                <w:iCs/>
                <w:sz w:val="24"/>
                <w:szCs w:val="24"/>
              </w:rPr>
              <w:t>其次在于完善高效的治理和风控体系。公司一直以来把坚持合法合规放在公司企业文化的首位，对监管、市场、规则保持敬畏之心，守住风控底线。公司已建立起规范的法人治理结构与合理的内部控制体系，强调风险预警能力和高效的执行能力，有效防范和化解金融风险。公司连续多年在中国证监会组织的期货行业分类监管评级中获得期货行业内的最高评级。</w:t>
            </w:r>
          </w:p>
          <w:p w:rsidR="007D2C01" w:rsidRPr="007D2C01" w:rsidRDefault="007D2C01" w:rsidP="007D2C01">
            <w:pPr>
              <w:ind w:firstLineChars="200" w:firstLine="480"/>
              <w:rPr>
                <w:rFonts w:ascii="宋体" w:eastAsia="宋体" w:hAnsi="宋体" w:cs="Times New Roman"/>
                <w:iCs/>
                <w:sz w:val="24"/>
                <w:szCs w:val="24"/>
              </w:rPr>
            </w:pPr>
            <w:r w:rsidRPr="007D2C01">
              <w:rPr>
                <w:rFonts w:ascii="宋体" w:eastAsia="宋体" w:hAnsi="宋体" w:cs="Times New Roman" w:hint="eastAsia"/>
                <w:iCs/>
                <w:sz w:val="24"/>
                <w:szCs w:val="24"/>
              </w:rPr>
              <w:t>然后是领先的研究团队。作为塑造核心竞争力、发展各类新兴业务与创新业务的基础，公司始终重视研究能力的提升。公司现设有期货研究中心、北京期货研究院两大投研机构。公司投研机构整体规模、研究范围、综合实力均居于业内领先地位。公司研究团队屡获“最佳期货研究院”、“中国金牌期货研究所”等荣誉称号；公司连续多年获得各大交易所设立的多个奖项，涌现出一大批“最佳分析师”、“优秀分析师”。</w:t>
            </w:r>
          </w:p>
          <w:p w:rsidR="007D2C01" w:rsidRDefault="007D2C01" w:rsidP="007D2C01">
            <w:pPr>
              <w:ind w:firstLineChars="200" w:firstLine="480"/>
              <w:rPr>
                <w:rFonts w:ascii="宋体" w:eastAsia="宋体" w:hAnsi="宋体" w:cs="Times New Roman"/>
                <w:iCs/>
                <w:sz w:val="24"/>
                <w:szCs w:val="24"/>
              </w:rPr>
            </w:pPr>
            <w:r w:rsidRPr="007D2C01">
              <w:rPr>
                <w:rFonts w:ascii="宋体" w:eastAsia="宋体" w:hAnsi="宋体" w:cs="Times New Roman" w:hint="eastAsia"/>
                <w:iCs/>
                <w:sz w:val="24"/>
                <w:szCs w:val="24"/>
              </w:rPr>
              <w:t>最后则在于良好的市场声誉与品牌价值。经过多年积累，凭借良好的业绩与规范的管理，公</w:t>
            </w:r>
            <w:r w:rsidR="00194B59">
              <w:rPr>
                <w:rFonts w:ascii="宋体" w:eastAsia="宋体" w:hAnsi="宋体" w:cs="Times New Roman" w:hint="eastAsia"/>
                <w:iCs/>
                <w:sz w:val="24"/>
                <w:szCs w:val="24"/>
              </w:rPr>
              <w:t>司获得了监管机构和期货行业的广泛认可，市场影响力不断提升。</w:t>
            </w:r>
          </w:p>
          <w:p w:rsidR="003F1202" w:rsidRPr="008263AE" w:rsidRDefault="003F1202" w:rsidP="008263AE">
            <w:pPr>
              <w:ind w:firstLineChars="200" w:firstLine="482"/>
              <w:rPr>
                <w:rFonts w:ascii="仿宋" w:eastAsia="仿宋" w:hAnsi="仿宋"/>
                <w:b/>
                <w:sz w:val="28"/>
                <w:szCs w:val="28"/>
              </w:rPr>
            </w:pPr>
            <w:r w:rsidRPr="003F1202">
              <w:rPr>
                <w:rFonts w:ascii="宋体" w:eastAsia="宋体" w:hAnsi="宋体" w:cs="Times New Roman" w:hint="eastAsia"/>
                <w:b/>
                <w:iCs/>
                <w:sz w:val="24"/>
                <w:szCs w:val="24"/>
              </w:rPr>
              <w:t>问:</w:t>
            </w:r>
            <w:r w:rsidR="007D2C01" w:rsidRPr="008263AE">
              <w:rPr>
                <w:rFonts w:ascii="宋体" w:eastAsia="宋体" w:hAnsi="宋体" w:cs="Times New Roman"/>
                <w:b/>
                <w:iCs/>
                <w:sz w:val="24"/>
                <w:szCs w:val="24"/>
              </w:rPr>
              <w:t>期货和衍生品法出台，对公司战略规划和业务发展有何影响？</w:t>
            </w:r>
          </w:p>
          <w:p w:rsidR="003F1202" w:rsidRPr="007D2C01" w:rsidRDefault="003F1202" w:rsidP="008263AE">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 xml:space="preserve">答: </w:t>
            </w:r>
            <w:r w:rsidR="007D2C01" w:rsidRPr="007D2C01">
              <w:rPr>
                <w:rFonts w:ascii="宋体" w:eastAsia="宋体" w:hAnsi="宋体" w:cs="Times New Roman"/>
                <w:iCs/>
                <w:sz w:val="24"/>
                <w:szCs w:val="24"/>
              </w:rPr>
              <w:t>2022年4月20日，十三届全国人大常委会第三十四次会议表决通过《中华人民共和国期货和衍生品法》。该法律为期货及衍生品领域第一部基本法，有助于规范和促进期货交易，更好地发挥期货市场的功能，活跃大宗商品流通性，进一步推动产业升级，期货市场将迎来快速健康发展的历史性机遇，同时也将对期货行业服务实体经济提出更高要求。</w:t>
            </w:r>
          </w:p>
          <w:p w:rsidR="003F1202" w:rsidRPr="003F1202" w:rsidRDefault="003F1202" w:rsidP="003F1202">
            <w:pPr>
              <w:ind w:firstLineChars="200" w:firstLine="482"/>
              <w:rPr>
                <w:rFonts w:ascii="宋体" w:eastAsia="宋体" w:hAnsi="宋体" w:cs="Times New Roman"/>
                <w:b/>
                <w:iCs/>
                <w:sz w:val="24"/>
                <w:szCs w:val="24"/>
              </w:rPr>
            </w:pPr>
            <w:r w:rsidRPr="003F1202">
              <w:rPr>
                <w:rFonts w:ascii="宋体" w:eastAsia="宋体" w:hAnsi="宋体" w:cs="Times New Roman" w:hint="eastAsia"/>
                <w:b/>
                <w:iCs/>
                <w:sz w:val="24"/>
                <w:szCs w:val="24"/>
              </w:rPr>
              <w:t>问</w:t>
            </w:r>
            <w:r>
              <w:rPr>
                <w:rFonts w:ascii="宋体" w:eastAsia="宋体" w:hAnsi="宋体" w:cs="Times New Roman" w:hint="eastAsia"/>
                <w:b/>
                <w:iCs/>
                <w:sz w:val="24"/>
                <w:szCs w:val="24"/>
              </w:rPr>
              <w:t>:</w:t>
            </w:r>
            <w:r>
              <w:rPr>
                <w:rFonts w:ascii="宋体" w:eastAsia="宋体" w:hAnsi="宋体" w:cs="Times New Roman"/>
                <w:b/>
                <w:iCs/>
                <w:sz w:val="24"/>
                <w:szCs w:val="24"/>
              </w:rPr>
              <w:t xml:space="preserve"> </w:t>
            </w:r>
            <w:r w:rsidR="008263AE">
              <w:rPr>
                <w:rFonts w:ascii="宋体" w:eastAsia="宋体" w:hAnsi="宋体" w:cs="Times New Roman" w:hint="eastAsia"/>
                <w:b/>
                <w:iCs/>
                <w:sz w:val="24"/>
                <w:szCs w:val="24"/>
              </w:rPr>
              <w:t>一季度</w:t>
            </w:r>
            <w:r w:rsidR="007D2C01" w:rsidRPr="008263AE">
              <w:rPr>
                <w:rFonts w:ascii="宋体" w:eastAsia="宋体" w:hAnsi="宋体" w:cs="Times New Roman"/>
                <w:b/>
                <w:iCs/>
                <w:sz w:val="24"/>
                <w:szCs w:val="24"/>
              </w:rPr>
              <w:t>市场波动较大，公司投资收益有所波动，2022年</w:t>
            </w:r>
            <w:r w:rsidR="008263AE">
              <w:rPr>
                <w:rFonts w:ascii="宋体" w:eastAsia="宋体" w:hAnsi="宋体" w:cs="Times New Roman" w:hint="eastAsia"/>
                <w:b/>
                <w:iCs/>
                <w:sz w:val="24"/>
                <w:szCs w:val="24"/>
              </w:rPr>
              <w:t>有何</w:t>
            </w:r>
            <w:r w:rsidR="007D2C01" w:rsidRPr="008263AE">
              <w:rPr>
                <w:rFonts w:ascii="宋体" w:eastAsia="宋体" w:hAnsi="宋体" w:cs="Times New Roman"/>
                <w:b/>
                <w:iCs/>
                <w:sz w:val="24"/>
                <w:szCs w:val="24"/>
              </w:rPr>
              <w:t>规划？</w:t>
            </w:r>
          </w:p>
          <w:p w:rsidR="005F246C" w:rsidRPr="003F1202" w:rsidRDefault="003F1202" w:rsidP="003F1202">
            <w:pPr>
              <w:ind w:firstLineChars="200" w:firstLine="480"/>
              <w:rPr>
                <w:rFonts w:ascii="宋体" w:eastAsia="宋体" w:hAnsi="宋体" w:cs="Times New Roman"/>
                <w:iCs/>
                <w:sz w:val="24"/>
                <w:szCs w:val="24"/>
              </w:rPr>
            </w:pPr>
            <w:r w:rsidRPr="003F1202">
              <w:rPr>
                <w:rFonts w:ascii="宋体" w:eastAsia="宋体" w:hAnsi="宋体" w:cs="Times New Roman" w:hint="eastAsia"/>
                <w:iCs/>
                <w:sz w:val="24"/>
                <w:szCs w:val="24"/>
              </w:rPr>
              <w:t>答：</w:t>
            </w:r>
            <w:r w:rsidR="008263AE" w:rsidRPr="008263AE">
              <w:rPr>
                <w:rFonts w:ascii="宋体" w:eastAsia="宋体" w:hAnsi="宋体" w:cs="Times New Roman" w:hint="eastAsia"/>
                <w:iCs/>
                <w:sz w:val="24"/>
                <w:szCs w:val="24"/>
              </w:rPr>
              <w:t>今年一季度证券市场波动导致相关金融产品的公允价值下滑，公司投资业务也受到波及。投资业务在公司的长期战略转型与业务生态布局中占据着重要位置，尤其是对赋能经纪业务与财富销售业务方面起到重要作用。尽管投资业务短期受市场波动，但与行业表现持平。从长期来看，随着我国经济将保持持续平稳增长，资本市场长期向好。2022年，公司对自有投资业务规模的控制将更加严格、谨慎，以减少市场波动对公司整体业绩的影响。</w:t>
            </w:r>
          </w:p>
        </w:tc>
      </w:tr>
    </w:tbl>
    <w:p w:rsidR="005F246C" w:rsidRDefault="005F246C">
      <w:pPr>
        <w:spacing w:line="360" w:lineRule="auto"/>
        <w:rPr>
          <w:rFonts w:ascii="宋体" w:eastAsia="宋体" w:hAnsi="宋体" w:cs="Times New Roman"/>
          <w:b/>
          <w:bCs/>
          <w:iCs/>
          <w:sz w:val="24"/>
          <w:szCs w:val="24"/>
        </w:rPr>
      </w:pPr>
    </w:p>
    <w:sectPr w:rsidR="005F24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C17" w:rsidRDefault="00DA4C17" w:rsidP="003F1202">
      <w:r>
        <w:separator/>
      </w:r>
    </w:p>
  </w:endnote>
  <w:endnote w:type="continuationSeparator" w:id="0">
    <w:p w:rsidR="00DA4C17" w:rsidRDefault="00DA4C17" w:rsidP="003F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C17" w:rsidRDefault="00DA4C17" w:rsidP="003F1202">
      <w:r>
        <w:separator/>
      </w:r>
    </w:p>
  </w:footnote>
  <w:footnote w:type="continuationSeparator" w:id="0">
    <w:p w:rsidR="00DA4C17" w:rsidRDefault="00DA4C17" w:rsidP="003F1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C5BAC"/>
    <w:rsid w:val="000F6BEB"/>
    <w:rsid w:val="00103C4E"/>
    <w:rsid w:val="00106454"/>
    <w:rsid w:val="00111EF4"/>
    <w:rsid w:val="00113C72"/>
    <w:rsid w:val="00114CEA"/>
    <w:rsid w:val="001221B8"/>
    <w:rsid w:val="001304EB"/>
    <w:rsid w:val="001334C1"/>
    <w:rsid w:val="00136BC5"/>
    <w:rsid w:val="00143A57"/>
    <w:rsid w:val="00151B55"/>
    <w:rsid w:val="001672FF"/>
    <w:rsid w:val="001819EF"/>
    <w:rsid w:val="00186DBB"/>
    <w:rsid w:val="00194B59"/>
    <w:rsid w:val="001965A6"/>
    <w:rsid w:val="001A125C"/>
    <w:rsid w:val="001B00D8"/>
    <w:rsid w:val="001B011E"/>
    <w:rsid w:val="001B508F"/>
    <w:rsid w:val="001B7B58"/>
    <w:rsid w:val="001C7C07"/>
    <w:rsid w:val="001D5222"/>
    <w:rsid w:val="001D7A5D"/>
    <w:rsid w:val="001E2BC5"/>
    <w:rsid w:val="001E5E64"/>
    <w:rsid w:val="001E7F7C"/>
    <w:rsid w:val="001F2572"/>
    <w:rsid w:val="001F5B62"/>
    <w:rsid w:val="001F79FF"/>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43DA"/>
    <w:rsid w:val="00397642"/>
    <w:rsid w:val="003A2EB2"/>
    <w:rsid w:val="003B13A4"/>
    <w:rsid w:val="003C0892"/>
    <w:rsid w:val="003D2A88"/>
    <w:rsid w:val="003D2F73"/>
    <w:rsid w:val="003D40E0"/>
    <w:rsid w:val="003F1202"/>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1091"/>
    <w:rsid w:val="004D4156"/>
    <w:rsid w:val="004D614E"/>
    <w:rsid w:val="004E25DD"/>
    <w:rsid w:val="004E4CBB"/>
    <w:rsid w:val="004F5C3F"/>
    <w:rsid w:val="00504DF9"/>
    <w:rsid w:val="00507071"/>
    <w:rsid w:val="00510286"/>
    <w:rsid w:val="00524D04"/>
    <w:rsid w:val="00534D66"/>
    <w:rsid w:val="0054404C"/>
    <w:rsid w:val="0055448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46C"/>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D2C01"/>
    <w:rsid w:val="007E1F58"/>
    <w:rsid w:val="007F2176"/>
    <w:rsid w:val="00806573"/>
    <w:rsid w:val="00814484"/>
    <w:rsid w:val="008160A1"/>
    <w:rsid w:val="00816CED"/>
    <w:rsid w:val="00821685"/>
    <w:rsid w:val="008263AE"/>
    <w:rsid w:val="00827C6C"/>
    <w:rsid w:val="00836E8C"/>
    <w:rsid w:val="008453D5"/>
    <w:rsid w:val="00857E84"/>
    <w:rsid w:val="00873293"/>
    <w:rsid w:val="00875E95"/>
    <w:rsid w:val="008914C8"/>
    <w:rsid w:val="00894406"/>
    <w:rsid w:val="008A120E"/>
    <w:rsid w:val="008B22AE"/>
    <w:rsid w:val="008B4886"/>
    <w:rsid w:val="008C04C9"/>
    <w:rsid w:val="008C4D32"/>
    <w:rsid w:val="008C6B72"/>
    <w:rsid w:val="008C7588"/>
    <w:rsid w:val="008D2B96"/>
    <w:rsid w:val="008D3726"/>
    <w:rsid w:val="008E245B"/>
    <w:rsid w:val="008E7A73"/>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A7927"/>
    <w:rsid w:val="009C06A4"/>
    <w:rsid w:val="009C63B1"/>
    <w:rsid w:val="009E0B46"/>
    <w:rsid w:val="009E3D68"/>
    <w:rsid w:val="00A03AA1"/>
    <w:rsid w:val="00A04996"/>
    <w:rsid w:val="00A05042"/>
    <w:rsid w:val="00A06689"/>
    <w:rsid w:val="00A10F5B"/>
    <w:rsid w:val="00A16F6F"/>
    <w:rsid w:val="00A31B20"/>
    <w:rsid w:val="00A32B73"/>
    <w:rsid w:val="00A32ED1"/>
    <w:rsid w:val="00A37775"/>
    <w:rsid w:val="00A40825"/>
    <w:rsid w:val="00A41A06"/>
    <w:rsid w:val="00A56101"/>
    <w:rsid w:val="00A57863"/>
    <w:rsid w:val="00A642B8"/>
    <w:rsid w:val="00A6487E"/>
    <w:rsid w:val="00A70EC0"/>
    <w:rsid w:val="00A71BFD"/>
    <w:rsid w:val="00A76F0C"/>
    <w:rsid w:val="00A878CB"/>
    <w:rsid w:val="00A904B9"/>
    <w:rsid w:val="00A97143"/>
    <w:rsid w:val="00A97D76"/>
    <w:rsid w:val="00AA5E76"/>
    <w:rsid w:val="00AB03BB"/>
    <w:rsid w:val="00AB45D6"/>
    <w:rsid w:val="00AC0ECA"/>
    <w:rsid w:val="00AC3B68"/>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5498"/>
    <w:rsid w:val="00D76F2A"/>
    <w:rsid w:val="00D84DF8"/>
    <w:rsid w:val="00D93D53"/>
    <w:rsid w:val="00D96FB9"/>
    <w:rsid w:val="00DA4962"/>
    <w:rsid w:val="00DA4C17"/>
    <w:rsid w:val="00DA5894"/>
    <w:rsid w:val="00DB1D3C"/>
    <w:rsid w:val="00DD2242"/>
    <w:rsid w:val="00DD27C7"/>
    <w:rsid w:val="00DE31A5"/>
    <w:rsid w:val="00DE7F6D"/>
    <w:rsid w:val="00E0172D"/>
    <w:rsid w:val="00E07C47"/>
    <w:rsid w:val="00E1620D"/>
    <w:rsid w:val="00E24E41"/>
    <w:rsid w:val="00E32A31"/>
    <w:rsid w:val="00E515DC"/>
    <w:rsid w:val="00E53347"/>
    <w:rsid w:val="00E53783"/>
    <w:rsid w:val="00E55E3C"/>
    <w:rsid w:val="00E61A61"/>
    <w:rsid w:val="00E64488"/>
    <w:rsid w:val="00E668C5"/>
    <w:rsid w:val="00E803AB"/>
    <w:rsid w:val="00E93DA5"/>
    <w:rsid w:val="00EA3651"/>
    <w:rsid w:val="00EA6288"/>
    <w:rsid w:val="00EB7F21"/>
    <w:rsid w:val="00EC10E4"/>
    <w:rsid w:val="00EC1ED4"/>
    <w:rsid w:val="00EC28FD"/>
    <w:rsid w:val="00ED3AB2"/>
    <w:rsid w:val="00ED53EA"/>
    <w:rsid w:val="00EE02A6"/>
    <w:rsid w:val="00EE16DD"/>
    <w:rsid w:val="00EE26CD"/>
    <w:rsid w:val="00EE7C85"/>
    <w:rsid w:val="00F06B8F"/>
    <w:rsid w:val="00F1256C"/>
    <w:rsid w:val="00F142F3"/>
    <w:rsid w:val="00F302F1"/>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15152076"/>
    <w:rsid w:val="15661C9B"/>
    <w:rsid w:val="2F064DB0"/>
    <w:rsid w:val="32242D99"/>
    <w:rsid w:val="467F0394"/>
    <w:rsid w:val="4AD238A2"/>
    <w:rsid w:val="4CF7225E"/>
    <w:rsid w:val="4E4D1DF3"/>
    <w:rsid w:val="5E151E13"/>
    <w:rsid w:val="685428D3"/>
    <w:rsid w:val="7D9832A7"/>
    <w:rsid w:val="7EDF0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5990D"/>
  <w15:docId w15:val="{A13DB77D-A7DA-4A03-BAF0-7BA2B4A8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840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B0F6C-181B-45BF-B9D9-1AECDEFE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郎润思</cp:lastModifiedBy>
  <cp:revision>20</cp:revision>
  <cp:lastPrinted>2022-01-28T05:48:00Z</cp:lastPrinted>
  <dcterms:created xsi:type="dcterms:W3CDTF">2020-08-17T08:25:00Z</dcterms:created>
  <dcterms:modified xsi:type="dcterms:W3CDTF">2022-06-06T06:19:00Z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