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CA" w:rsidRDefault="00BA222F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证券代码：60</w:t>
      </w:r>
      <w:r w:rsidR="009314DF">
        <w:rPr>
          <w:rFonts w:ascii="宋体" w:hAnsi="宋体" w:hint="eastAsia"/>
          <w:bCs/>
          <w:iCs/>
          <w:color w:val="000000"/>
          <w:sz w:val="24"/>
        </w:rPr>
        <w:t>0104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证券简称：</w:t>
      </w:r>
      <w:r w:rsidR="009314DF">
        <w:rPr>
          <w:rFonts w:ascii="宋体" w:hAnsi="宋体" w:hint="eastAsia"/>
          <w:bCs/>
          <w:iCs/>
          <w:color w:val="000000"/>
          <w:sz w:val="24"/>
        </w:rPr>
        <w:t>上汽集团</w:t>
      </w:r>
    </w:p>
    <w:p w:rsidR="00F354CA" w:rsidRDefault="00F354CA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</w:p>
    <w:p w:rsidR="00F354CA" w:rsidRDefault="007C117E">
      <w:pPr>
        <w:spacing w:beforeLines="50" w:before="156" w:afterLines="50" w:after="156" w:line="400" w:lineRule="exact"/>
        <w:jc w:val="center"/>
        <w:rPr>
          <w:rFonts w:ascii="宋体" w:hAnsi="宋体" w:hint="eastAsia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上汽集团</w:t>
      </w:r>
      <w:r w:rsidR="00BA222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7C117E" w:rsidRPr="007C117E" w:rsidRDefault="007C117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bookmarkStart w:id="0" w:name="_GoBack"/>
      <w:bookmarkEnd w:id="0"/>
    </w:p>
    <w:p w:rsidR="00F354CA" w:rsidRDefault="00BA222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编号：20</w:t>
      </w:r>
      <w:r w:rsidR="00056E22">
        <w:rPr>
          <w:rFonts w:ascii="宋体" w:hAnsi="宋体"/>
          <w:bCs/>
          <w:iCs/>
          <w:color w:val="000000"/>
          <w:sz w:val="24"/>
        </w:rPr>
        <w:t>2</w:t>
      </w:r>
      <w:r w:rsidR="009314DF">
        <w:rPr>
          <w:rFonts w:ascii="宋体" w:hAnsi="宋体" w:hint="eastAsia"/>
          <w:bCs/>
          <w:iCs/>
          <w:color w:val="000000"/>
          <w:sz w:val="24"/>
        </w:rPr>
        <w:t>2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97674A">
        <w:rPr>
          <w:rFonts w:ascii="宋体" w:hAnsi="宋体" w:hint="eastAsia"/>
          <w:bCs/>
          <w:iCs/>
          <w:color w:val="000000"/>
          <w:sz w:val="24"/>
        </w:rPr>
        <w:t>0</w:t>
      </w:r>
      <w:r w:rsidR="0000475A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221"/>
      </w:tblGrid>
      <w:tr w:rsidR="00F354CA" w:rsidTr="00805080">
        <w:trPr>
          <w:trHeight w:val="14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A" w:rsidRDefault="00BA222F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投资者关系活动类别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4" w:rsidRDefault="00BA222F" w:rsidP="0080508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 w:rsidRPr="00FB12B4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  <w:shd w:val="clear" w:color="auto" w:fill="FFFFFF" w:themeFill="background1"/>
              </w:rPr>
              <w:t>□</w:t>
            </w:r>
            <w:r w:rsidR="00630E0D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 xml:space="preserve"> </w:t>
            </w:r>
            <w:r w:rsidR="00FB12B4" w:rsidRPr="00FB12B4">
              <w:rPr>
                <w:rFonts w:ascii="宋体" w:hAnsi="宋体" w:hint="eastAsia"/>
                <w:sz w:val="24"/>
                <w:szCs w:val="28"/>
              </w:rPr>
              <w:t>特定对象调研</w:t>
            </w:r>
            <w:r w:rsidR="00FB12B4">
              <w:rPr>
                <w:rFonts w:ascii="宋体" w:hAnsi="宋体" w:hint="eastAsia"/>
                <w:sz w:val="24"/>
                <w:szCs w:val="28"/>
              </w:rPr>
              <w:t xml:space="preserve">    </w:t>
            </w:r>
            <w:r w:rsidR="00FB12B4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■</w:t>
            </w:r>
            <w:r w:rsidR="00630E0D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 xml:space="preserve"> </w:t>
            </w:r>
            <w:r w:rsidR="00FB12B4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分析</w:t>
            </w:r>
            <w:proofErr w:type="gramStart"/>
            <w:r w:rsidR="00FB12B4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师会议</w:t>
            </w:r>
            <w:proofErr w:type="gramEnd"/>
            <w:r w:rsidR="00FB12B4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 xml:space="preserve">    </w:t>
            </w:r>
            <w:r w:rsidR="00FB12B4" w:rsidRPr="00FB12B4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□</w:t>
            </w:r>
            <w:r w:rsidR="00FB12B4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 xml:space="preserve"> 媒体采访      </w:t>
            </w:r>
            <w:r w:rsidR="00FB12B4" w:rsidRPr="00FB12B4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□</w:t>
            </w:r>
            <w:r w:rsidR="00FB12B4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 xml:space="preserve"> 业绩说明会 </w:t>
            </w:r>
          </w:p>
          <w:p w:rsidR="00F354CA" w:rsidRPr="00FB12B4" w:rsidRDefault="00FB12B4" w:rsidP="00805080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  <w:r w:rsidRPr="00FB12B4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 xml:space="preserve"> 新闻发布会      </w:t>
            </w:r>
            <w:r w:rsidRPr="00FB12B4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 xml:space="preserve"> </w:t>
            </w:r>
            <w:r w:rsidR="00630E0D">
              <w:rPr>
                <w:rFonts w:ascii="宋体" w:hAnsi="宋体" w:hint="eastAsia"/>
                <w:sz w:val="24"/>
                <w:szCs w:val="28"/>
              </w:rPr>
              <w:t>路演活动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   </w:t>
            </w:r>
            <w:r w:rsidR="00630E0D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 xml:space="preserve">□ </w:t>
            </w:r>
            <w:r w:rsidR="00630E0D">
              <w:rPr>
                <w:rFonts w:ascii="宋体" w:hAnsi="宋体" w:hint="eastAsia"/>
                <w:sz w:val="24"/>
                <w:szCs w:val="28"/>
              </w:rPr>
              <w:t>现场参观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   </w:t>
            </w:r>
            <w:r w:rsidR="00BA222F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 xml:space="preserve"> </w:t>
            </w:r>
            <w:r w:rsidR="00BA222F">
              <w:rPr>
                <w:rFonts w:ascii="宋体" w:hAnsi="宋体" w:hint="eastAsia"/>
                <w:sz w:val="24"/>
                <w:szCs w:val="28"/>
              </w:rPr>
              <w:t xml:space="preserve">其他 </w:t>
            </w:r>
          </w:p>
        </w:tc>
      </w:tr>
      <w:tr w:rsidR="00F354CA" w:rsidTr="00805080">
        <w:trPr>
          <w:trHeight w:val="69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A" w:rsidRDefault="0008491A" w:rsidP="0077777C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时</w:t>
            </w:r>
            <w:r w:rsidR="0077777C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630E0D" w:rsidRDefault="00A32F97" w:rsidP="007517F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202</w:t>
            </w:r>
            <w:r w:rsidR="009314DF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年</w:t>
            </w:r>
            <w:r w:rsidR="007517FA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1</w:t>
            </w:r>
            <w:r w:rsidR="00CC3055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-3月</w:t>
            </w:r>
          </w:p>
        </w:tc>
      </w:tr>
      <w:tr w:rsidR="00630E0D" w:rsidTr="00805080">
        <w:trPr>
          <w:trHeight w:val="70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0D" w:rsidRDefault="00630E0D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接待对象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0D" w:rsidRDefault="007517FA" w:rsidP="008756D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中信证券、华泰证券、美银证券、瑞信证券、东方证券、招商证券、富瑞证券</w:t>
            </w:r>
            <w:r w:rsidR="008756D0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，</w:t>
            </w:r>
            <w:r w:rsidR="00BD2C89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景顺长城、</w:t>
            </w:r>
            <w:proofErr w:type="gramStart"/>
            <w:r w:rsidR="0037749F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睿</w:t>
            </w:r>
            <w:proofErr w:type="gramEnd"/>
            <w:r w:rsidR="0037749F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远基金、诺德基金、</w:t>
            </w:r>
            <w:r w:rsidR="0037749F" w:rsidRPr="00BD2C89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嘉实基金</w:t>
            </w:r>
            <w:r w:rsidR="0037749F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、易方达基金、华泰柏瑞</w:t>
            </w:r>
            <w:r w:rsidR="007E0CD5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基金</w:t>
            </w:r>
            <w:r w:rsidR="0037749F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、</w:t>
            </w:r>
            <w:r w:rsidR="00BD2C89" w:rsidRPr="00BD2C89"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  <w:t>pinpoint</w:t>
            </w:r>
            <w:r w:rsidR="002066AD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、</w:t>
            </w:r>
            <w:r w:rsidR="00BD2C89">
              <w:t xml:space="preserve"> </w:t>
            </w:r>
            <w:r w:rsidR="00BD2C89" w:rsidRPr="00BD2C89"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  <w:t>Q Fund Management</w:t>
            </w:r>
            <w:r w:rsidR="002066AD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、</w:t>
            </w:r>
            <w:r w:rsidR="00BD2C89" w:rsidRPr="00BD2C89"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  <w:t>Zeal Asset Management</w:t>
            </w:r>
            <w:r w:rsidR="0037749F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等</w:t>
            </w:r>
            <w:r w:rsidR="008756D0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机构及个人投资者</w:t>
            </w:r>
          </w:p>
        </w:tc>
      </w:tr>
      <w:tr w:rsidR="00F354CA" w:rsidTr="00805080">
        <w:trPr>
          <w:trHeight w:val="84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A" w:rsidRDefault="00BA222F" w:rsidP="0077777C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地</w:t>
            </w:r>
            <w:r w:rsidR="0077777C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Default="00D46ED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公司、</w:t>
            </w:r>
            <w:r w:rsidR="00B82FD0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机构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会议现场、</w:t>
            </w:r>
            <w:r w:rsidR="00870BD6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线上</w:t>
            </w:r>
          </w:p>
        </w:tc>
      </w:tr>
      <w:tr w:rsidR="00F354CA" w:rsidTr="0080508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A" w:rsidRDefault="00BA222F" w:rsidP="000C69CC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上市公司接待人员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Default="00D46ED1" w:rsidP="0008491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陈逊、</w:t>
            </w:r>
            <w:r w:rsidR="00BA7830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陆晓龙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等</w:t>
            </w:r>
          </w:p>
        </w:tc>
      </w:tr>
      <w:tr w:rsidR="00F354CA" w:rsidTr="00805080">
        <w:trPr>
          <w:trHeight w:val="15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A" w:rsidRDefault="00BA222F" w:rsidP="003C25C6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投资者关系活动</w:t>
            </w:r>
            <w:r w:rsidR="003C25C6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主要</w:t>
            </w:r>
            <w:r w:rsidR="009720FC"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内容记录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0" w:rsidRPr="008756D0" w:rsidRDefault="008756D0" w:rsidP="008756D0">
            <w:pPr>
              <w:pStyle w:val="a8"/>
              <w:numPr>
                <w:ilvl w:val="0"/>
                <w:numId w:val="1"/>
              </w:numPr>
              <w:spacing w:line="360" w:lineRule="auto"/>
              <w:ind w:left="289" w:firstLineChars="0" w:hanging="289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8756D0">
              <w:rPr>
                <w:rFonts w:ascii="宋体" w:hAnsi="宋体" w:hint="eastAsia"/>
                <w:bCs/>
                <w:iCs/>
                <w:color w:val="000000"/>
                <w:szCs w:val="21"/>
              </w:rPr>
              <w:t>上汽成立创新研发总院的意义</w:t>
            </w:r>
            <w:r w:rsidR="00D63A9E">
              <w:rPr>
                <w:rFonts w:ascii="宋体" w:hAnsi="宋体" w:hint="eastAsia"/>
                <w:bCs/>
                <w:iCs/>
                <w:color w:val="000000"/>
                <w:szCs w:val="21"/>
              </w:rPr>
              <w:t>是什么？</w:t>
            </w:r>
          </w:p>
          <w:p w:rsidR="008756D0" w:rsidRPr="008756D0" w:rsidRDefault="008756D0" w:rsidP="008756D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8756D0"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答：3月1日公司宣布成立“上汽集团创新研究开发总院”</w:t>
            </w:r>
            <w:r w:rsidR="0070537A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Pr="008756D0">
              <w:rPr>
                <w:rFonts w:ascii="宋体" w:hAnsi="宋体" w:hint="eastAsia"/>
                <w:bCs/>
                <w:iCs/>
                <w:color w:val="000000"/>
                <w:szCs w:val="21"/>
              </w:rPr>
              <w:t>定位于“技术创新、团队创业、个人成长”，将瞄准“数据决定体验，软件定义汽车”行业变革大趋势，全面整合</w:t>
            </w:r>
            <w:proofErr w:type="gramStart"/>
            <w:r w:rsidRPr="008756D0">
              <w:rPr>
                <w:rFonts w:ascii="宋体" w:hAnsi="宋体" w:hint="eastAsia"/>
                <w:bCs/>
                <w:iCs/>
                <w:color w:val="000000"/>
                <w:szCs w:val="21"/>
              </w:rPr>
              <w:t>旗下五</w:t>
            </w:r>
            <w:proofErr w:type="gramEnd"/>
            <w:r w:rsidRPr="008756D0">
              <w:rPr>
                <w:rFonts w:ascii="宋体" w:hAnsi="宋体" w:hint="eastAsia"/>
                <w:bCs/>
                <w:iCs/>
                <w:color w:val="000000"/>
                <w:szCs w:val="21"/>
              </w:rPr>
              <w:t>大信息技术中心（软件、人工智能、大数据、云计算、网络安全）、乘用车技术中心、海外创新中心等优势资源，组建超万人规模自主研发人才队伍。通过在创新机制体制上的顶层设计，链接创新资源、打造创新生态，创新研究开发总院将加快推动“智能新终端”-</w:t>
            </w:r>
            <w:r w:rsidR="0070537A">
              <w:rPr>
                <w:rFonts w:ascii="宋体" w:hAnsi="宋体" w:hint="eastAsia"/>
                <w:bCs/>
                <w:iCs/>
                <w:color w:val="000000"/>
                <w:szCs w:val="21"/>
              </w:rPr>
              <w:t>-</w:t>
            </w:r>
            <w:r w:rsidRPr="008756D0">
              <w:rPr>
                <w:rFonts w:ascii="宋体" w:hAnsi="宋体" w:hint="eastAsia"/>
                <w:bCs/>
                <w:iCs/>
                <w:color w:val="000000"/>
                <w:szCs w:val="21"/>
              </w:rPr>
              <w:t>新能源智能网联汽车的技术研发和产业化落地，面向未来构建差异化竞争优势。</w:t>
            </w:r>
          </w:p>
          <w:p w:rsidR="008756D0" w:rsidRDefault="008756D0" w:rsidP="008756D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7B5EB0" w:rsidRDefault="007B5EB0" w:rsidP="008756D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2、上汽集团在新能源产品上的发展前景如何？</w:t>
            </w:r>
          </w:p>
          <w:p w:rsidR="007B5EB0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答： </w:t>
            </w:r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上汽集团2021年新能源汽车销量达到73.3万辆，同比增长128.9%，位居国内第一、并且在全球新能源车销量排名前三；在新能源技术方面，公司在自主掌控电池、电</w:t>
            </w:r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驱、电控系统等核心技术的基础上，对新一代锂电池、固态电池、IGBT和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碳化硅电驱动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模块等关键技术实现前瞻布局，燃料电池系统技术性能已可比肩全球领先水平，相关技术均已率先实现产品化落地。到2025年，上汽集团规划在全球实现新能源汽车销量超过270万辆，占上汽整车销量的比重不低于32%。</w:t>
            </w:r>
          </w:p>
          <w:p w:rsidR="007B5EB0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7B5EB0" w:rsidRPr="007B5EB0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3、</w:t>
            </w:r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公司海外销售情况及发展规划</w:t>
            </w:r>
            <w:r w:rsidR="007C7162">
              <w:rPr>
                <w:rFonts w:ascii="宋体" w:hAnsi="宋体" w:hint="eastAsia"/>
                <w:bCs/>
                <w:iCs/>
                <w:color w:val="000000"/>
                <w:szCs w:val="21"/>
              </w:rPr>
              <w:t>如何？</w:t>
            </w:r>
          </w:p>
          <w:p w:rsidR="007B5EB0" w:rsidRPr="007B5EB0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</w:t>
            </w:r>
            <w:r w:rsidR="00715A02" w:rsidRPr="00715A02">
              <w:rPr>
                <w:rFonts w:ascii="宋体" w:hAnsi="宋体" w:hint="eastAsia"/>
                <w:bCs/>
                <w:iCs/>
                <w:color w:val="000000"/>
                <w:szCs w:val="21"/>
              </w:rPr>
              <w:t>2021年公司海外销量69.7万辆，同比增长78.9%，连续六年夺得国内车企榜首，作为中国唯一一家有系统、有规划、成建制“走出去”的汽车企业，上汽已经建立了集研发、营销、物流、零部件、制造、金融、二手车等为一体的面向全球市场的汽车产业链，产品和服务遍布全球80余个国家和地区，</w:t>
            </w:r>
            <w:r w:rsidR="00715A02">
              <w:rPr>
                <w:rFonts w:ascii="宋体" w:hAnsi="宋体" w:hint="eastAsia"/>
                <w:bCs/>
                <w:iCs/>
                <w:color w:val="000000"/>
                <w:szCs w:val="21"/>
              </w:rPr>
              <w:t>设有多个</w:t>
            </w:r>
            <w:r w:rsidR="00715A02"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海外生产基地</w:t>
            </w:r>
            <w:r w:rsidR="00715A02">
              <w:rPr>
                <w:rFonts w:ascii="宋体" w:hAnsi="宋体" w:hint="eastAsia"/>
                <w:bCs/>
                <w:iCs/>
                <w:color w:val="000000"/>
                <w:szCs w:val="21"/>
              </w:rPr>
              <w:t>和</w:t>
            </w:r>
            <w:r w:rsidR="00715A02"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海外研发创新中心，零部件海外生产研发基地</w:t>
            </w:r>
            <w:r w:rsidR="00715A02">
              <w:rPr>
                <w:rFonts w:ascii="宋体" w:hAnsi="宋体" w:hint="eastAsia"/>
                <w:bCs/>
                <w:iCs/>
                <w:color w:val="000000"/>
                <w:szCs w:val="21"/>
              </w:rPr>
              <w:t>超过100家</w:t>
            </w:r>
            <w:r w:rsidR="00715A02"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，海外营销服务网点</w:t>
            </w:r>
            <w:r w:rsidR="00715A02">
              <w:rPr>
                <w:rFonts w:ascii="宋体" w:hAnsi="宋体" w:hint="eastAsia"/>
                <w:bCs/>
                <w:iCs/>
                <w:color w:val="000000"/>
                <w:szCs w:val="21"/>
              </w:rPr>
              <w:t>超过1800个，</w:t>
            </w:r>
            <w:r w:rsidR="00715A02" w:rsidRPr="00715A02">
              <w:rPr>
                <w:rFonts w:ascii="宋体" w:hAnsi="宋体" w:hint="eastAsia"/>
                <w:bCs/>
                <w:iCs/>
                <w:color w:val="000000"/>
                <w:szCs w:val="21"/>
              </w:rPr>
              <w:t>已形成欧洲、澳新、美洲、中东、东盟、南亚六个“五万辆级”区域市场。特别是在欧洲，2021年上汽自主品牌MG和MAXUS在英国、法国、德国、瑞典等发达国家销量达7.3万辆（其中新能源车销量超过4万辆），营销服务网点超过800个，积极树立“中国智造”全新形象。2022年，公司将全面发力欧洲，</w:t>
            </w:r>
            <w:r w:rsidR="00715A02">
              <w:rPr>
                <w:rFonts w:ascii="宋体" w:hAnsi="宋体" w:hint="eastAsia"/>
                <w:bCs/>
                <w:iCs/>
                <w:color w:val="000000"/>
                <w:szCs w:val="21"/>
              </w:rPr>
              <w:t>力争</w:t>
            </w:r>
            <w:r w:rsidR="00715A02"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打造上汽海外第一个十万辆</w:t>
            </w:r>
            <w:r w:rsidR="00715A02">
              <w:rPr>
                <w:rFonts w:ascii="宋体" w:hAnsi="宋体" w:hint="eastAsia"/>
                <w:bCs/>
                <w:iCs/>
                <w:color w:val="000000"/>
                <w:szCs w:val="21"/>
              </w:rPr>
              <w:t>级</w:t>
            </w:r>
            <w:r w:rsidR="00715A02"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市场。</w:t>
            </w:r>
          </w:p>
          <w:p w:rsidR="007B5EB0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7B5EB0" w:rsidRPr="0046419C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4、</w:t>
            </w:r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荣威、MG、智己、</w:t>
            </w:r>
            <w:proofErr w:type="gramStart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飞凡等</w:t>
            </w:r>
            <w:proofErr w:type="gramEnd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自主品牌乘用车之间怎么定位和协同？</w:t>
            </w:r>
          </w:p>
          <w:p w:rsidR="007B5EB0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答：荣威定位“优品国民车”，以品质、舒适和空间为特色，主攻主流家用市场；在新能源产品方面，主力产品加快“电驱化”，并持续提升电动车销量占比。名</w:t>
            </w:r>
            <w:proofErr w:type="gramStart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爵</w:t>
            </w:r>
            <w:proofErr w:type="gramEnd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/MG定位“个性化全球车”，以“智领风潮”、“国际风范”为特色，全面拥抱个性化消费潮流；在新能源产品方面，致力于打造满足C端年轻用户需求</w:t>
            </w:r>
            <w:proofErr w:type="gramStart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的纯电产品</w:t>
            </w:r>
            <w:proofErr w:type="gramEnd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，带动</w:t>
            </w:r>
            <w:proofErr w:type="gramStart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品牌进</w:t>
            </w:r>
            <w:proofErr w:type="gramEnd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阶。</w:t>
            </w:r>
            <w:proofErr w:type="gramStart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智己定位</w:t>
            </w:r>
            <w:proofErr w:type="gramEnd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“高端豪华智能电动车”，以数据驱动、峰值体验、用户共创为特色。</w:t>
            </w:r>
            <w:proofErr w:type="gramStart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飞凡定位</w:t>
            </w:r>
            <w:proofErr w:type="gramEnd"/>
            <w:r w:rsidRPr="0046419C">
              <w:rPr>
                <w:rFonts w:ascii="宋体" w:hAnsi="宋体" w:hint="eastAsia"/>
                <w:bCs/>
                <w:iCs/>
                <w:color w:val="000000"/>
                <w:szCs w:val="21"/>
              </w:rPr>
              <w:t>“中高端纯电智能移动空间”，以科技时尚为特色。</w:t>
            </w:r>
          </w:p>
          <w:p w:rsidR="007B5EB0" w:rsidRPr="007B5EB0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D46ED1" w:rsidRDefault="007B5EB0" w:rsidP="007B5EB0">
            <w:pPr>
              <w:pStyle w:val="a8"/>
              <w:spacing w:line="360" w:lineRule="auto"/>
              <w:ind w:left="-1" w:firstLineChars="0" w:firstLine="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5、</w:t>
            </w:r>
            <w:r w:rsidR="00D46ED1">
              <w:rPr>
                <w:rFonts w:ascii="宋体" w:hAnsi="宋体" w:hint="eastAsia"/>
                <w:bCs/>
                <w:iCs/>
                <w:color w:val="000000"/>
                <w:szCs w:val="21"/>
              </w:rPr>
              <w:t>芯片供应短缺</w:t>
            </w:r>
            <w:r w:rsidR="00BE1BBA">
              <w:rPr>
                <w:rFonts w:ascii="宋体" w:hAnsi="宋体" w:hint="eastAsia"/>
                <w:bCs/>
                <w:iCs/>
                <w:color w:val="000000"/>
                <w:szCs w:val="21"/>
              </w:rPr>
              <w:t>是否有所缓解</w:t>
            </w:r>
            <w:r w:rsidR="00D46ED1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，公司</w:t>
            </w:r>
            <w:r w:rsidR="00BE1BBA">
              <w:rPr>
                <w:rFonts w:ascii="宋体" w:hAnsi="宋体" w:hint="eastAsia"/>
                <w:bCs/>
                <w:iCs/>
                <w:color w:val="000000"/>
                <w:szCs w:val="21"/>
              </w:rPr>
              <w:t>有哪些</w:t>
            </w:r>
            <w:r w:rsidR="00D46ED1">
              <w:rPr>
                <w:rFonts w:ascii="宋体" w:hAnsi="宋体" w:hint="eastAsia"/>
                <w:bCs/>
                <w:iCs/>
                <w:color w:val="000000"/>
                <w:szCs w:val="21"/>
              </w:rPr>
              <w:t>应对</w:t>
            </w:r>
            <w:r w:rsidR="00CC3055">
              <w:rPr>
                <w:rFonts w:ascii="宋体" w:hAnsi="宋体" w:hint="eastAsia"/>
                <w:bCs/>
                <w:iCs/>
                <w:color w:val="000000"/>
                <w:szCs w:val="21"/>
              </w:rPr>
              <w:t>措施</w:t>
            </w:r>
            <w:r w:rsidR="00BE1BBA">
              <w:rPr>
                <w:rFonts w:ascii="宋体" w:hAnsi="宋体" w:hint="eastAsia"/>
                <w:bCs/>
                <w:iCs/>
                <w:color w:val="000000"/>
                <w:szCs w:val="21"/>
              </w:rPr>
              <w:t>？</w:t>
            </w:r>
          </w:p>
          <w:p w:rsidR="007140F9" w:rsidRDefault="00BE1BBA" w:rsidP="007140F9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</w:t>
            </w:r>
            <w:r w:rsid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目前来看</w:t>
            </w:r>
            <w:r w:rsidR="0071527E" w:rsidRP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芯片短缺在逐步缓解，但</w:t>
            </w:r>
            <w:r w:rsidR="00417C47">
              <w:rPr>
                <w:rFonts w:ascii="宋体" w:hAnsi="宋体" w:hint="eastAsia"/>
                <w:bCs/>
                <w:iCs/>
                <w:color w:val="000000"/>
                <w:szCs w:val="21"/>
              </w:rPr>
              <w:t>局部</w:t>
            </w:r>
            <w:r w:rsidR="0071527E" w:rsidRP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短缺现象仍</w:t>
            </w:r>
            <w:r w:rsidR="00417C47">
              <w:rPr>
                <w:rFonts w:ascii="宋体" w:hAnsi="宋体" w:hint="eastAsia"/>
                <w:bCs/>
                <w:iCs/>
                <w:color w:val="000000"/>
                <w:szCs w:val="21"/>
              </w:rPr>
              <w:t>可能</w:t>
            </w:r>
            <w:r w:rsidR="00FB04AF">
              <w:rPr>
                <w:rFonts w:ascii="宋体" w:hAnsi="宋体" w:hint="eastAsia"/>
                <w:bCs/>
                <w:iCs/>
                <w:color w:val="000000"/>
                <w:szCs w:val="21"/>
              </w:rPr>
              <w:t>贯穿</w:t>
            </w:r>
            <w:r w:rsidR="0071527E" w:rsidRP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全年。面对</w:t>
            </w:r>
            <w:r w:rsidR="00417C47">
              <w:rPr>
                <w:rFonts w:ascii="宋体" w:hAnsi="宋体" w:hint="eastAsia"/>
                <w:bCs/>
                <w:iCs/>
                <w:color w:val="000000"/>
                <w:szCs w:val="21"/>
              </w:rPr>
              <w:t>去年以来的</w:t>
            </w:r>
            <w:r w:rsidR="0071527E" w:rsidRP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芯片短缺</w:t>
            </w:r>
            <w:r w:rsidR="00417C47">
              <w:rPr>
                <w:rFonts w:ascii="宋体" w:hAnsi="宋体" w:hint="eastAsia"/>
                <w:bCs/>
                <w:iCs/>
                <w:color w:val="000000"/>
                <w:szCs w:val="21"/>
              </w:rPr>
              <w:t>问题</w:t>
            </w:r>
            <w:r w:rsidR="0071527E" w:rsidRP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，公司加快推进实施车</w:t>
            </w:r>
            <w:proofErr w:type="gramStart"/>
            <w:r w:rsidR="0071527E" w:rsidRP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规</w:t>
            </w:r>
            <w:proofErr w:type="gramEnd"/>
            <w:r w:rsidR="0071527E" w:rsidRP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级芯片国产化策略，</w:t>
            </w:r>
            <w:r w:rsidR="00E83F84">
              <w:rPr>
                <w:rFonts w:ascii="宋体" w:hAnsi="宋体" w:hint="eastAsia"/>
                <w:bCs/>
                <w:iCs/>
                <w:color w:val="000000"/>
                <w:szCs w:val="21"/>
              </w:rPr>
              <w:t>推进</w:t>
            </w:r>
            <w:r w:rsidR="0071527E" w:rsidRP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75款芯片完成国产化开发</w:t>
            </w:r>
            <w:r w:rsid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并</w:t>
            </w:r>
            <w:r w:rsidR="0071527E" w:rsidRP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进入整车量产应用</w:t>
            </w:r>
            <w:r w:rsid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，同时以产业投资赋能技术创新，投资地平线、</w:t>
            </w:r>
            <w:proofErr w:type="gramStart"/>
            <w:r w:rsid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晶晨半导体</w:t>
            </w:r>
            <w:proofErr w:type="gramEnd"/>
            <w:r w:rsid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proofErr w:type="gramStart"/>
            <w:r w:rsid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芯钛科技</w:t>
            </w:r>
            <w:proofErr w:type="gramEnd"/>
            <w:r w:rsid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proofErr w:type="gramStart"/>
            <w:r w:rsid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芯旺微电子</w:t>
            </w:r>
            <w:proofErr w:type="gramEnd"/>
            <w:r w:rsidR="0071527E">
              <w:rPr>
                <w:rFonts w:ascii="宋体" w:hAnsi="宋体" w:hint="eastAsia"/>
                <w:bCs/>
                <w:iCs/>
                <w:color w:val="000000"/>
                <w:szCs w:val="21"/>
              </w:rPr>
              <w:t>等十余家芯片公司，不断加快汽车芯片产业链布局。</w:t>
            </w:r>
          </w:p>
          <w:p w:rsidR="008756D0" w:rsidRDefault="008756D0" w:rsidP="007140F9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7B5EB0" w:rsidRPr="007B5EB0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6、</w:t>
            </w:r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公司氢能源技术</w:t>
            </w:r>
            <w:r w:rsidR="007C7162">
              <w:rPr>
                <w:rFonts w:ascii="宋体" w:hAnsi="宋体" w:hint="eastAsia"/>
                <w:bCs/>
                <w:iCs/>
                <w:color w:val="000000"/>
                <w:szCs w:val="21"/>
              </w:rPr>
              <w:t>发展到了什么阶段？</w:t>
            </w:r>
          </w:p>
          <w:p w:rsidR="007B5EB0" w:rsidRPr="007B5EB0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答：在燃料电池方面，集团旗下的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捷氢科技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发布了新一代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燃料电池电堆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M4 和 P4 系统产品，关键性能参数已跻身全球前列，建成了全球首条万台级“卷对卷”膜电极生产线，核心零部件国产化水平持续提升。同时，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捷氢科技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完成了股份公司改制，并启动了分拆上市</w:t>
            </w:r>
            <w:r w:rsidR="00AA1E30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公司将以推进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捷氢科技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分拆上市为契机，加快氢能和氢燃料电池的产业化和商业化进程，持续提升核心技术能力和市场竞争力。今年年初上汽红岩鄂尔多斯氢能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重卡基地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工厂投产、首批车辆下线，标志着全球首个万辆级氢能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重卡产业链项目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落地取得阶段性成果。</w:t>
            </w:r>
          </w:p>
          <w:p w:rsidR="007B5EB0" w:rsidRPr="007B5EB0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7B5EB0" w:rsidRPr="007B5EB0" w:rsidRDefault="007B5EB0" w:rsidP="007B5EB0">
            <w:pPr>
              <w:tabs>
                <w:tab w:val="left" w:pos="28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7</w:t>
            </w:r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、 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智己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L7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和飞凡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R7的进展情况</w:t>
            </w:r>
            <w:r w:rsidR="007C7162">
              <w:rPr>
                <w:rFonts w:ascii="宋体" w:hAnsi="宋体" w:hint="eastAsia"/>
                <w:bCs/>
                <w:iCs/>
                <w:color w:val="000000"/>
                <w:szCs w:val="21"/>
              </w:rPr>
              <w:t>？</w:t>
            </w:r>
          </w:p>
          <w:p w:rsidR="0046419C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智己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L7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和飞凡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R7都在按计划推进中，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智己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L7于2月底正式投产，并开始聚焦驾控性能深度体验开展一系列试驾活动，计划于3月底正式上市；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飞凡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R7于3月21日首批PPV预制量产车正式下线，这标志着R7生产线全线贯通和线上造车验证的完成，</w:t>
            </w:r>
            <w:proofErr w:type="gramStart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产线工艺</w:t>
            </w:r>
            <w:proofErr w:type="gramEnd"/>
            <w:r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设备成熟度、三电系统的可靠性、耐久性以及智能驾驶、智能座舱的软硬件匹配程度已接近量产状态，距离正式量产交付更近一步。</w:t>
            </w:r>
          </w:p>
          <w:p w:rsidR="0046419C" w:rsidRPr="00BE1BBA" w:rsidRDefault="0046419C" w:rsidP="004641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865768" w:rsidRPr="007B5EB0" w:rsidRDefault="007B5EB0" w:rsidP="007B5EB0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8、</w:t>
            </w:r>
            <w:proofErr w:type="gramStart"/>
            <w:r w:rsidR="00865768"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捷氢科技</w:t>
            </w:r>
            <w:proofErr w:type="gramEnd"/>
            <w:r w:rsidR="00865768"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的</w:t>
            </w:r>
            <w:r w:rsidR="007C7162">
              <w:rPr>
                <w:rFonts w:ascii="宋体" w:hAnsi="宋体" w:hint="eastAsia"/>
                <w:bCs/>
                <w:iCs/>
                <w:color w:val="000000"/>
                <w:szCs w:val="21"/>
              </w:rPr>
              <w:t>分拆</w:t>
            </w:r>
            <w:r w:rsidR="00865768" w:rsidRPr="007B5EB0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上市进展情况</w:t>
            </w:r>
            <w:r w:rsidR="007C7162">
              <w:rPr>
                <w:rFonts w:ascii="宋体" w:hAnsi="宋体" w:hint="eastAsia"/>
                <w:bCs/>
                <w:iCs/>
                <w:color w:val="000000"/>
                <w:szCs w:val="21"/>
              </w:rPr>
              <w:t>？</w:t>
            </w:r>
          </w:p>
          <w:p w:rsidR="00346443" w:rsidRPr="00346443" w:rsidRDefault="00346443" w:rsidP="00346443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</w:t>
            </w:r>
            <w:proofErr w:type="gramStart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捷氢科技</w:t>
            </w:r>
            <w:proofErr w:type="gramEnd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分拆上市预案已经公司第八届董事会第六次会议审议通过，尚需公司股东大会审议通过，</w:t>
            </w:r>
            <w:proofErr w:type="gramStart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捷氢科技</w:t>
            </w:r>
            <w:proofErr w:type="gramEnd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首次公开发行股票并在上交</w:t>
            </w:r>
            <w:proofErr w:type="gramStart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所科创板上市</w:t>
            </w:r>
            <w:proofErr w:type="gramEnd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的相关议案尚需</w:t>
            </w:r>
            <w:proofErr w:type="gramStart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完成股</w:t>
            </w:r>
            <w:proofErr w:type="gramEnd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改后的</w:t>
            </w:r>
            <w:proofErr w:type="gramStart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捷氢科技</w:t>
            </w:r>
            <w:proofErr w:type="gramEnd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董事会、股东大会审议通过。之后，</w:t>
            </w:r>
            <w:proofErr w:type="gramStart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捷氢科技</w:t>
            </w:r>
            <w:proofErr w:type="gramEnd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将在上交所批准及中国证监会注册后选择适当的时机进行发行，具体发行日期</w:t>
            </w:r>
            <w:proofErr w:type="gramStart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由捷氢科技</w:t>
            </w:r>
            <w:proofErr w:type="gramEnd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股东大会授权</w:t>
            </w:r>
            <w:proofErr w:type="gramStart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捷氢科技</w:t>
            </w:r>
            <w:proofErr w:type="gramEnd"/>
            <w:r w:rsidRPr="00346443"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董事会于上交所批准及中国证监会注册后予以确定。</w:t>
            </w:r>
          </w:p>
          <w:p w:rsidR="0079530E" w:rsidRPr="00346443" w:rsidRDefault="0079530E" w:rsidP="00346443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</w:tr>
      <w:tr w:rsidR="00F354CA" w:rsidTr="00805080">
        <w:trPr>
          <w:trHeight w:val="10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CA" w:rsidRDefault="00BA222F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lastRenderedPageBreak/>
              <w:t>附件清单（如有）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Default="00A32F97" w:rsidP="003F72D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8"/>
              </w:rPr>
              <w:t>无</w:t>
            </w:r>
          </w:p>
        </w:tc>
      </w:tr>
    </w:tbl>
    <w:p w:rsidR="009F2641" w:rsidRDefault="009F2641" w:rsidP="00EE30B5">
      <w:pPr>
        <w:widowControl/>
        <w:jc w:val="left"/>
      </w:pPr>
    </w:p>
    <w:sectPr w:rsidR="009F2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61" w:rsidRDefault="00B50D61" w:rsidP="00056E22">
      <w:r>
        <w:separator/>
      </w:r>
    </w:p>
  </w:endnote>
  <w:endnote w:type="continuationSeparator" w:id="0">
    <w:p w:rsidR="00B50D61" w:rsidRDefault="00B50D61" w:rsidP="0005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61" w:rsidRDefault="00B50D61" w:rsidP="00056E22">
      <w:r>
        <w:separator/>
      </w:r>
    </w:p>
  </w:footnote>
  <w:footnote w:type="continuationSeparator" w:id="0">
    <w:p w:rsidR="00B50D61" w:rsidRDefault="00B50D61" w:rsidP="0005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66F"/>
    <w:multiLevelType w:val="hybridMultilevel"/>
    <w:tmpl w:val="3E0CAC5C"/>
    <w:lvl w:ilvl="0" w:tplc="D31ED45A">
      <w:start w:val="1"/>
      <w:numFmt w:val="decimal"/>
      <w:lvlText w:val="%1、"/>
      <w:lvlJc w:val="left"/>
      <w:pPr>
        <w:ind w:left="785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89735A7"/>
    <w:multiLevelType w:val="hybridMultilevel"/>
    <w:tmpl w:val="196C8B80"/>
    <w:lvl w:ilvl="0" w:tplc="D31ED45A">
      <w:start w:val="1"/>
      <w:numFmt w:val="decimal"/>
      <w:lvlText w:val="%1、"/>
      <w:lvlJc w:val="left"/>
      <w:pPr>
        <w:ind w:left="785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01E39A9"/>
    <w:multiLevelType w:val="hybridMultilevel"/>
    <w:tmpl w:val="3E0CAC5C"/>
    <w:lvl w:ilvl="0" w:tplc="D31ED45A">
      <w:start w:val="1"/>
      <w:numFmt w:val="decimal"/>
      <w:lvlText w:val="%1、"/>
      <w:lvlJc w:val="left"/>
      <w:pPr>
        <w:ind w:left="785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A1716C"/>
    <w:multiLevelType w:val="hybridMultilevel"/>
    <w:tmpl w:val="3E0CAC5C"/>
    <w:lvl w:ilvl="0" w:tplc="D31ED45A">
      <w:start w:val="1"/>
      <w:numFmt w:val="decimal"/>
      <w:lvlText w:val="%1、"/>
      <w:lvlJc w:val="left"/>
      <w:pPr>
        <w:ind w:left="785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D8934BE"/>
    <w:multiLevelType w:val="hybridMultilevel"/>
    <w:tmpl w:val="5F2A3EB4"/>
    <w:lvl w:ilvl="0" w:tplc="0814436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11"/>
    <w:rsid w:val="00000D3A"/>
    <w:rsid w:val="0000229D"/>
    <w:rsid w:val="000023C9"/>
    <w:rsid w:val="0000475A"/>
    <w:rsid w:val="00006370"/>
    <w:rsid w:val="00006895"/>
    <w:rsid w:val="00007516"/>
    <w:rsid w:val="00007ED6"/>
    <w:rsid w:val="0001292C"/>
    <w:rsid w:val="00015276"/>
    <w:rsid w:val="00020845"/>
    <w:rsid w:val="00021238"/>
    <w:rsid w:val="00022A83"/>
    <w:rsid w:val="00031F4C"/>
    <w:rsid w:val="00033D0E"/>
    <w:rsid w:val="00036ED9"/>
    <w:rsid w:val="0004224D"/>
    <w:rsid w:val="000441F4"/>
    <w:rsid w:val="00045B5F"/>
    <w:rsid w:val="000470B9"/>
    <w:rsid w:val="00050E87"/>
    <w:rsid w:val="00052D1F"/>
    <w:rsid w:val="00056E22"/>
    <w:rsid w:val="00057A6E"/>
    <w:rsid w:val="00067FDE"/>
    <w:rsid w:val="00070486"/>
    <w:rsid w:val="00070728"/>
    <w:rsid w:val="00075460"/>
    <w:rsid w:val="0008491A"/>
    <w:rsid w:val="00086C51"/>
    <w:rsid w:val="00093216"/>
    <w:rsid w:val="000A2A87"/>
    <w:rsid w:val="000A61CC"/>
    <w:rsid w:val="000B61D4"/>
    <w:rsid w:val="000C1E0A"/>
    <w:rsid w:val="000C2651"/>
    <w:rsid w:val="000C63D6"/>
    <w:rsid w:val="000C6416"/>
    <w:rsid w:val="000C69CC"/>
    <w:rsid w:val="000D088C"/>
    <w:rsid w:val="000D0F4A"/>
    <w:rsid w:val="000D5B15"/>
    <w:rsid w:val="000E08C0"/>
    <w:rsid w:val="000E09C0"/>
    <w:rsid w:val="000E5E30"/>
    <w:rsid w:val="00101200"/>
    <w:rsid w:val="00101BBB"/>
    <w:rsid w:val="00115D51"/>
    <w:rsid w:val="001258EE"/>
    <w:rsid w:val="00126925"/>
    <w:rsid w:val="00130A17"/>
    <w:rsid w:val="00134D24"/>
    <w:rsid w:val="00142BB3"/>
    <w:rsid w:val="001448EA"/>
    <w:rsid w:val="00146C83"/>
    <w:rsid w:val="00163869"/>
    <w:rsid w:val="00163BE5"/>
    <w:rsid w:val="001646EA"/>
    <w:rsid w:val="00183DC3"/>
    <w:rsid w:val="00186714"/>
    <w:rsid w:val="00187E1C"/>
    <w:rsid w:val="00191E7F"/>
    <w:rsid w:val="00192EAF"/>
    <w:rsid w:val="001961CB"/>
    <w:rsid w:val="00196732"/>
    <w:rsid w:val="001A12ED"/>
    <w:rsid w:val="001A58D7"/>
    <w:rsid w:val="001B504E"/>
    <w:rsid w:val="001C11F6"/>
    <w:rsid w:val="001C435F"/>
    <w:rsid w:val="001C5474"/>
    <w:rsid w:val="001D49F2"/>
    <w:rsid w:val="001E6323"/>
    <w:rsid w:val="001E76C7"/>
    <w:rsid w:val="001F54E9"/>
    <w:rsid w:val="002066AD"/>
    <w:rsid w:val="002076D4"/>
    <w:rsid w:val="00214F5D"/>
    <w:rsid w:val="002161E5"/>
    <w:rsid w:val="00216EB3"/>
    <w:rsid w:val="00217397"/>
    <w:rsid w:val="0022325D"/>
    <w:rsid w:val="00234710"/>
    <w:rsid w:val="002350A7"/>
    <w:rsid w:val="002353A7"/>
    <w:rsid w:val="00236C54"/>
    <w:rsid w:val="00245464"/>
    <w:rsid w:val="00246AAE"/>
    <w:rsid w:val="00247101"/>
    <w:rsid w:val="00265394"/>
    <w:rsid w:val="002666C3"/>
    <w:rsid w:val="00266E74"/>
    <w:rsid w:val="002776AE"/>
    <w:rsid w:val="0028266D"/>
    <w:rsid w:val="00283A79"/>
    <w:rsid w:val="0028680F"/>
    <w:rsid w:val="002933E0"/>
    <w:rsid w:val="00294827"/>
    <w:rsid w:val="00295901"/>
    <w:rsid w:val="002A79D9"/>
    <w:rsid w:val="002B191D"/>
    <w:rsid w:val="002B28CF"/>
    <w:rsid w:val="002B6657"/>
    <w:rsid w:val="002B6949"/>
    <w:rsid w:val="002B7292"/>
    <w:rsid w:val="002C3410"/>
    <w:rsid w:val="002C4146"/>
    <w:rsid w:val="002C4A8F"/>
    <w:rsid w:val="002C74D7"/>
    <w:rsid w:val="002D4803"/>
    <w:rsid w:val="002D4AA0"/>
    <w:rsid w:val="002D66C8"/>
    <w:rsid w:val="002E3A4B"/>
    <w:rsid w:val="002E69F2"/>
    <w:rsid w:val="002E6D8C"/>
    <w:rsid w:val="002F5B9D"/>
    <w:rsid w:val="002F7EF0"/>
    <w:rsid w:val="00307188"/>
    <w:rsid w:val="003079FE"/>
    <w:rsid w:val="00311FE8"/>
    <w:rsid w:val="00313034"/>
    <w:rsid w:val="0031470D"/>
    <w:rsid w:val="00320A0F"/>
    <w:rsid w:val="0032301A"/>
    <w:rsid w:val="003445C8"/>
    <w:rsid w:val="00346443"/>
    <w:rsid w:val="0035390B"/>
    <w:rsid w:val="00357DC5"/>
    <w:rsid w:val="003623AF"/>
    <w:rsid w:val="003640CE"/>
    <w:rsid w:val="0037749F"/>
    <w:rsid w:val="003846E9"/>
    <w:rsid w:val="003874DC"/>
    <w:rsid w:val="0039561A"/>
    <w:rsid w:val="00396AF0"/>
    <w:rsid w:val="003A2E42"/>
    <w:rsid w:val="003A3323"/>
    <w:rsid w:val="003A481D"/>
    <w:rsid w:val="003A7EE1"/>
    <w:rsid w:val="003B2D62"/>
    <w:rsid w:val="003B2EAB"/>
    <w:rsid w:val="003B480D"/>
    <w:rsid w:val="003B6323"/>
    <w:rsid w:val="003C25C6"/>
    <w:rsid w:val="003D1270"/>
    <w:rsid w:val="003D312A"/>
    <w:rsid w:val="003E3317"/>
    <w:rsid w:val="003F72D4"/>
    <w:rsid w:val="004040D8"/>
    <w:rsid w:val="00406042"/>
    <w:rsid w:val="0040633A"/>
    <w:rsid w:val="00417C47"/>
    <w:rsid w:val="00421FB1"/>
    <w:rsid w:val="00431A3D"/>
    <w:rsid w:val="00435AD1"/>
    <w:rsid w:val="00446F04"/>
    <w:rsid w:val="00453B5E"/>
    <w:rsid w:val="004604CE"/>
    <w:rsid w:val="00460B7F"/>
    <w:rsid w:val="00463CD6"/>
    <w:rsid w:val="0046419C"/>
    <w:rsid w:val="00483387"/>
    <w:rsid w:val="00486135"/>
    <w:rsid w:val="00492A98"/>
    <w:rsid w:val="004A3BA3"/>
    <w:rsid w:val="004A67CF"/>
    <w:rsid w:val="004B3810"/>
    <w:rsid w:val="004C18F5"/>
    <w:rsid w:val="004C3632"/>
    <w:rsid w:val="004D1079"/>
    <w:rsid w:val="004E5020"/>
    <w:rsid w:val="004E56B6"/>
    <w:rsid w:val="004F1463"/>
    <w:rsid w:val="004F2253"/>
    <w:rsid w:val="004F229C"/>
    <w:rsid w:val="004F331E"/>
    <w:rsid w:val="004F3B19"/>
    <w:rsid w:val="00501309"/>
    <w:rsid w:val="00502863"/>
    <w:rsid w:val="00504DEE"/>
    <w:rsid w:val="00523BCA"/>
    <w:rsid w:val="005266BF"/>
    <w:rsid w:val="00526FF0"/>
    <w:rsid w:val="00542DB6"/>
    <w:rsid w:val="0054384D"/>
    <w:rsid w:val="005470F2"/>
    <w:rsid w:val="005475AB"/>
    <w:rsid w:val="00552CFB"/>
    <w:rsid w:val="00567295"/>
    <w:rsid w:val="00573C33"/>
    <w:rsid w:val="005746B6"/>
    <w:rsid w:val="00574E41"/>
    <w:rsid w:val="00580EE8"/>
    <w:rsid w:val="00582C65"/>
    <w:rsid w:val="005850E8"/>
    <w:rsid w:val="005A4301"/>
    <w:rsid w:val="005A746D"/>
    <w:rsid w:val="005B1F70"/>
    <w:rsid w:val="005B3E33"/>
    <w:rsid w:val="005B7C8F"/>
    <w:rsid w:val="005C05EC"/>
    <w:rsid w:val="005C44D4"/>
    <w:rsid w:val="005D2541"/>
    <w:rsid w:val="005D54E4"/>
    <w:rsid w:val="005D67E9"/>
    <w:rsid w:val="005D70A8"/>
    <w:rsid w:val="005E01AE"/>
    <w:rsid w:val="005E5518"/>
    <w:rsid w:val="006004C0"/>
    <w:rsid w:val="00605EE0"/>
    <w:rsid w:val="00623C20"/>
    <w:rsid w:val="0063026C"/>
    <w:rsid w:val="00630E0D"/>
    <w:rsid w:val="0063115F"/>
    <w:rsid w:val="00631730"/>
    <w:rsid w:val="0063176C"/>
    <w:rsid w:val="00633F21"/>
    <w:rsid w:val="00634708"/>
    <w:rsid w:val="00645506"/>
    <w:rsid w:val="0065622C"/>
    <w:rsid w:val="006576D2"/>
    <w:rsid w:val="0066063E"/>
    <w:rsid w:val="00660FC5"/>
    <w:rsid w:val="0066661E"/>
    <w:rsid w:val="00670328"/>
    <w:rsid w:val="006839D6"/>
    <w:rsid w:val="00686C40"/>
    <w:rsid w:val="00687757"/>
    <w:rsid w:val="006945AF"/>
    <w:rsid w:val="00697BA2"/>
    <w:rsid w:val="00697D6B"/>
    <w:rsid w:val="006B002C"/>
    <w:rsid w:val="006B423B"/>
    <w:rsid w:val="006B460A"/>
    <w:rsid w:val="006B5760"/>
    <w:rsid w:val="006C1AF4"/>
    <w:rsid w:val="006C1F0E"/>
    <w:rsid w:val="006C2758"/>
    <w:rsid w:val="006C2AAD"/>
    <w:rsid w:val="006C4B1E"/>
    <w:rsid w:val="006D19F8"/>
    <w:rsid w:val="006D1EA3"/>
    <w:rsid w:val="006D4A88"/>
    <w:rsid w:val="006D4B0B"/>
    <w:rsid w:val="006E0FC8"/>
    <w:rsid w:val="006E5468"/>
    <w:rsid w:val="006E6FDF"/>
    <w:rsid w:val="006E79CD"/>
    <w:rsid w:val="006F3B05"/>
    <w:rsid w:val="006F6374"/>
    <w:rsid w:val="006F6F4A"/>
    <w:rsid w:val="0070020C"/>
    <w:rsid w:val="0070521B"/>
    <w:rsid w:val="0070537A"/>
    <w:rsid w:val="00707FC6"/>
    <w:rsid w:val="007140F9"/>
    <w:rsid w:val="0071527E"/>
    <w:rsid w:val="00715A02"/>
    <w:rsid w:val="007163B4"/>
    <w:rsid w:val="00717993"/>
    <w:rsid w:val="00726F38"/>
    <w:rsid w:val="00735D08"/>
    <w:rsid w:val="00744D6A"/>
    <w:rsid w:val="007456D4"/>
    <w:rsid w:val="007517FA"/>
    <w:rsid w:val="007537ED"/>
    <w:rsid w:val="00753CC0"/>
    <w:rsid w:val="00753F23"/>
    <w:rsid w:val="00754AF3"/>
    <w:rsid w:val="007610B7"/>
    <w:rsid w:val="00762E61"/>
    <w:rsid w:val="00765FDA"/>
    <w:rsid w:val="007674BE"/>
    <w:rsid w:val="0077777C"/>
    <w:rsid w:val="00781A68"/>
    <w:rsid w:val="007872FA"/>
    <w:rsid w:val="00791A52"/>
    <w:rsid w:val="007926C1"/>
    <w:rsid w:val="0079530E"/>
    <w:rsid w:val="007967E4"/>
    <w:rsid w:val="00796F73"/>
    <w:rsid w:val="007A13ED"/>
    <w:rsid w:val="007B0A6E"/>
    <w:rsid w:val="007B1EC7"/>
    <w:rsid w:val="007B2FD7"/>
    <w:rsid w:val="007B5EB0"/>
    <w:rsid w:val="007B6D4C"/>
    <w:rsid w:val="007C117E"/>
    <w:rsid w:val="007C3950"/>
    <w:rsid w:val="007C3A4F"/>
    <w:rsid w:val="007C7162"/>
    <w:rsid w:val="007D2574"/>
    <w:rsid w:val="007D3408"/>
    <w:rsid w:val="007E0AFF"/>
    <w:rsid w:val="007E0CD5"/>
    <w:rsid w:val="007E598A"/>
    <w:rsid w:val="007E7342"/>
    <w:rsid w:val="007F1394"/>
    <w:rsid w:val="007F7D78"/>
    <w:rsid w:val="00805080"/>
    <w:rsid w:val="00815B17"/>
    <w:rsid w:val="00817084"/>
    <w:rsid w:val="0082336A"/>
    <w:rsid w:val="00845D28"/>
    <w:rsid w:val="008469D2"/>
    <w:rsid w:val="00852F50"/>
    <w:rsid w:val="00860C9B"/>
    <w:rsid w:val="00864185"/>
    <w:rsid w:val="00865768"/>
    <w:rsid w:val="0087053C"/>
    <w:rsid w:val="00870BD6"/>
    <w:rsid w:val="00871A70"/>
    <w:rsid w:val="00875426"/>
    <w:rsid w:val="008756D0"/>
    <w:rsid w:val="00877953"/>
    <w:rsid w:val="00881842"/>
    <w:rsid w:val="00883056"/>
    <w:rsid w:val="00884561"/>
    <w:rsid w:val="00885979"/>
    <w:rsid w:val="00897A50"/>
    <w:rsid w:val="008A3872"/>
    <w:rsid w:val="008B0894"/>
    <w:rsid w:val="008B0C8C"/>
    <w:rsid w:val="008B48E4"/>
    <w:rsid w:val="008B5E9A"/>
    <w:rsid w:val="008C46D4"/>
    <w:rsid w:val="008D09F2"/>
    <w:rsid w:val="008E11A3"/>
    <w:rsid w:val="008E5260"/>
    <w:rsid w:val="008E5DC9"/>
    <w:rsid w:val="008F5361"/>
    <w:rsid w:val="00903369"/>
    <w:rsid w:val="00903F44"/>
    <w:rsid w:val="00904F85"/>
    <w:rsid w:val="009055D4"/>
    <w:rsid w:val="00912595"/>
    <w:rsid w:val="00913308"/>
    <w:rsid w:val="00917986"/>
    <w:rsid w:val="00922C5D"/>
    <w:rsid w:val="0092320D"/>
    <w:rsid w:val="00930174"/>
    <w:rsid w:val="009314DF"/>
    <w:rsid w:val="009322D1"/>
    <w:rsid w:val="009427B3"/>
    <w:rsid w:val="00952432"/>
    <w:rsid w:val="009612E1"/>
    <w:rsid w:val="0096185B"/>
    <w:rsid w:val="0096379B"/>
    <w:rsid w:val="00964C5F"/>
    <w:rsid w:val="00964CDF"/>
    <w:rsid w:val="00967850"/>
    <w:rsid w:val="00967E31"/>
    <w:rsid w:val="009720FC"/>
    <w:rsid w:val="0097674A"/>
    <w:rsid w:val="00981E26"/>
    <w:rsid w:val="00982A78"/>
    <w:rsid w:val="009831DA"/>
    <w:rsid w:val="00985303"/>
    <w:rsid w:val="0098673F"/>
    <w:rsid w:val="00987AC5"/>
    <w:rsid w:val="00990252"/>
    <w:rsid w:val="00990392"/>
    <w:rsid w:val="00993B2E"/>
    <w:rsid w:val="00995DB7"/>
    <w:rsid w:val="009964DB"/>
    <w:rsid w:val="009A1965"/>
    <w:rsid w:val="009A3DD1"/>
    <w:rsid w:val="009B0AEC"/>
    <w:rsid w:val="009B1206"/>
    <w:rsid w:val="009B4CB8"/>
    <w:rsid w:val="009B79D0"/>
    <w:rsid w:val="009C1AD5"/>
    <w:rsid w:val="009C2ABF"/>
    <w:rsid w:val="009D0107"/>
    <w:rsid w:val="009D3941"/>
    <w:rsid w:val="009E77FA"/>
    <w:rsid w:val="009F2310"/>
    <w:rsid w:val="009F2641"/>
    <w:rsid w:val="009F4431"/>
    <w:rsid w:val="009F5D8F"/>
    <w:rsid w:val="00A03135"/>
    <w:rsid w:val="00A10AA5"/>
    <w:rsid w:val="00A117DA"/>
    <w:rsid w:val="00A1392D"/>
    <w:rsid w:val="00A15585"/>
    <w:rsid w:val="00A17A38"/>
    <w:rsid w:val="00A20442"/>
    <w:rsid w:val="00A20DF2"/>
    <w:rsid w:val="00A23C02"/>
    <w:rsid w:val="00A25BA8"/>
    <w:rsid w:val="00A31F5C"/>
    <w:rsid w:val="00A32F97"/>
    <w:rsid w:val="00A36642"/>
    <w:rsid w:val="00A43806"/>
    <w:rsid w:val="00A55D07"/>
    <w:rsid w:val="00A55DA1"/>
    <w:rsid w:val="00A655CC"/>
    <w:rsid w:val="00A66DFB"/>
    <w:rsid w:val="00A70A84"/>
    <w:rsid w:val="00A72677"/>
    <w:rsid w:val="00A745ED"/>
    <w:rsid w:val="00A75E90"/>
    <w:rsid w:val="00A80EE5"/>
    <w:rsid w:val="00A842BA"/>
    <w:rsid w:val="00A856DE"/>
    <w:rsid w:val="00A91C15"/>
    <w:rsid w:val="00AA11D7"/>
    <w:rsid w:val="00AA1E30"/>
    <w:rsid w:val="00AB3EA9"/>
    <w:rsid w:val="00AB45F9"/>
    <w:rsid w:val="00AC4D2C"/>
    <w:rsid w:val="00AD2DDF"/>
    <w:rsid w:val="00AE00E9"/>
    <w:rsid w:val="00AE59D9"/>
    <w:rsid w:val="00AF08F7"/>
    <w:rsid w:val="00AF0989"/>
    <w:rsid w:val="00AF6DD1"/>
    <w:rsid w:val="00B02364"/>
    <w:rsid w:val="00B05358"/>
    <w:rsid w:val="00B05C49"/>
    <w:rsid w:val="00B05F16"/>
    <w:rsid w:val="00B116DE"/>
    <w:rsid w:val="00B12A30"/>
    <w:rsid w:val="00B13076"/>
    <w:rsid w:val="00B15B48"/>
    <w:rsid w:val="00B21966"/>
    <w:rsid w:val="00B24267"/>
    <w:rsid w:val="00B2461E"/>
    <w:rsid w:val="00B25CB2"/>
    <w:rsid w:val="00B26477"/>
    <w:rsid w:val="00B328CD"/>
    <w:rsid w:val="00B359E5"/>
    <w:rsid w:val="00B35DD9"/>
    <w:rsid w:val="00B40898"/>
    <w:rsid w:val="00B41949"/>
    <w:rsid w:val="00B46025"/>
    <w:rsid w:val="00B46563"/>
    <w:rsid w:val="00B50D61"/>
    <w:rsid w:val="00B57028"/>
    <w:rsid w:val="00B572E3"/>
    <w:rsid w:val="00B60B6D"/>
    <w:rsid w:val="00B60E60"/>
    <w:rsid w:val="00B7580E"/>
    <w:rsid w:val="00B7628C"/>
    <w:rsid w:val="00B774CE"/>
    <w:rsid w:val="00B82FD0"/>
    <w:rsid w:val="00B8598B"/>
    <w:rsid w:val="00B90E43"/>
    <w:rsid w:val="00B952E7"/>
    <w:rsid w:val="00BA1769"/>
    <w:rsid w:val="00BA1C24"/>
    <w:rsid w:val="00BA222F"/>
    <w:rsid w:val="00BA7830"/>
    <w:rsid w:val="00BB01C5"/>
    <w:rsid w:val="00BB3514"/>
    <w:rsid w:val="00BB6058"/>
    <w:rsid w:val="00BC0DDC"/>
    <w:rsid w:val="00BC53EE"/>
    <w:rsid w:val="00BC7017"/>
    <w:rsid w:val="00BD0462"/>
    <w:rsid w:val="00BD1421"/>
    <w:rsid w:val="00BD2C89"/>
    <w:rsid w:val="00BD6D9D"/>
    <w:rsid w:val="00BE0E0D"/>
    <w:rsid w:val="00BE1BBA"/>
    <w:rsid w:val="00BE1F59"/>
    <w:rsid w:val="00BE3767"/>
    <w:rsid w:val="00BE3FC9"/>
    <w:rsid w:val="00BE7769"/>
    <w:rsid w:val="00BE790B"/>
    <w:rsid w:val="00BF26E9"/>
    <w:rsid w:val="00BF4724"/>
    <w:rsid w:val="00C01440"/>
    <w:rsid w:val="00C05E6F"/>
    <w:rsid w:val="00C06D77"/>
    <w:rsid w:val="00C072EC"/>
    <w:rsid w:val="00C102A5"/>
    <w:rsid w:val="00C20B90"/>
    <w:rsid w:val="00C25A73"/>
    <w:rsid w:val="00C26D7D"/>
    <w:rsid w:val="00C318B7"/>
    <w:rsid w:val="00C3229B"/>
    <w:rsid w:val="00C3345E"/>
    <w:rsid w:val="00C42BB3"/>
    <w:rsid w:val="00C4613F"/>
    <w:rsid w:val="00C46B9D"/>
    <w:rsid w:val="00C46CA0"/>
    <w:rsid w:val="00C62473"/>
    <w:rsid w:val="00C72467"/>
    <w:rsid w:val="00C72C6D"/>
    <w:rsid w:val="00C74F3F"/>
    <w:rsid w:val="00C766E5"/>
    <w:rsid w:val="00C77483"/>
    <w:rsid w:val="00C82984"/>
    <w:rsid w:val="00C829CD"/>
    <w:rsid w:val="00C96D6D"/>
    <w:rsid w:val="00CA084B"/>
    <w:rsid w:val="00CA0A9F"/>
    <w:rsid w:val="00CA192E"/>
    <w:rsid w:val="00CA6B37"/>
    <w:rsid w:val="00CB707A"/>
    <w:rsid w:val="00CC3055"/>
    <w:rsid w:val="00CD2BA3"/>
    <w:rsid w:val="00CD63AB"/>
    <w:rsid w:val="00CE0611"/>
    <w:rsid w:val="00CE412C"/>
    <w:rsid w:val="00CE7159"/>
    <w:rsid w:val="00CF053C"/>
    <w:rsid w:val="00D03EC3"/>
    <w:rsid w:val="00D11F5D"/>
    <w:rsid w:val="00D15C1F"/>
    <w:rsid w:val="00D15EE2"/>
    <w:rsid w:val="00D17946"/>
    <w:rsid w:val="00D219A5"/>
    <w:rsid w:val="00D21AB5"/>
    <w:rsid w:val="00D22E5B"/>
    <w:rsid w:val="00D23D6F"/>
    <w:rsid w:val="00D25448"/>
    <w:rsid w:val="00D27467"/>
    <w:rsid w:val="00D30C84"/>
    <w:rsid w:val="00D3507E"/>
    <w:rsid w:val="00D46ED1"/>
    <w:rsid w:val="00D57937"/>
    <w:rsid w:val="00D6175D"/>
    <w:rsid w:val="00D63A9E"/>
    <w:rsid w:val="00D63FB7"/>
    <w:rsid w:val="00D6622D"/>
    <w:rsid w:val="00D666A6"/>
    <w:rsid w:val="00D67B29"/>
    <w:rsid w:val="00D7219D"/>
    <w:rsid w:val="00D743BD"/>
    <w:rsid w:val="00D7645C"/>
    <w:rsid w:val="00D82457"/>
    <w:rsid w:val="00D83A3B"/>
    <w:rsid w:val="00D84F89"/>
    <w:rsid w:val="00D90934"/>
    <w:rsid w:val="00D90A95"/>
    <w:rsid w:val="00D91D7B"/>
    <w:rsid w:val="00D93C2A"/>
    <w:rsid w:val="00D93F9E"/>
    <w:rsid w:val="00D9671A"/>
    <w:rsid w:val="00DA1D96"/>
    <w:rsid w:val="00DA252D"/>
    <w:rsid w:val="00DA43C2"/>
    <w:rsid w:val="00DB48AB"/>
    <w:rsid w:val="00DB6C10"/>
    <w:rsid w:val="00DC4981"/>
    <w:rsid w:val="00DD5188"/>
    <w:rsid w:val="00DF0513"/>
    <w:rsid w:val="00DF4706"/>
    <w:rsid w:val="00DF5EE9"/>
    <w:rsid w:val="00E00F6F"/>
    <w:rsid w:val="00E1128E"/>
    <w:rsid w:val="00E26DB1"/>
    <w:rsid w:val="00E334C0"/>
    <w:rsid w:val="00E44243"/>
    <w:rsid w:val="00E502A9"/>
    <w:rsid w:val="00E53A47"/>
    <w:rsid w:val="00E557A0"/>
    <w:rsid w:val="00E5697F"/>
    <w:rsid w:val="00E578A1"/>
    <w:rsid w:val="00E6002D"/>
    <w:rsid w:val="00E6153A"/>
    <w:rsid w:val="00E66BDD"/>
    <w:rsid w:val="00E71010"/>
    <w:rsid w:val="00E83656"/>
    <w:rsid w:val="00E83F84"/>
    <w:rsid w:val="00E93C71"/>
    <w:rsid w:val="00EA1909"/>
    <w:rsid w:val="00EA3B49"/>
    <w:rsid w:val="00EA4219"/>
    <w:rsid w:val="00EB366E"/>
    <w:rsid w:val="00EB4628"/>
    <w:rsid w:val="00EB717D"/>
    <w:rsid w:val="00EB7252"/>
    <w:rsid w:val="00EC15D0"/>
    <w:rsid w:val="00EC7A6D"/>
    <w:rsid w:val="00ED1B35"/>
    <w:rsid w:val="00ED5CFD"/>
    <w:rsid w:val="00EE2F61"/>
    <w:rsid w:val="00EE30B5"/>
    <w:rsid w:val="00EF4606"/>
    <w:rsid w:val="00F007F9"/>
    <w:rsid w:val="00F00BFD"/>
    <w:rsid w:val="00F03AEC"/>
    <w:rsid w:val="00F040D1"/>
    <w:rsid w:val="00F05043"/>
    <w:rsid w:val="00F07033"/>
    <w:rsid w:val="00F10682"/>
    <w:rsid w:val="00F11ACF"/>
    <w:rsid w:val="00F139FB"/>
    <w:rsid w:val="00F227FD"/>
    <w:rsid w:val="00F26261"/>
    <w:rsid w:val="00F31629"/>
    <w:rsid w:val="00F31B00"/>
    <w:rsid w:val="00F31D2C"/>
    <w:rsid w:val="00F354CA"/>
    <w:rsid w:val="00F35A54"/>
    <w:rsid w:val="00F35CE5"/>
    <w:rsid w:val="00F36435"/>
    <w:rsid w:val="00F67F54"/>
    <w:rsid w:val="00F71BCC"/>
    <w:rsid w:val="00F75770"/>
    <w:rsid w:val="00F75D5F"/>
    <w:rsid w:val="00F77B4E"/>
    <w:rsid w:val="00F8118E"/>
    <w:rsid w:val="00F86942"/>
    <w:rsid w:val="00F910BD"/>
    <w:rsid w:val="00FA0120"/>
    <w:rsid w:val="00FA08D1"/>
    <w:rsid w:val="00FA6650"/>
    <w:rsid w:val="00FB04AF"/>
    <w:rsid w:val="00FB12B4"/>
    <w:rsid w:val="00FB5F17"/>
    <w:rsid w:val="00FC068F"/>
    <w:rsid w:val="00FC2DB2"/>
    <w:rsid w:val="00FC3949"/>
    <w:rsid w:val="00FC4D9F"/>
    <w:rsid w:val="00FD5AB9"/>
    <w:rsid w:val="00FD5D67"/>
    <w:rsid w:val="00FD7045"/>
    <w:rsid w:val="00FD7DFB"/>
    <w:rsid w:val="00FE1487"/>
    <w:rsid w:val="00FE22F8"/>
    <w:rsid w:val="00FE4BBE"/>
    <w:rsid w:val="00FF4EE1"/>
    <w:rsid w:val="00FF67E0"/>
    <w:rsid w:val="020E11E6"/>
    <w:rsid w:val="67C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after="120"/>
      <w:ind w:leftChars="200" w:left="2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982A78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82A78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82A78"/>
    <w:rPr>
      <w:rFonts w:ascii="Times New Roman" w:eastAsia="宋体" w:hAnsi="Times New Roman" w:cs="Times New Roman"/>
      <w:kern w:val="2"/>
      <w:sz w:val="21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82A78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982A78"/>
    <w:rPr>
      <w:rFonts w:ascii="Times New Roman" w:eastAsia="宋体" w:hAnsi="Times New Roman" w:cs="Times New Roman"/>
      <w:b/>
      <w:bCs/>
      <w:kern w:val="2"/>
      <w:sz w:val="21"/>
    </w:rPr>
  </w:style>
  <w:style w:type="paragraph" w:styleId="ac">
    <w:name w:val="Plain Text"/>
    <w:basedOn w:val="a"/>
    <w:link w:val="Char5"/>
    <w:qFormat/>
    <w:rsid w:val="00A1392D"/>
    <w:pPr>
      <w:widowControl/>
      <w:jc w:val="left"/>
    </w:pPr>
    <w:rPr>
      <w:rFonts w:ascii="宋体" w:eastAsiaTheme="minorEastAsia" w:hAnsi="Courier New"/>
      <w:kern w:val="0"/>
      <w:sz w:val="24"/>
      <w:szCs w:val="24"/>
    </w:rPr>
  </w:style>
  <w:style w:type="character" w:customStyle="1" w:styleId="Char5">
    <w:name w:val="纯文本 Char"/>
    <w:basedOn w:val="a0"/>
    <w:link w:val="ac"/>
    <w:rsid w:val="00A1392D"/>
    <w:rPr>
      <w:rFonts w:ascii="宋体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after="120"/>
      <w:ind w:leftChars="200" w:left="2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982A78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82A78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82A78"/>
    <w:rPr>
      <w:rFonts w:ascii="Times New Roman" w:eastAsia="宋体" w:hAnsi="Times New Roman" w:cs="Times New Roman"/>
      <w:kern w:val="2"/>
      <w:sz w:val="21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82A78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982A78"/>
    <w:rPr>
      <w:rFonts w:ascii="Times New Roman" w:eastAsia="宋体" w:hAnsi="Times New Roman" w:cs="Times New Roman"/>
      <w:b/>
      <w:bCs/>
      <w:kern w:val="2"/>
      <w:sz w:val="21"/>
    </w:rPr>
  </w:style>
  <w:style w:type="paragraph" w:styleId="ac">
    <w:name w:val="Plain Text"/>
    <w:basedOn w:val="a"/>
    <w:link w:val="Char5"/>
    <w:qFormat/>
    <w:rsid w:val="00A1392D"/>
    <w:pPr>
      <w:widowControl/>
      <w:jc w:val="left"/>
    </w:pPr>
    <w:rPr>
      <w:rFonts w:ascii="宋体" w:eastAsiaTheme="minorEastAsia" w:hAnsi="Courier New"/>
      <w:kern w:val="0"/>
      <w:sz w:val="24"/>
      <w:szCs w:val="24"/>
    </w:rPr>
  </w:style>
  <w:style w:type="character" w:customStyle="1" w:styleId="Char5">
    <w:name w:val="纯文本 Char"/>
    <w:basedOn w:val="a0"/>
    <w:link w:val="ac"/>
    <w:rsid w:val="00A1392D"/>
    <w:rPr>
      <w:rFonts w:ascii="宋体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3F0BE-88B5-4C3B-8857-9E6B1DD0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2036</Characters>
  <Application>Microsoft Office Word</Application>
  <DocSecurity>0</DocSecurity>
  <Lines>16</Lines>
  <Paragraphs>4</Paragraphs>
  <ScaleCrop>false</ScaleCrop>
  <Company>SMC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SAIC</cp:lastModifiedBy>
  <cp:revision>2</cp:revision>
  <cp:lastPrinted>2021-01-09T06:32:00Z</cp:lastPrinted>
  <dcterms:created xsi:type="dcterms:W3CDTF">2022-06-15T09:32:00Z</dcterms:created>
  <dcterms:modified xsi:type="dcterms:W3CDTF">2022-06-15T09:32:00Z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