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bCs/>
          <w:iCs/>
          <w:color w:val="000000"/>
          <w:sz w:val="24"/>
        </w:rPr>
      </w:pPr>
      <w:r>
        <w:rPr>
          <w:bCs/>
          <w:iCs/>
          <w:color w:val="000000"/>
          <w:sz w:val="24"/>
        </w:rPr>
        <w:t>证券代码：</w:t>
      </w:r>
      <w:r>
        <w:rPr>
          <w:rFonts w:hint="eastAsia"/>
          <w:bCs/>
          <w:iCs/>
          <w:color w:val="000000"/>
          <w:sz w:val="24"/>
        </w:rPr>
        <w:t>600547</w:t>
      </w:r>
      <w:r>
        <w:rPr>
          <w:bCs/>
          <w:iCs/>
          <w:color w:val="000000"/>
          <w:sz w:val="24"/>
        </w:rPr>
        <w:t xml:space="preserve">                                    证券简称：</w:t>
      </w:r>
      <w:r>
        <w:rPr>
          <w:rFonts w:hint="eastAsia"/>
          <w:bCs/>
          <w:iCs/>
          <w:color w:val="000000"/>
          <w:sz w:val="24"/>
        </w:rPr>
        <w:t>山东黄金</w:t>
      </w:r>
    </w:p>
    <w:p>
      <w:pPr>
        <w:spacing w:before="156" w:beforeLines="50" w:after="156" w:afterLines="50" w:line="400" w:lineRule="exact"/>
        <w:jc w:val="center"/>
        <w:rPr>
          <w:b/>
          <w:bCs/>
          <w:iCs/>
          <w:color w:val="000000"/>
          <w:sz w:val="30"/>
          <w:szCs w:val="30"/>
        </w:rPr>
      </w:pPr>
      <w:r>
        <w:rPr>
          <w:rFonts w:hint="eastAsia"/>
          <w:b/>
          <w:bCs/>
          <w:iCs/>
          <w:color w:val="000000"/>
          <w:sz w:val="30"/>
          <w:szCs w:val="30"/>
        </w:rPr>
        <w:t>山东黄金矿业股份有限公司</w:t>
      </w:r>
    </w:p>
    <w:p>
      <w:pPr>
        <w:spacing w:before="156" w:beforeLines="50" w:after="156" w:afterLines="50" w:line="400" w:lineRule="exact"/>
        <w:jc w:val="center"/>
        <w:rPr>
          <w:b/>
          <w:bCs/>
          <w:iCs/>
          <w:color w:val="000000"/>
          <w:sz w:val="30"/>
          <w:szCs w:val="30"/>
        </w:rPr>
      </w:pPr>
      <w:r>
        <w:rPr>
          <w:b/>
          <w:bCs/>
          <w:iCs/>
          <w:color w:val="000000"/>
          <w:sz w:val="30"/>
          <w:szCs w:val="30"/>
        </w:rPr>
        <w:t>投资者关系活动记录表</w:t>
      </w:r>
    </w:p>
    <w:p>
      <w:pPr>
        <w:spacing w:line="400" w:lineRule="exact"/>
        <w:ind w:firstLine="6840" w:firstLineChars="2850"/>
        <w:rPr>
          <w:bCs/>
          <w:iCs/>
          <w:color w:val="000000"/>
          <w:sz w:val="24"/>
        </w:rPr>
      </w:pPr>
    </w:p>
    <w:tbl>
      <w:tblPr>
        <w:tblStyle w:val="14"/>
        <w:tblW w:w="90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b/>
                <w:bCs/>
                <w:iCs/>
                <w:color w:val="000000"/>
                <w:sz w:val="24"/>
              </w:rPr>
            </w:pPr>
            <w:r>
              <w:rPr>
                <w:b/>
                <w:bCs/>
                <w:iCs/>
                <w:color w:val="000000"/>
                <w:sz w:val="24"/>
              </w:rPr>
              <w:t>投资者关系活动类别</w:t>
            </w:r>
          </w:p>
        </w:tc>
        <w:tc>
          <w:tcPr>
            <w:tcW w:w="7381" w:type="dxa"/>
          </w:tcPr>
          <w:p>
            <w:pPr>
              <w:spacing w:line="360" w:lineRule="auto"/>
              <w:rPr>
                <w:sz w:val="24"/>
              </w:rPr>
            </w:pPr>
            <w:r>
              <w:rPr>
                <w:rFonts w:hint="eastAsia" w:ascii="宋体" w:hAnsi="宋体"/>
                <w:bCs/>
                <w:iCs/>
                <w:color w:val="000000"/>
                <w:sz w:val="24"/>
              </w:rPr>
              <w:t>□</w:t>
            </w:r>
            <w:r>
              <w:rPr>
                <w:sz w:val="24"/>
              </w:rPr>
              <w:t>特定对象调研</w:t>
            </w:r>
            <w:r>
              <w:rPr>
                <w:rFonts w:hint="eastAsia"/>
                <w:sz w:val="24"/>
              </w:rPr>
              <w:t>；</w:t>
            </w:r>
            <w:r>
              <w:rPr>
                <w:rFonts w:hint="eastAsia" w:ascii="宋体" w:hAnsi="宋体"/>
                <w:bCs/>
                <w:iCs/>
                <w:color w:val="000000"/>
                <w:sz w:val="24"/>
              </w:rPr>
              <w:t>√</w:t>
            </w:r>
            <w:r>
              <w:rPr>
                <w:sz w:val="24"/>
              </w:rPr>
              <w:t>电话会议</w:t>
            </w:r>
            <w:r>
              <w:rPr>
                <w:rFonts w:hint="eastAsia"/>
                <w:sz w:val="24"/>
              </w:rPr>
              <w:t>；</w:t>
            </w:r>
            <w:r>
              <w:rPr>
                <w:rFonts w:hint="eastAsia"/>
                <w:bCs/>
                <w:iCs/>
                <w:color w:val="000000"/>
                <w:sz w:val="24"/>
              </w:rPr>
              <w:t>□</w:t>
            </w:r>
            <w:r>
              <w:rPr>
                <w:sz w:val="24"/>
              </w:rPr>
              <w:t>媒体采访</w:t>
            </w:r>
            <w:r>
              <w:rPr>
                <w:rFonts w:hint="eastAsia"/>
                <w:sz w:val="24"/>
              </w:rPr>
              <w:t>；</w:t>
            </w:r>
            <w:r>
              <w:rPr>
                <w:rFonts w:hint="eastAsia"/>
                <w:bCs/>
                <w:iCs/>
                <w:color w:val="000000"/>
                <w:sz w:val="24"/>
              </w:rPr>
              <w:t>□</w:t>
            </w:r>
            <w:r>
              <w:rPr>
                <w:sz w:val="24"/>
              </w:rPr>
              <w:t>业绩说明会</w:t>
            </w:r>
            <w:r>
              <w:rPr>
                <w:rFonts w:hint="eastAsia"/>
                <w:sz w:val="24"/>
              </w:rPr>
              <w:t>；</w:t>
            </w:r>
          </w:p>
          <w:p>
            <w:pPr>
              <w:spacing w:line="360" w:lineRule="auto"/>
              <w:rPr>
                <w:bCs/>
                <w:iCs/>
                <w:color w:val="000000"/>
                <w:sz w:val="24"/>
              </w:rPr>
            </w:pPr>
            <w:r>
              <w:rPr>
                <w:rFonts w:hint="eastAsia"/>
                <w:bCs/>
                <w:iCs/>
                <w:color w:val="000000"/>
                <w:sz w:val="24"/>
              </w:rPr>
              <w:t>□</w:t>
            </w:r>
            <w:r>
              <w:rPr>
                <w:sz w:val="24"/>
              </w:rPr>
              <w:t>新闻发布会</w:t>
            </w:r>
            <w:r>
              <w:rPr>
                <w:rFonts w:hint="eastAsia"/>
                <w:sz w:val="24"/>
              </w:rPr>
              <w:t>；</w:t>
            </w:r>
            <w:r>
              <w:rPr>
                <w:rFonts w:hint="eastAsia"/>
                <w:bCs/>
                <w:iCs/>
                <w:color w:val="000000"/>
                <w:sz w:val="24"/>
              </w:rPr>
              <w:t>□</w:t>
            </w:r>
            <w:r>
              <w:rPr>
                <w:sz w:val="24"/>
              </w:rPr>
              <w:t>路演活动</w:t>
            </w:r>
            <w:r>
              <w:rPr>
                <w:rFonts w:hint="eastAsia"/>
                <w:sz w:val="24"/>
              </w:rPr>
              <w:t>；</w:t>
            </w:r>
            <w:r>
              <w:rPr>
                <w:rFonts w:hint="eastAsia"/>
                <w:bCs/>
                <w:iCs/>
                <w:color w:val="000000"/>
                <w:sz w:val="24"/>
              </w:rPr>
              <w:t>□</w:t>
            </w:r>
            <w:r>
              <w:rPr>
                <w:sz w:val="24"/>
              </w:rPr>
              <w:t>现场参观</w:t>
            </w:r>
            <w:r>
              <w:rPr>
                <w:rFonts w:hint="eastAsia"/>
                <w:sz w:val="24"/>
              </w:rPr>
              <w:t>；</w:t>
            </w:r>
            <w:r>
              <w:rPr>
                <w:rFonts w:hint="eastAsia"/>
                <w:bCs/>
                <w:iCs/>
                <w:color w:val="000000"/>
                <w:sz w:val="24"/>
              </w:rPr>
              <w:t>□</w:t>
            </w:r>
            <w:r>
              <w:rPr>
                <w:sz w:val="24"/>
              </w:rPr>
              <w:t>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b/>
                <w:bCs/>
                <w:iCs/>
                <w:color w:val="000000"/>
                <w:sz w:val="24"/>
              </w:rPr>
            </w:pPr>
            <w:r>
              <w:rPr>
                <w:b/>
                <w:bCs/>
                <w:iCs/>
                <w:color w:val="000000"/>
                <w:sz w:val="24"/>
              </w:rPr>
              <w:t>参与单位名称</w:t>
            </w:r>
          </w:p>
        </w:tc>
        <w:tc>
          <w:tcPr>
            <w:tcW w:w="7381" w:type="dxa"/>
          </w:tcPr>
          <w:p>
            <w:pPr>
              <w:spacing w:line="360" w:lineRule="auto"/>
              <w:rPr>
                <w:rFonts w:hint="eastAsia" w:ascii="Times New Roman" w:hAnsi="Times New Roman" w:cs="Times New Roman"/>
                <w:sz w:val="24"/>
              </w:rPr>
            </w:pPr>
            <w:r>
              <w:rPr>
                <w:rFonts w:hint="eastAsia" w:ascii="Times New Roman" w:hAnsi="Times New Roman" w:cs="Times New Roman"/>
                <w:sz w:val="24"/>
              </w:rPr>
              <w:t>韶夏资本</w:t>
            </w:r>
            <w:r>
              <w:rPr>
                <w:rFonts w:hint="eastAsia" w:cs="Times New Roman"/>
                <w:sz w:val="24"/>
                <w:lang w:eastAsia="zh-CN"/>
              </w:rPr>
              <w:t>、</w:t>
            </w:r>
            <w:r>
              <w:rPr>
                <w:rFonts w:hint="eastAsia" w:ascii="Times New Roman" w:hAnsi="Times New Roman" w:cs="Times New Roman"/>
                <w:sz w:val="24"/>
              </w:rPr>
              <w:t>国投瑞银</w:t>
            </w:r>
            <w:r>
              <w:rPr>
                <w:rFonts w:hint="eastAsia" w:cs="Times New Roman"/>
                <w:sz w:val="24"/>
                <w:lang w:eastAsia="zh-CN"/>
              </w:rPr>
              <w:t>、</w:t>
            </w:r>
            <w:r>
              <w:rPr>
                <w:rFonts w:hint="eastAsia" w:ascii="Times New Roman" w:hAnsi="Times New Roman" w:cs="Times New Roman"/>
                <w:sz w:val="24"/>
              </w:rPr>
              <w:t>玖歌投资</w:t>
            </w:r>
            <w:r>
              <w:rPr>
                <w:rFonts w:hint="eastAsia" w:cs="Times New Roman"/>
                <w:sz w:val="24"/>
                <w:lang w:eastAsia="zh-CN"/>
              </w:rPr>
              <w:t>、</w:t>
            </w:r>
            <w:r>
              <w:rPr>
                <w:rFonts w:hint="eastAsia" w:ascii="Times New Roman" w:hAnsi="Times New Roman" w:cs="Times New Roman"/>
                <w:sz w:val="24"/>
              </w:rPr>
              <w:t>华安证券</w:t>
            </w:r>
            <w:r>
              <w:rPr>
                <w:rFonts w:hint="eastAsia" w:cs="Times New Roman"/>
                <w:sz w:val="24"/>
                <w:lang w:eastAsia="zh-CN"/>
              </w:rPr>
              <w:t>、</w:t>
            </w:r>
            <w:r>
              <w:rPr>
                <w:rFonts w:hint="eastAsia" w:ascii="Times New Roman" w:hAnsi="Times New Roman" w:cs="Times New Roman"/>
                <w:sz w:val="24"/>
              </w:rPr>
              <w:t>百年保险资产管理</w:t>
            </w:r>
          </w:p>
          <w:p>
            <w:pPr>
              <w:spacing w:line="360" w:lineRule="auto"/>
              <w:rPr>
                <w:sz w:val="24"/>
              </w:rPr>
            </w:pPr>
            <w:r>
              <w:rPr>
                <w:rFonts w:hint="eastAsia" w:ascii="Times New Roman" w:hAnsi="Times New Roman" w:cs="Times New Roman"/>
                <w:sz w:val="24"/>
              </w:rPr>
              <w:t>兴业基金</w:t>
            </w:r>
            <w:r>
              <w:rPr>
                <w:rFonts w:hint="eastAsia" w:cs="Times New Roman"/>
                <w:sz w:val="24"/>
                <w:lang w:eastAsia="zh-CN"/>
              </w:rPr>
              <w:t>、</w:t>
            </w:r>
            <w:r>
              <w:rPr>
                <w:rFonts w:hint="eastAsia" w:ascii="Times New Roman" w:hAnsi="Times New Roman" w:cs="Times New Roman"/>
                <w:sz w:val="24"/>
              </w:rPr>
              <w:t>华安自营</w:t>
            </w:r>
            <w:r>
              <w:rPr>
                <w:rFonts w:hint="eastAsia" w:cs="Times New Roman"/>
                <w:sz w:val="24"/>
                <w:lang w:eastAsia="zh-CN"/>
              </w:rPr>
              <w:t>、</w:t>
            </w:r>
            <w:r>
              <w:rPr>
                <w:rFonts w:hint="eastAsia" w:ascii="Times New Roman" w:hAnsi="Times New Roman" w:cs="Times New Roman"/>
                <w:sz w:val="24"/>
              </w:rPr>
              <w:t>财信资管</w:t>
            </w:r>
            <w:r>
              <w:rPr>
                <w:rFonts w:hint="eastAsia" w:cs="Times New Roman"/>
                <w:sz w:val="24"/>
                <w:lang w:eastAsia="zh-CN"/>
              </w:rPr>
              <w:t>、</w:t>
            </w:r>
            <w:r>
              <w:rPr>
                <w:rFonts w:hint="eastAsia" w:ascii="Times New Roman" w:hAnsi="Times New Roman" w:cs="Times New Roman"/>
                <w:sz w:val="24"/>
              </w:rPr>
              <w:t>韶夏资本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b/>
                <w:bCs/>
                <w:iCs/>
                <w:color w:val="000000"/>
                <w:sz w:val="24"/>
              </w:rPr>
            </w:pPr>
            <w:r>
              <w:rPr>
                <w:b/>
                <w:bCs/>
                <w:iCs/>
                <w:color w:val="000000"/>
                <w:sz w:val="24"/>
              </w:rPr>
              <w:t>时间</w:t>
            </w:r>
          </w:p>
        </w:tc>
        <w:tc>
          <w:tcPr>
            <w:tcW w:w="7381" w:type="dxa"/>
          </w:tcPr>
          <w:p>
            <w:pPr>
              <w:spacing w:line="360" w:lineRule="auto"/>
              <w:rPr>
                <w:bCs/>
                <w:iCs/>
                <w:color w:val="000000"/>
                <w:sz w:val="24"/>
              </w:rPr>
            </w:pPr>
            <w:r>
              <w:rPr>
                <w:bCs/>
                <w:iCs/>
                <w:color w:val="000000"/>
                <w:sz w:val="24"/>
              </w:rPr>
              <w:t>20</w:t>
            </w:r>
            <w:r>
              <w:rPr>
                <w:rFonts w:hint="eastAsia"/>
                <w:bCs/>
                <w:iCs/>
                <w:color w:val="000000"/>
                <w:sz w:val="24"/>
              </w:rPr>
              <w:t>22</w:t>
            </w:r>
            <w:r>
              <w:rPr>
                <w:bCs/>
                <w:iCs/>
                <w:color w:val="000000"/>
                <w:sz w:val="24"/>
              </w:rPr>
              <w:t>年</w:t>
            </w:r>
            <w:r>
              <w:rPr>
                <w:rFonts w:hint="eastAsia"/>
                <w:bCs/>
                <w:iCs/>
                <w:color w:val="000000"/>
                <w:sz w:val="24"/>
                <w:lang w:val="en-US" w:eastAsia="zh-CN"/>
              </w:rPr>
              <w:t>6</w:t>
            </w:r>
            <w:r>
              <w:rPr>
                <w:bCs/>
                <w:iCs/>
                <w:color w:val="000000"/>
                <w:sz w:val="24"/>
              </w:rPr>
              <w:t>月</w:t>
            </w:r>
            <w:r>
              <w:rPr>
                <w:rFonts w:hint="eastAsia"/>
                <w:bCs/>
                <w:iCs/>
                <w:color w:val="000000"/>
                <w:sz w:val="24"/>
                <w:lang w:val="en-US" w:eastAsia="zh-CN"/>
              </w:rPr>
              <w:t>16</w:t>
            </w:r>
            <w:r>
              <w:rPr>
                <w:bCs/>
                <w:iCs/>
                <w:color w:val="000000"/>
                <w:sz w:val="24"/>
              </w:rPr>
              <w:t>日</w:t>
            </w:r>
            <w:r>
              <w:rPr>
                <w:rFonts w:hint="eastAsia"/>
                <w:bCs/>
                <w:iCs/>
                <w:color w:val="000000"/>
                <w:sz w:val="24"/>
              </w:rPr>
              <w:t>（星期</w:t>
            </w:r>
            <w:r>
              <w:rPr>
                <w:rFonts w:hint="eastAsia"/>
                <w:bCs/>
                <w:iCs/>
                <w:color w:val="000000"/>
                <w:sz w:val="24"/>
                <w:lang w:val="en-US" w:eastAsia="zh-CN"/>
              </w:rPr>
              <w:t>四</w:t>
            </w:r>
            <w:r>
              <w:rPr>
                <w:rFonts w:hint="eastAsia"/>
                <w:bCs/>
                <w:iCs/>
                <w:color w:val="000000"/>
                <w:sz w:val="24"/>
              </w:rPr>
              <w:t>）1</w:t>
            </w:r>
            <w:r>
              <w:rPr>
                <w:rFonts w:hint="eastAsia"/>
                <w:bCs/>
                <w:iCs/>
                <w:color w:val="000000"/>
                <w:sz w:val="24"/>
                <w:lang w:val="en-US" w:eastAsia="zh-CN"/>
              </w:rPr>
              <w:t>5</w:t>
            </w:r>
            <w:r>
              <w:rPr>
                <w:bCs/>
                <w:iCs/>
                <w:color w:val="000000"/>
                <w:sz w:val="24"/>
              </w:rPr>
              <w:t>:</w:t>
            </w:r>
            <w:r>
              <w:rPr>
                <w:rFonts w:hint="eastAsia"/>
                <w:bCs/>
                <w:iCs/>
                <w:color w:val="000000"/>
                <w:sz w:val="24"/>
                <w:lang w:val="en-US" w:eastAsia="zh-CN"/>
              </w:rPr>
              <w:t>3</w:t>
            </w:r>
            <w:r>
              <w:rPr>
                <w:bCs/>
                <w:iCs/>
                <w:color w:val="000000"/>
                <w:sz w:val="24"/>
              </w:rPr>
              <w:t>0—</w:t>
            </w:r>
            <w:r>
              <w:rPr>
                <w:rFonts w:hint="eastAsia"/>
                <w:bCs/>
                <w:iCs/>
                <w:color w:val="000000"/>
                <w:sz w:val="24"/>
              </w:rPr>
              <w:t>1</w:t>
            </w:r>
            <w:r>
              <w:rPr>
                <w:rFonts w:hint="eastAsia"/>
                <w:bCs/>
                <w:iCs/>
                <w:color w:val="000000"/>
                <w:sz w:val="24"/>
                <w:lang w:val="en-US" w:eastAsia="zh-CN"/>
              </w:rPr>
              <w:t>6</w:t>
            </w:r>
            <w:r>
              <w:rPr>
                <w:rFonts w:hint="eastAsia"/>
                <w:bCs/>
                <w:iCs/>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b/>
                <w:bCs/>
                <w:iCs/>
                <w:color w:val="000000"/>
                <w:sz w:val="24"/>
              </w:rPr>
            </w:pPr>
            <w:r>
              <w:rPr>
                <w:b/>
                <w:bCs/>
                <w:iCs/>
                <w:color w:val="000000"/>
                <w:sz w:val="24"/>
              </w:rPr>
              <w:t>地点</w:t>
            </w:r>
          </w:p>
        </w:tc>
        <w:tc>
          <w:tcPr>
            <w:tcW w:w="7381" w:type="dxa"/>
          </w:tcPr>
          <w:p>
            <w:pPr>
              <w:spacing w:line="360" w:lineRule="auto"/>
              <w:rPr>
                <w:bCs/>
                <w:iCs/>
                <w:color w:val="000000"/>
                <w:sz w:val="24"/>
              </w:rPr>
            </w:pPr>
            <w:r>
              <w:rPr>
                <w:rFonts w:hint="eastAsia"/>
                <w:bCs/>
                <w:iCs/>
                <w:color w:val="000000"/>
                <w:sz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b/>
                <w:bCs/>
                <w:iCs/>
                <w:color w:val="000000"/>
                <w:sz w:val="24"/>
              </w:rPr>
            </w:pPr>
            <w:r>
              <w:rPr>
                <w:b/>
                <w:bCs/>
                <w:iCs/>
                <w:color w:val="000000"/>
                <w:sz w:val="24"/>
              </w:rPr>
              <w:t>上市公司接待人员姓名</w:t>
            </w:r>
          </w:p>
        </w:tc>
        <w:tc>
          <w:tcPr>
            <w:tcW w:w="7381" w:type="dxa"/>
            <w:vAlign w:val="center"/>
          </w:tcPr>
          <w:p>
            <w:pPr>
              <w:spacing w:line="360" w:lineRule="auto"/>
              <w:rPr>
                <w:rFonts w:hint="eastAsia" w:eastAsia="宋体"/>
                <w:bCs/>
                <w:iCs/>
                <w:color w:val="000000"/>
                <w:sz w:val="24"/>
                <w:lang w:val="en-US" w:eastAsia="zh-CN"/>
              </w:rPr>
            </w:pPr>
            <w:r>
              <w:rPr>
                <w:rFonts w:hint="eastAsia"/>
                <w:bCs/>
                <w:iCs/>
                <w:color w:val="000000"/>
                <w:sz w:val="24"/>
              </w:rPr>
              <w:t>汤琦（</w:t>
            </w:r>
            <w:r>
              <w:rPr>
                <w:bCs/>
                <w:iCs/>
                <w:color w:val="000000"/>
                <w:sz w:val="24"/>
              </w:rPr>
              <w:t>董事会秘书</w:t>
            </w:r>
            <w:r>
              <w:rPr>
                <w:rFonts w:hint="eastAsia"/>
                <w:bCs/>
                <w:iCs/>
                <w:color w:val="000000"/>
                <w:sz w:val="24"/>
              </w:rPr>
              <w:t>）、郑灿武（财务负责人）</w:t>
            </w:r>
            <w:r>
              <w:rPr>
                <w:rFonts w:hint="eastAsia"/>
                <w:bCs/>
                <w:iCs/>
                <w:color w:val="000000"/>
                <w:sz w:val="24"/>
                <w:lang w:eastAsia="zh-CN"/>
              </w:rPr>
              <w:t>、</w:t>
            </w:r>
            <w:r>
              <w:rPr>
                <w:rFonts w:hint="eastAsia"/>
                <w:bCs/>
                <w:iCs/>
                <w:color w:val="000000"/>
                <w:sz w:val="24"/>
                <w:lang w:val="en-US" w:eastAsia="zh-CN"/>
              </w:rPr>
              <w:t>张肖（董事办副主任）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668" w:type="dxa"/>
            <w:vAlign w:val="center"/>
          </w:tcPr>
          <w:p>
            <w:pPr>
              <w:jc w:val="center"/>
              <w:rPr>
                <w:b/>
                <w:bCs/>
                <w:iCs/>
                <w:color w:val="000000"/>
                <w:sz w:val="24"/>
              </w:rPr>
            </w:pPr>
            <w:bookmarkStart w:id="0" w:name="_GoBack"/>
            <w:r>
              <w:rPr>
                <w:rFonts w:hint="eastAsia"/>
                <w:b/>
                <w:bCs/>
                <w:iCs/>
                <w:color w:val="000000"/>
                <w:sz w:val="24"/>
              </w:rPr>
              <w:t>活动主要交流内容</w:t>
            </w:r>
          </w:p>
        </w:tc>
        <w:tc>
          <w:tcPr>
            <w:tcW w:w="7381" w:type="dxa"/>
          </w:tcPr>
          <w:p>
            <w:pPr>
              <w:spacing w:line="580" w:lineRule="exact"/>
              <w:rPr>
                <w:b/>
                <w:bCs/>
                <w:sz w:val="24"/>
              </w:rPr>
            </w:pPr>
            <w:r>
              <w:rPr>
                <w:rFonts w:hint="eastAsia"/>
                <w:b/>
                <w:bCs/>
                <w:sz w:val="24"/>
              </w:rPr>
              <w:t>1.</w:t>
            </w:r>
            <w:r>
              <w:rPr>
                <w:rFonts w:hint="eastAsia"/>
                <w:b/>
                <w:bCs/>
                <w:sz w:val="24"/>
                <w:lang w:val="en-US" w:eastAsia="zh-CN"/>
              </w:rPr>
              <w:t>请问公司未来几年的产量指引如何</w:t>
            </w:r>
            <w:r>
              <w:rPr>
                <w:rFonts w:hint="eastAsia"/>
                <w:b/>
                <w:bCs/>
                <w:sz w:val="24"/>
              </w:rPr>
              <w:t>？</w:t>
            </w:r>
          </w:p>
          <w:p>
            <w:pPr>
              <w:spacing w:line="580" w:lineRule="exact"/>
              <w:rPr>
                <w:rFonts w:hint="eastAsia"/>
                <w:sz w:val="24"/>
                <w:lang w:val="en-US" w:eastAsia="zh-CN"/>
              </w:rPr>
            </w:pPr>
            <w:r>
              <w:rPr>
                <w:rFonts w:hint="eastAsia"/>
                <w:sz w:val="24"/>
              </w:rPr>
              <w:t>答：</w:t>
            </w:r>
            <w:r>
              <w:rPr>
                <w:rFonts w:hint="eastAsia"/>
                <w:sz w:val="24"/>
                <w:lang w:val="en-US" w:eastAsia="zh-CN"/>
              </w:rPr>
              <w:t>根据公司披露的相关公告，2021年公司实际产量为24.781吨，2022年计划产量为39.267吨。目前生产计划基于当前的经济形势、市场情况及公司经营形势制定，公司有可能根据未来的发展情况适时做出相应调整。从通常情况来判断，如不发生特殊情形，公司2023年的矿产金产量会在2022年的基础上有所增加。</w:t>
            </w:r>
          </w:p>
          <w:p>
            <w:pPr>
              <w:spacing w:line="580" w:lineRule="exact"/>
              <w:rPr>
                <w:b/>
                <w:bCs/>
                <w:sz w:val="24"/>
              </w:rPr>
            </w:pPr>
            <w:r>
              <w:rPr>
                <w:rFonts w:hint="eastAsia"/>
                <w:b/>
                <w:bCs/>
                <w:sz w:val="24"/>
              </w:rPr>
              <w:t>2.</w:t>
            </w:r>
            <w:r>
              <w:rPr>
                <w:rFonts w:hint="eastAsia"/>
                <w:b/>
                <w:bCs/>
                <w:sz w:val="24"/>
                <w:lang w:val="en-US" w:eastAsia="zh-CN"/>
              </w:rPr>
              <w:t>集团公司资产注入情况如何</w:t>
            </w:r>
            <w:r>
              <w:rPr>
                <w:rFonts w:hint="eastAsia"/>
                <w:b/>
                <w:bCs/>
                <w:sz w:val="24"/>
              </w:rPr>
              <w:t>？</w:t>
            </w:r>
          </w:p>
          <w:p>
            <w:pPr>
              <w:spacing w:line="580" w:lineRule="exact"/>
              <w:rPr>
                <w:rFonts w:hint="eastAsia"/>
                <w:sz w:val="24"/>
                <w:lang w:val="en-US" w:eastAsia="zh-CN"/>
              </w:rPr>
            </w:pPr>
            <w:r>
              <w:rPr>
                <w:rFonts w:hint="eastAsia"/>
                <w:sz w:val="24"/>
                <w:lang w:val="en-US" w:eastAsia="zh-CN"/>
              </w:rPr>
              <w:t>答：公司每年披露年报和半年报的时候，也会同步披露控股股东山东黄金集团有限公司黄金资源的具体情况，投资者可以查阅具体内容。据了解，山东黄金集团正在对现有资产进行梳理分类，力争尽快将目前基本符合条件的资产注入上市公司，有些矿山因矿权、房屋、土地等涉及权证问题，目前尚不满足注入上市公司的要求，待整改完善后将逐步注入上市公司。</w:t>
            </w:r>
          </w:p>
          <w:p>
            <w:pPr>
              <w:spacing w:line="580" w:lineRule="exact"/>
              <w:rPr>
                <w:b/>
                <w:bCs/>
                <w:sz w:val="24"/>
              </w:rPr>
            </w:pPr>
            <w:r>
              <w:rPr>
                <w:rFonts w:hint="eastAsia"/>
                <w:b/>
                <w:bCs/>
                <w:sz w:val="24"/>
              </w:rPr>
              <w:t>3.</w:t>
            </w:r>
            <w:r>
              <w:rPr>
                <w:rFonts w:hint="eastAsia"/>
                <w:b/>
                <w:bCs/>
                <w:sz w:val="24"/>
                <w:lang w:val="en-US" w:eastAsia="zh-CN"/>
              </w:rPr>
              <w:t>公司矿产金成本如何</w:t>
            </w:r>
            <w:r>
              <w:rPr>
                <w:rFonts w:hint="eastAsia"/>
                <w:b/>
                <w:bCs/>
                <w:sz w:val="24"/>
              </w:rPr>
              <w:t>？</w:t>
            </w:r>
          </w:p>
          <w:p>
            <w:pPr>
              <w:spacing w:line="580" w:lineRule="exact"/>
              <w:rPr>
                <w:rFonts w:hint="eastAsia"/>
                <w:sz w:val="24"/>
                <w:lang w:val="en-US" w:eastAsia="zh-CN"/>
              </w:rPr>
            </w:pPr>
            <w:r>
              <w:rPr>
                <w:rFonts w:hint="eastAsia"/>
                <w:sz w:val="24"/>
                <w:lang w:val="en-US" w:eastAsia="zh-CN"/>
              </w:rPr>
              <w:t>答：公司克金成本指矿山企业生产每生产一克黄金所发生的全部成本费用，即每生产一克黄金所承担的生产成本、期间费用、减值损失等。公司矿产金成本目前随着2021年下半年复工复产的恢复，也已经恢复到正常年份的同期水平。公司成立了降本增效专班，多措并举压降成本。一是规范采购管理，推进大宗物资、工程建设的集中采购工作机制，充分发挥集采协同效益，降低采购成本；二是充分发挥区域整合提能扩产优势，进一步加强生产组织管理，持续优化矿山“五率”，通过矿产品产量的增长促进单位成本降低；三是注重投入产出率，加强投资管理，严格投资项目的可行性分析和论证，关注投资项目的增量现金流和投资回报水平，保证投资项目的安全性和收益性。</w:t>
            </w:r>
          </w:p>
          <w:p>
            <w:pPr>
              <w:spacing w:line="580" w:lineRule="exact"/>
              <w:rPr>
                <w:b/>
                <w:bCs/>
                <w:sz w:val="24"/>
              </w:rPr>
            </w:pPr>
            <w:r>
              <w:rPr>
                <w:rFonts w:hint="eastAsia"/>
                <w:b/>
                <w:bCs/>
                <w:sz w:val="24"/>
              </w:rPr>
              <w:t>4.</w:t>
            </w:r>
            <w:r>
              <w:rPr>
                <w:rFonts w:hint="eastAsia"/>
                <w:b/>
                <w:bCs/>
                <w:sz w:val="24"/>
                <w:lang w:val="en-US" w:eastAsia="zh-CN"/>
              </w:rPr>
              <w:t>请问公司省内黄金资源整合进度如何</w:t>
            </w:r>
            <w:r>
              <w:rPr>
                <w:rFonts w:hint="eastAsia"/>
                <w:b/>
                <w:bCs/>
                <w:sz w:val="24"/>
              </w:rPr>
              <w:t>？</w:t>
            </w:r>
          </w:p>
          <w:p>
            <w:pPr>
              <w:spacing w:line="580" w:lineRule="exact"/>
              <w:rPr>
                <w:rFonts w:hint="eastAsia" w:asciiTheme="minorEastAsia" w:hAnsiTheme="minorEastAsia" w:eastAsiaTheme="minorEastAsia" w:cstheme="minorEastAsia"/>
                <w:sz w:val="24"/>
                <w:lang w:val="en-US" w:eastAsia="zh-CN"/>
              </w:rPr>
            </w:pPr>
            <w:r>
              <w:rPr>
                <w:rFonts w:hint="eastAsia"/>
                <w:sz w:val="24"/>
                <w:lang w:val="en-US" w:eastAsia="zh-CN"/>
              </w:rPr>
              <w:t>答：</w:t>
            </w:r>
            <w:r>
              <w:rPr>
                <w:rFonts w:hint="eastAsia" w:asciiTheme="minorEastAsia" w:hAnsiTheme="minorEastAsia" w:eastAsiaTheme="minorEastAsia" w:cstheme="minorEastAsia"/>
                <w:sz w:val="24"/>
                <w:lang w:val="en-US" w:eastAsia="zh-CN"/>
              </w:rPr>
              <w:t>根据山东省内相关政策文件，省内各地区就金矿资源整合工作正在抓紧推进中。山东黄金参与了部分被政府列入整合范围内矿权的整合；另外还有部分矿权虽未列入整合范围、但是矿权人有意向寻找合作单位。2021年公司现金收购了控股股东山东黄金集团有限公司位于新城-焦家成矿带上的相关黄金矿权资产，这只是第一步，未来我们将继续贯彻执行‘一个主体’原则，推动区域性资源的进一步整合。</w:t>
            </w:r>
          </w:p>
          <w:p>
            <w:pPr>
              <w:numPr>
                <w:ilvl w:val="0"/>
                <w:numId w:val="0"/>
              </w:numPr>
              <w:spacing w:line="580" w:lineRule="exact"/>
              <w:rPr>
                <w:rFonts w:ascii="宋体" w:hAnsi="宋体"/>
              </w:rPr>
            </w:pPr>
          </w:p>
        </w:tc>
      </w:tr>
      <w:bookmarkEnd w:id="0"/>
    </w:tbl>
    <w:p>
      <w:pPr>
        <w:ind w:firstLine="480" w:firstLineChars="200"/>
        <w:rPr>
          <w:rFonts w:ascii="黑体" w:hAnsi="宋体" w:eastAsia="黑体"/>
          <w:color w:val="FF0000"/>
          <w:sz w:val="24"/>
        </w:rPr>
      </w:pPr>
    </w:p>
    <w:sectPr>
      <w:footerReference r:id="rId3" w:type="default"/>
      <w:pgSz w:w="11906" w:h="16838"/>
      <w:pgMar w:top="1440" w:right="1558" w:bottom="127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2594"/>
    </w:sdtPr>
    <w:sdtContent>
      <w:p>
        <w:pPr>
          <w:pStyle w:val="9"/>
          <w:jc w:val="center"/>
        </w:pPr>
        <w:r>
          <w:fldChar w:fldCharType="begin"/>
        </w:r>
        <w:r>
          <w:instrText xml:space="preserve"> PAGE   \* MERGEFORMAT </w:instrText>
        </w:r>
        <w:r>
          <w:fldChar w:fldCharType="separate"/>
        </w:r>
        <w:r>
          <w:rPr>
            <w:lang w:val="zh-CN"/>
          </w:rPr>
          <w:t>5</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240"/>
    <w:rsid w:val="00051DE4"/>
    <w:rsid w:val="00060B3C"/>
    <w:rsid w:val="00072054"/>
    <w:rsid w:val="00077557"/>
    <w:rsid w:val="0008604F"/>
    <w:rsid w:val="000933B2"/>
    <w:rsid w:val="000B6C5A"/>
    <w:rsid w:val="000D19B1"/>
    <w:rsid w:val="001658A3"/>
    <w:rsid w:val="00172A27"/>
    <w:rsid w:val="00175C9E"/>
    <w:rsid w:val="0018060C"/>
    <w:rsid w:val="001851E1"/>
    <w:rsid w:val="001A60A9"/>
    <w:rsid w:val="001B263C"/>
    <w:rsid w:val="001C4C34"/>
    <w:rsid w:val="001E3709"/>
    <w:rsid w:val="001F038A"/>
    <w:rsid w:val="002142A9"/>
    <w:rsid w:val="002152AC"/>
    <w:rsid w:val="00237983"/>
    <w:rsid w:val="00243C74"/>
    <w:rsid w:val="00272C24"/>
    <w:rsid w:val="002A2A7D"/>
    <w:rsid w:val="002B3BEE"/>
    <w:rsid w:val="002B72D4"/>
    <w:rsid w:val="002C7114"/>
    <w:rsid w:val="002C7564"/>
    <w:rsid w:val="002D76DE"/>
    <w:rsid w:val="00304BAA"/>
    <w:rsid w:val="00364E7C"/>
    <w:rsid w:val="00372189"/>
    <w:rsid w:val="003833CE"/>
    <w:rsid w:val="0039462F"/>
    <w:rsid w:val="003B7DE7"/>
    <w:rsid w:val="003E34D4"/>
    <w:rsid w:val="003E4089"/>
    <w:rsid w:val="004055DF"/>
    <w:rsid w:val="00426864"/>
    <w:rsid w:val="004329CA"/>
    <w:rsid w:val="00456E38"/>
    <w:rsid w:val="00462249"/>
    <w:rsid w:val="00470A49"/>
    <w:rsid w:val="004A2605"/>
    <w:rsid w:val="004A3AF8"/>
    <w:rsid w:val="004A6FDD"/>
    <w:rsid w:val="004A7303"/>
    <w:rsid w:val="0050531E"/>
    <w:rsid w:val="00510B0F"/>
    <w:rsid w:val="00523D3D"/>
    <w:rsid w:val="005403CD"/>
    <w:rsid w:val="005704B1"/>
    <w:rsid w:val="005920C8"/>
    <w:rsid w:val="005A7F59"/>
    <w:rsid w:val="005D5ADF"/>
    <w:rsid w:val="005F1E4E"/>
    <w:rsid w:val="006040D6"/>
    <w:rsid w:val="00610425"/>
    <w:rsid w:val="00614987"/>
    <w:rsid w:val="00652EE2"/>
    <w:rsid w:val="00681E05"/>
    <w:rsid w:val="0068503B"/>
    <w:rsid w:val="00692A7E"/>
    <w:rsid w:val="00695B6B"/>
    <w:rsid w:val="006D1746"/>
    <w:rsid w:val="006E0C83"/>
    <w:rsid w:val="007067AA"/>
    <w:rsid w:val="007162B8"/>
    <w:rsid w:val="007310C2"/>
    <w:rsid w:val="007D5948"/>
    <w:rsid w:val="007F500C"/>
    <w:rsid w:val="008169CD"/>
    <w:rsid w:val="00823BA8"/>
    <w:rsid w:val="00841E68"/>
    <w:rsid w:val="00853C0D"/>
    <w:rsid w:val="00896E77"/>
    <w:rsid w:val="008A473F"/>
    <w:rsid w:val="0093132C"/>
    <w:rsid w:val="009332E2"/>
    <w:rsid w:val="0094547B"/>
    <w:rsid w:val="009463D3"/>
    <w:rsid w:val="00975DE8"/>
    <w:rsid w:val="009D5C9F"/>
    <w:rsid w:val="009E1C66"/>
    <w:rsid w:val="00A058DB"/>
    <w:rsid w:val="00A25996"/>
    <w:rsid w:val="00A60F75"/>
    <w:rsid w:val="00A760DE"/>
    <w:rsid w:val="00A95864"/>
    <w:rsid w:val="00AB4E20"/>
    <w:rsid w:val="00AB6324"/>
    <w:rsid w:val="00AD4A39"/>
    <w:rsid w:val="00B01357"/>
    <w:rsid w:val="00B31B83"/>
    <w:rsid w:val="00B350F8"/>
    <w:rsid w:val="00B51A96"/>
    <w:rsid w:val="00BB42EB"/>
    <w:rsid w:val="00BF7E11"/>
    <w:rsid w:val="00C3796A"/>
    <w:rsid w:val="00C54B21"/>
    <w:rsid w:val="00C561EA"/>
    <w:rsid w:val="00C93954"/>
    <w:rsid w:val="00CB5DF0"/>
    <w:rsid w:val="00CC18B8"/>
    <w:rsid w:val="00CC1DA6"/>
    <w:rsid w:val="00CF74C4"/>
    <w:rsid w:val="00D62778"/>
    <w:rsid w:val="00DA1980"/>
    <w:rsid w:val="00DC233F"/>
    <w:rsid w:val="00E077BC"/>
    <w:rsid w:val="00E8478B"/>
    <w:rsid w:val="00EA70D0"/>
    <w:rsid w:val="00EB1B61"/>
    <w:rsid w:val="00F4342C"/>
    <w:rsid w:val="00F45181"/>
    <w:rsid w:val="00F659D0"/>
    <w:rsid w:val="00F81557"/>
    <w:rsid w:val="00F87413"/>
    <w:rsid w:val="00FC6AFA"/>
    <w:rsid w:val="00FD3F5C"/>
    <w:rsid w:val="00FE0BCE"/>
    <w:rsid w:val="00FE7105"/>
    <w:rsid w:val="025E0089"/>
    <w:rsid w:val="050B2FD3"/>
    <w:rsid w:val="072771F5"/>
    <w:rsid w:val="13A12C42"/>
    <w:rsid w:val="1B155FFD"/>
    <w:rsid w:val="1D1744C9"/>
    <w:rsid w:val="1F061BC7"/>
    <w:rsid w:val="23102595"/>
    <w:rsid w:val="25A62628"/>
    <w:rsid w:val="26946FFE"/>
    <w:rsid w:val="282F4B25"/>
    <w:rsid w:val="29E22543"/>
    <w:rsid w:val="2A7F3E6C"/>
    <w:rsid w:val="33663025"/>
    <w:rsid w:val="35950F97"/>
    <w:rsid w:val="35F4E879"/>
    <w:rsid w:val="36985520"/>
    <w:rsid w:val="37A220C0"/>
    <w:rsid w:val="3B9FB0B6"/>
    <w:rsid w:val="3EDB1EAC"/>
    <w:rsid w:val="3F6B5F18"/>
    <w:rsid w:val="456065F8"/>
    <w:rsid w:val="48AD5D82"/>
    <w:rsid w:val="48E9042E"/>
    <w:rsid w:val="4B7817E0"/>
    <w:rsid w:val="4F13254C"/>
    <w:rsid w:val="52EF36B3"/>
    <w:rsid w:val="55933D75"/>
    <w:rsid w:val="57584A56"/>
    <w:rsid w:val="5BC4281C"/>
    <w:rsid w:val="611F2767"/>
    <w:rsid w:val="668734C3"/>
    <w:rsid w:val="6D5E317C"/>
    <w:rsid w:val="77DB77B3"/>
    <w:rsid w:val="7B0D6371"/>
    <w:rsid w:val="7B457009"/>
    <w:rsid w:val="7BEF4D3F"/>
    <w:rsid w:val="7E1A2770"/>
    <w:rsid w:val="7E6B59F3"/>
    <w:rsid w:val="9D7B3732"/>
    <w:rsid w:val="FEBF5EF8"/>
    <w:rsid w:val="FF7797C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qFormat="1" w:unhideWhenUsed="0" w:uiPriority="0" w:semiHidden="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580" w:lineRule="exact"/>
      <w:outlineLvl w:val="1"/>
    </w:pPr>
    <w:rPr>
      <w:rFonts w:ascii="Arial" w:hAnsi="Arial" w:eastAsia="黑体"/>
      <w:sz w:val="28"/>
    </w:rPr>
  </w:style>
  <w:style w:type="paragraph" w:styleId="4">
    <w:name w:val="heading 3"/>
    <w:basedOn w:val="1"/>
    <w:next w:val="1"/>
    <w:unhideWhenUsed/>
    <w:qFormat/>
    <w:uiPriority w:val="9"/>
    <w:pPr>
      <w:keepNext/>
      <w:keepLines/>
      <w:spacing w:before="260" w:after="260" w:line="580" w:lineRule="exact"/>
      <w:outlineLvl w:val="2"/>
    </w:pPr>
    <w:rPr>
      <w:rFonts w:eastAsia="楷体_GB2312"/>
      <w:b/>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5">
    <w:name w:val="annotation subject"/>
    <w:basedOn w:val="6"/>
    <w:next w:val="6"/>
    <w:link w:val="22"/>
    <w:semiHidden/>
    <w:unhideWhenUsed/>
    <w:qFormat/>
    <w:uiPriority w:val="0"/>
    <w:rPr>
      <w:b/>
      <w:bCs/>
    </w:rPr>
  </w:style>
  <w:style w:type="paragraph" w:styleId="6">
    <w:name w:val="annotation text"/>
    <w:basedOn w:val="1"/>
    <w:link w:val="21"/>
    <w:unhideWhenUsed/>
    <w:qFormat/>
    <w:uiPriority w:val="0"/>
    <w:pPr>
      <w:jc w:val="left"/>
    </w:pPr>
  </w:style>
  <w:style w:type="paragraph" w:styleId="7">
    <w:name w:val="Plain Text"/>
    <w:basedOn w:val="1"/>
    <w:link w:val="18"/>
    <w:unhideWhenUsed/>
    <w:qFormat/>
    <w:uiPriority w:val="99"/>
    <w:pPr>
      <w:jc w:val="left"/>
    </w:pPr>
    <w:rPr>
      <w:rFonts w:ascii="Calibri" w:hAnsi="Courier New" w:cs="Courier New"/>
      <w:szCs w:val="21"/>
    </w:rPr>
  </w:style>
  <w:style w:type="paragraph" w:styleId="8">
    <w:name w:val="Balloon Text"/>
    <w:basedOn w:val="1"/>
    <w:link w:val="19"/>
    <w:unhideWhenUsed/>
    <w:qFormat/>
    <w:uiPriority w:val="0"/>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Calibri" w:hAnsi="Calibr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1">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3">
    <w:name w:val="annotation reference"/>
    <w:unhideWhenUsed/>
    <w:qFormat/>
    <w:uiPriority w:val="0"/>
    <w:rPr>
      <w:sz w:val="21"/>
      <w:szCs w:val="21"/>
    </w:rPr>
  </w:style>
  <w:style w:type="paragraph" w:customStyle="1" w:styleId="15">
    <w:name w:val="列出段落1"/>
    <w:basedOn w:val="1"/>
    <w:qFormat/>
    <w:uiPriority w:val="34"/>
    <w:pPr>
      <w:ind w:firstLine="420" w:firstLineChars="200"/>
    </w:pPr>
  </w:style>
  <w:style w:type="character" w:customStyle="1" w:styleId="16">
    <w:name w:val="页眉 字符"/>
    <w:link w:val="10"/>
    <w:qFormat/>
    <w:uiPriority w:val="99"/>
    <w:rPr>
      <w:sz w:val="18"/>
      <w:szCs w:val="18"/>
    </w:rPr>
  </w:style>
  <w:style w:type="character" w:customStyle="1" w:styleId="17">
    <w:name w:val="页脚 字符"/>
    <w:link w:val="9"/>
    <w:qFormat/>
    <w:uiPriority w:val="99"/>
    <w:rPr>
      <w:sz w:val="18"/>
      <w:szCs w:val="18"/>
    </w:rPr>
  </w:style>
  <w:style w:type="character" w:customStyle="1" w:styleId="18">
    <w:name w:val="纯文本 字符"/>
    <w:link w:val="7"/>
    <w:qFormat/>
    <w:uiPriority w:val="99"/>
    <w:rPr>
      <w:rFonts w:ascii="Calibri" w:hAnsi="Courier New" w:eastAsia="宋体" w:cs="Courier New"/>
      <w:szCs w:val="21"/>
    </w:rPr>
  </w:style>
  <w:style w:type="character" w:customStyle="1" w:styleId="19">
    <w:name w:val="批注框文本 字符"/>
    <w:link w:val="8"/>
    <w:semiHidden/>
    <w:qFormat/>
    <w:uiPriority w:val="0"/>
    <w:rPr>
      <w:kern w:val="2"/>
      <w:sz w:val="18"/>
      <w:szCs w:val="18"/>
    </w:rPr>
  </w:style>
  <w:style w:type="paragraph" w:styleId="20">
    <w:name w:val="List Paragraph"/>
    <w:basedOn w:val="1"/>
    <w:qFormat/>
    <w:uiPriority w:val="34"/>
    <w:pPr>
      <w:ind w:firstLine="420" w:firstLineChars="200"/>
      <w:jc w:val="left"/>
    </w:pPr>
    <w:rPr>
      <w:rFonts w:ascii="Courier New" w:hAnsi="Courier New" w:cs="Courier New"/>
      <w:color w:val="000000"/>
      <w:kern w:val="0"/>
      <w:sz w:val="24"/>
      <w:lang w:val="zh-TW" w:eastAsia="zh-TW"/>
    </w:rPr>
  </w:style>
  <w:style w:type="character" w:customStyle="1" w:styleId="21">
    <w:name w:val="批注文字 字符"/>
    <w:basedOn w:val="12"/>
    <w:link w:val="6"/>
    <w:qFormat/>
    <w:uiPriority w:val="0"/>
    <w:rPr>
      <w:kern w:val="2"/>
      <w:sz w:val="21"/>
      <w:szCs w:val="24"/>
    </w:rPr>
  </w:style>
  <w:style w:type="character" w:customStyle="1" w:styleId="22">
    <w:name w:val="批注主题 字符"/>
    <w:basedOn w:val="21"/>
    <w:link w:val="5"/>
    <w:semiHidden/>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311</Words>
  <Characters>1774</Characters>
  <Lines>14</Lines>
  <Paragraphs>4</Paragraphs>
  <TotalTime>3</TotalTime>
  <ScaleCrop>false</ScaleCrop>
  <LinksUpToDate>false</LinksUpToDate>
  <CharactersWithSpaces>2081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2022-04-08T09:03:00Z</dcterms:created>
  <dc:creator>杜彦英</dc:creator>
  <cp:lastModifiedBy>石保栋</cp:lastModifiedBy>
  <cp:lastPrinted>2015-11-05T06:12:00Z</cp:lastPrinted>
  <dcterms:modified xsi:type="dcterms:W3CDTF">2022-06-22T06:20:47Z</dcterms:modified>
  <dc:title>证券代码：300369                                    证券简称：绿盟科技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