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bCs/>
          <w:iCs/>
          <w:color w:val="000000"/>
          <w:sz w:val="24"/>
        </w:rPr>
      </w:pPr>
      <w:r>
        <w:rPr>
          <w:bCs/>
          <w:iCs/>
          <w:color w:val="000000"/>
          <w:sz w:val="24"/>
        </w:rPr>
        <w:t>证券代码：</w:t>
      </w:r>
      <w:r>
        <w:rPr>
          <w:rFonts w:hint="eastAsia"/>
          <w:bCs/>
          <w:iCs/>
          <w:color w:val="000000"/>
          <w:sz w:val="24"/>
        </w:rPr>
        <w:t>600547</w:t>
      </w:r>
      <w:r>
        <w:rPr>
          <w:bCs/>
          <w:iCs/>
          <w:color w:val="000000"/>
          <w:sz w:val="24"/>
        </w:rPr>
        <w:t xml:space="preserve">                                    证券简称：</w:t>
      </w:r>
      <w:r>
        <w:rPr>
          <w:rFonts w:hint="eastAsia"/>
          <w:bCs/>
          <w:iCs/>
          <w:color w:val="000000"/>
          <w:sz w:val="24"/>
        </w:rPr>
        <w:t>山东黄金</w:t>
      </w:r>
    </w:p>
    <w:p>
      <w:pPr>
        <w:spacing w:before="156" w:beforeLines="50" w:after="156" w:afterLines="50" w:line="400" w:lineRule="exact"/>
        <w:jc w:val="center"/>
        <w:rPr>
          <w:b/>
          <w:bCs/>
          <w:iCs/>
          <w:color w:val="000000"/>
          <w:sz w:val="30"/>
          <w:szCs w:val="30"/>
        </w:rPr>
      </w:pPr>
      <w:r>
        <w:rPr>
          <w:rFonts w:hint="eastAsia"/>
          <w:b/>
          <w:bCs/>
          <w:iCs/>
          <w:color w:val="000000"/>
          <w:sz w:val="30"/>
          <w:szCs w:val="30"/>
        </w:rPr>
        <w:t>山东黄金矿业股份有限公司</w:t>
      </w:r>
    </w:p>
    <w:p>
      <w:pPr>
        <w:spacing w:before="156" w:beforeLines="50" w:after="156" w:afterLines="50" w:line="400" w:lineRule="exact"/>
        <w:jc w:val="center"/>
        <w:rPr>
          <w:b/>
          <w:bCs/>
          <w:iCs/>
          <w:color w:val="000000"/>
          <w:sz w:val="30"/>
          <w:szCs w:val="30"/>
        </w:rPr>
      </w:pPr>
      <w:r>
        <w:rPr>
          <w:b/>
          <w:bCs/>
          <w:iCs/>
          <w:color w:val="000000"/>
          <w:sz w:val="30"/>
          <w:szCs w:val="30"/>
        </w:rPr>
        <w:t>投资者关系活动记录表</w:t>
      </w:r>
    </w:p>
    <w:p>
      <w:pPr>
        <w:spacing w:line="400" w:lineRule="exact"/>
        <w:ind w:firstLine="6840" w:firstLineChars="2850"/>
        <w:rPr>
          <w:bCs/>
          <w:iCs/>
          <w:color w:val="000000"/>
          <w:sz w:val="24"/>
        </w:rPr>
      </w:pPr>
    </w:p>
    <w:tbl>
      <w:tblPr>
        <w:tblStyle w:val="14"/>
        <w:tblW w:w="90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投资者关系活动类别</w:t>
            </w:r>
          </w:p>
        </w:tc>
        <w:tc>
          <w:tcPr>
            <w:tcW w:w="7381" w:type="dxa"/>
          </w:tcPr>
          <w:p>
            <w:pPr>
              <w:spacing w:line="360" w:lineRule="auto"/>
              <w:rPr>
                <w:sz w:val="24"/>
              </w:rPr>
            </w:pPr>
            <w:r>
              <w:rPr>
                <w:rFonts w:hint="eastAsia" w:ascii="宋体" w:hAnsi="宋体"/>
                <w:bCs/>
                <w:iCs/>
                <w:color w:val="000000"/>
                <w:sz w:val="24"/>
              </w:rPr>
              <w:t>□</w:t>
            </w:r>
            <w:r>
              <w:rPr>
                <w:sz w:val="24"/>
              </w:rPr>
              <w:t>特定对象调研</w:t>
            </w:r>
            <w:r>
              <w:rPr>
                <w:rFonts w:hint="eastAsia"/>
                <w:sz w:val="24"/>
              </w:rPr>
              <w:t>；</w:t>
            </w:r>
            <w:r>
              <w:rPr>
                <w:rFonts w:hint="eastAsia" w:ascii="宋体" w:hAnsi="宋体"/>
                <w:bCs/>
                <w:iCs/>
                <w:color w:val="000000"/>
                <w:sz w:val="24"/>
              </w:rPr>
              <w:t>√</w:t>
            </w:r>
            <w:r>
              <w:rPr>
                <w:sz w:val="24"/>
              </w:rPr>
              <w:t>电话会议</w:t>
            </w:r>
            <w:r>
              <w:rPr>
                <w:rFonts w:hint="eastAsia"/>
                <w:sz w:val="24"/>
              </w:rPr>
              <w:t>；</w:t>
            </w:r>
            <w:r>
              <w:rPr>
                <w:rFonts w:hint="eastAsia"/>
                <w:bCs/>
                <w:iCs/>
                <w:color w:val="000000"/>
                <w:sz w:val="24"/>
              </w:rPr>
              <w:t>□</w:t>
            </w:r>
            <w:r>
              <w:rPr>
                <w:sz w:val="24"/>
              </w:rPr>
              <w:t>媒体采访</w:t>
            </w:r>
            <w:r>
              <w:rPr>
                <w:rFonts w:hint="eastAsia"/>
                <w:sz w:val="24"/>
              </w:rPr>
              <w:t>；</w:t>
            </w:r>
            <w:r>
              <w:rPr>
                <w:rFonts w:hint="eastAsia"/>
                <w:bCs/>
                <w:iCs/>
                <w:color w:val="000000"/>
                <w:sz w:val="24"/>
              </w:rPr>
              <w:t>□</w:t>
            </w:r>
            <w:r>
              <w:rPr>
                <w:sz w:val="24"/>
              </w:rPr>
              <w:t>业绩说明会</w:t>
            </w:r>
            <w:r>
              <w:rPr>
                <w:rFonts w:hint="eastAsia"/>
                <w:sz w:val="24"/>
              </w:rPr>
              <w:t>；</w:t>
            </w:r>
          </w:p>
          <w:p>
            <w:pPr>
              <w:spacing w:line="360" w:lineRule="auto"/>
              <w:rPr>
                <w:bCs/>
                <w:iCs/>
                <w:color w:val="000000"/>
                <w:sz w:val="24"/>
              </w:rPr>
            </w:pPr>
            <w:r>
              <w:rPr>
                <w:rFonts w:hint="eastAsia"/>
                <w:bCs/>
                <w:iCs/>
                <w:color w:val="000000"/>
                <w:sz w:val="24"/>
              </w:rPr>
              <w:t>□</w:t>
            </w:r>
            <w:r>
              <w:rPr>
                <w:sz w:val="24"/>
              </w:rPr>
              <w:t>新闻发布会</w:t>
            </w:r>
            <w:r>
              <w:rPr>
                <w:rFonts w:hint="eastAsia"/>
                <w:sz w:val="24"/>
              </w:rPr>
              <w:t>；</w:t>
            </w:r>
            <w:r>
              <w:rPr>
                <w:rFonts w:hint="eastAsia"/>
                <w:bCs/>
                <w:iCs/>
                <w:color w:val="000000"/>
                <w:sz w:val="24"/>
              </w:rPr>
              <w:t>□</w:t>
            </w:r>
            <w:r>
              <w:rPr>
                <w:sz w:val="24"/>
              </w:rPr>
              <w:t>路演活动</w:t>
            </w:r>
            <w:r>
              <w:rPr>
                <w:rFonts w:hint="eastAsia"/>
                <w:sz w:val="24"/>
              </w:rPr>
              <w:t>；</w:t>
            </w:r>
            <w:r>
              <w:rPr>
                <w:rFonts w:hint="eastAsia"/>
                <w:bCs/>
                <w:iCs/>
                <w:color w:val="000000"/>
                <w:sz w:val="24"/>
              </w:rPr>
              <w:t>□</w:t>
            </w:r>
            <w:r>
              <w:rPr>
                <w:sz w:val="24"/>
              </w:rPr>
              <w:t>现场参观</w:t>
            </w:r>
            <w:r>
              <w:rPr>
                <w:rFonts w:hint="eastAsia"/>
                <w:sz w:val="24"/>
              </w:rPr>
              <w:t>；</w:t>
            </w:r>
            <w:r>
              <w:rPr>
                <w:rFonts w:hint="eastAsia"/>
                <w:bCs/>
                <w:iCs/>
                <w:color w:val="000000"/>
                <w:sz w:val="24"/>
              </w:rPr>
              <w:t>□</w:t>
            </w:r>
            <w:r>
              <w:rPr>
                <w:sz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参与单位名称</w:t>
            </w:r>
          </w:p>
        </w:tc>
        <w:tc>
          <w:tcPr>
            <w:tcW w:w="7381" w:type="dxa"/>
          </w:tcPr>
          <w:p>
            <w:pPr>
              <w:spacing w:line="360" w:lineRule="auto"/>
              <w:rPr>
                <w:sz w:val="24"/>
              </w:rPr>
            </w:pPr>
            <w:r>
              <w:rPr>
                <w:rFonts w:hint="eastAsia" w:ascii="Times New Roman" w:hAnsi="Times New Roman" w:cs="Times New Roman"/>
                <w:sz w:val="24"/>
              </w:rPr>
              <w:t>东亚前海</w:t>
            </w:r>
            <w:r>
              <w:rPr>
                <w:rFonts w:hint="eastAsia" w:cs="Times New Roman"/>
                <w:sz w:val="24"/>
                <w:lang w:eastAsia="zh-CN"/>
              </w:rPr>
              <w:t>、</w:t>
            </w:r>
            <w:r>
              <w:rPr>
                <w:rFonts w:hint="eastAsia" w:ascii="Times New Roman" w:hAnsi="Times New Roman" w:cs="Times New Roman"/>
                <w:sz w:val="24"/>
              </w:rPr>
              <w:t>国投瑞银</w:t>
            </w:r>
            <w:r>
              <w:rPr>
                <w:rFonts w:hint="eastAsia" w:cs="Times New Roman"/>
                <w:sz w:val="24"/>
                <w:lang w:eastAsia="zh-CN"/>
              </w:rPr>
              <w:t>、</w:t>
            </w:r>
            <w:r>
              <w:rPr>
                <w:rFonts w:hint="eastAsia" w:ascii="Times New Roman" w:hAnsi="Times New Roman" w:cs="Times New Roman"/>
                <w:sz w:val="24"/>
              </w:rPr>
              <w:t>银河基金</w:t>
            </w:r>
            <w:r>
              <w:rPr>
                <w:rFonts w:hint="eastAsia" w:cs="Times New Roman"/>
                <w:sz w:val="24"/>
                <w:lang w:eastAsia="zh-CN"/>
              </w:rPr>
              <w:t>、</w:t>
            </w:r>
            <w:r>
              <w:rPr>
                <w:rFonts w:hint="eastAsia" w:ascii="Times New Roman" w:hAnsi="Times New Roman" w:cs="Times New Roman"/>
                <w:sz w:val="24"/>
              </w:rPr>
              <w:t>富国基金</w:t>
            </w:r>
            <w:r>
              <w:rPr>
                <w:rFonts w:hint="eastAsia" w:cs="Times New Roman"/>
                <w:sz w:val="24"/>
                <w:lang w:eastAsia="zh-CN"/>
              </w:rPr>
              <w:t>、</w:t>
            </w:r>
            <w:r>
              <w:rPr>
                <w:rFonts w:hint="eastAsia" w:ascii="Times New Roman" w:hAnsi="Times New Roman" w:cs="Times New Roman"/>
                <w:sz w:val="24"/>
              </w:rPr>
              <w:t>尚近投资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时间</w:t>
            </w:r>
          </w:p>
        </w:tc>
        <w:tc>
          <w:tcPr>
            <w:tcW w:w="7381" w:type="dxa"/>
          </w:tcPr>
          <w:p>
            <w:pPr>
              <w:spacing w:line="360" w:lineRule="auto"/>
              <w:rPr>
                <w:bCs/>
                <w:iCs/>
                <w:color w:val="000000"/>
                <w:sz w:val="24"/>
              </w:rPr>
            </w:pPr>
            <w:r>
              <w:rPr>
                <w:bCs/>
                <w:iCs/>
                <w:color w:val="000000"/>
                <w:sz w:val="24"/>
              </w:rPr>
              <w:t>20</w:t>
            </w:r>
            <w:r>
              <w:rPr>
                <w:rFonts w:hint="eastAsia"/>
                <w:bCs/>
                <w:iCs/>
                <w:color w:val="000000"/>
                <w:sz w:val="24"/>
              </w:rPr>
              <w:t>22</w:t>
            </w:r>
            <w:r>
              <w:rPr>
                <w:bCs/>
                <w:iCs/>
                <w:color w:val="000000"/>
                <w:sz w:val="24"/>
              </w:rPr>
              <w:t>年</w:t>
            </w:r>
            <w:r>
              <w:rPr>
                <w:rFonts w:hint="eastAsia"/>
                <w:bCs/>
                <w:iCs/>
                <w:color w:val="000000"/>
                <w:sz w:val="24"/>
                <w:lang w:val="en-US" w:eastAsia="zh-CN"/>
              </w:rPr>
              <w:t>6</w:t>
            </w:r>
            <w:r>
              <w:rPr>
                <w:bCs/>
                <w:iCs/>
                <w:color w:val="000000"/>
                <w:sz w:val="24"/>
              </w:rPr>
              <w:t>月</w:t>
            </w:r>
            <w:r>
              <w:rPr>
                <w:rFonts w:hint="eastAsia"/>
                <w:bCs/>
                <w:iCs/>
                <w:color w:val="000000"/>
                <w:sz w:val="24"/>
                <w:lang w:val="en-US" w:eastAsia="zh-CN"/>
              </w:rPr>
              <w:t>17</w:t>
            </w:r>
            <w:r>
              <w:rPr>
                <w:bCs/>
                <w:iCs/>
                <w:color w:val="000000"/>
                <w:sz w:val="24"/>
              </w:rPr>
              <w:t>日</w:t>
            </w:r>
            <w:r>
              <w:rPr>
                <w:rFonts w:hint="eastAsia"/>
                <w:bCs/>
                <w:iCs/>
                <w:color w:val="000000"/>
                <w:sz w:val="24"/>
              </w:rPr>
              <w:t>（星期</w:t>
            </w:r>
            <w:r>
              <w:rPr>
                <w:rFonts w:hint="eastAsia"/>
                <w:bCs/>
                <w:iCs/>
                <w:color w:val="000000"/>
                <w:sz w:val="24"/>
                <w:lang w:val="en-US" w:eastAsia="zh-CN"/>
              </w:rPr>
              <w:t>五</w:t>
            </w:r>
            <w:r>
              <w:rPr>
                <w:rFonts w:hint="eastAsia"/>
                <w:bCs/>
                <w:iCs/>
                <w:color w:val="000000"/>
                <w:sz w:val="24"/>
              </w:rPr>
              <w:t>）1</w:t>
            </w:r>
            <w:r>
              <w:rPr>
                <w:rFonts w:hint="eastAsia"/>
                <w:bCs/>
                <w:iCs/>
                <w:color w:val="000000"/>
                <w:sz w:val="24"/>
                <w:lang w:val="en-US" w:eastAsia="zh-CN"/>
              </w:rPr>
              <w:t>5</w:t>
            </w:r>
            <w:r>
              <w:rPr>
                <w:bCs/>
                <w:iCs/>
                <w:color w:val="000000"/>
                <w:sz w:val="24"/>
              </w:rPr>
              <w:t>:</w:t>
            </w:r>
            <w:r>
              <w:rPr>
                <w:rFonts w:hint="eastAsia"/>
                <w:bCs/>
                <w:iCs/>
                <w:color w:val="000000"/>
                <w:sz w:val="24"/>
                <w:lang w:val="en-US" w:eastAsia="zh-CN"/>
              </w:rPr>
              <w:t>3</w:t>
            </w:r>
            <w:r>
              <w:rPr>
                <w:bCs/>
                <w:iCs/>
                <w:color w:val="000000"/>
                <w:sz w:val="24"/>
              </w:rPr>
              <w:t>0—</w:t>
            </w:r>
            <w:r>
              <w:rPr>
                <w:rFonts w:hint="eastAsia"/>
                <w:bCs/>
                <w:iCs/>
                <w:color w:val="000000"/>
                <w:sz w:val="24"/>
              </w:rPr>
              <w:t>1</w:t>
            </w:r>
            <w:r>
              <w:rPr>
                <w:rFonts w:hint="eastAsia"/>
                <w:bCs/>
                <w:iCs/>
                <w:color w:val="000000"/>
                <w:sz w:val="24"/>
                <w:lang w:val="en-US" w:eastAsia="zh-CN"/>
              </w:rPr>
              <w:t>6</w:t>
            </w:r>
            <w:r>
              <w:rPr>
                <w:rFonts w:hint="eastAsia"/>
                <w:bCs/>
                <w:iCs/>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地点</w:t>
            </w:r>
          </w:p>
        </w:tc>
        <w:tc>
          <w:tcPr>
            <w:tcW w:w="7381" w:type="dxa"/>
          </w:tcPr>
          <w:p>
            <w:pPr>
              <w:spacing w:line="360" w:lineRule="auto"/>
              <w:rPr>
                <w:bCs/>
                <w:iCs/>
                <w:color w:val="000000"/>
                <w:sz w:val="24"/>
              </w:rPr>
            </w:pPr>
            <w:r>
              <w:rPr>
                <w:rFonts w:hint="eastAsia"/>
                <w:bCs/>
                <w:iCs/>
                <w:color w:val="000000"/>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b/>
                <w:bCs/>
                <w:iCs/>
                <w:color w:val="000000"/>
                <w:sz w:val="24"/>
              </w:rPr>
            </w:pPr>
            <w:r>
              <w:rPr>
                <w:b/>
                <w:bCs/>
                <w:iCs/>
                <w:color w:val="000000"/>
                <w:sz w:val="24"/>
              </w:rPr>
              <w:t>上市公司接待人员姓名</w:t>
            </w:r>
          </w:p>
        </w:tc>
        <w:tc>
          <w:tcPr>
            <w:tcW w:w="7381" w:type="dxa"/>
            <w:vAlign w:val="center"/>
          </w:tcPr>
          <w:p>
            <w:pPr>
              <w:spacing w:line="360" w:lineRule="auto"/>
              <w:rPr>
                <w:bCs/>
                <w:iCs/>
                <w:color w:val="000000"/>
                <w:sz w:val="24"/>
              </w:rPr>
            </w:pPr>
            <w:r>
              <w:rPr>
                <w:rFonts w:hint="eastAsia"/>
                <w:bCs/>
                <w:iCs/>
                <w:color w:val="000000"/>
                <w:sz w:val="24"/>
              </w:rPr>
              <w:t>汤琦（</w:t>
            </w:r>
            <w:r>
              <w:rPr>
                <w:bCs/>
                <w:iCs/>
                <w:color w:val="000000"/>
                <w:sz w:val="24"/>
              </w:rPr>
              <w:t>董事会秘书</w:t>
            </w:r>
            <w:r>
              <w:rPr>
                <w:rFonts w:hint="eastAsia"/>
                <w:bCs/>
                <w:iCs/>
                <w:color w:val="000000"/>
                <w:sz w:val="24"/>
              </w:rPr>
              <w:t>）、郑灿武（财务负责人）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668" w:type="dxa"/>
            <w:vAlign w:val="center"/>
          </w:tcPr>
          <w:p>
            <w:pPr>
              <w:jc w:val="center"/>
              <w:rPr>
                <w:b/>
                <w:bCs/>
                <w:iCs/>
                <w:color w:val="000000"/>
                <w:sz w:val="24"/>
              </w:rPr>
            </w:pPr>
            <w:r>
              <w:rPr>
                <w:rFonts w:hint="eastAsia"/>
                <w:b/>
                <w:bCs/>
                <w:iCs/>
                <w:color w:val="000000"/>
                <w:sz w:val="24"/>
              </w:rPr>
              <w:t>活动主要交流内容</w:t>
            </w:r>
          </w:p>
        </w:tc>
        <w:tc>
          <w:tcPr>
            <w:tcW w:w="7381" w:type="dxa"/>
          </w:tcPr>
          <w:p>
            <w:pPr>
              <w:spacing w:line="580" w:lineRule="exact"/>
              <w:rPr>
                <w:b/>
                <w:bCs/>
                <w:sz w:val="24"/>
              </w:rPr>
            </w:pPr>
            <w:r>
              <w:rPr>
                <w:rFonts w:hint="eastAsia"/>
                <w:b/>
                <w:bCs/>
                <w:sz w:val="24"/>
              </w:rPr>
              <w:t>1.公司</w:t>
            </w:r>
            <w:r>
              <w:rPr>
                <w:rFonts w:hint="eastAsia"/>
                <w:b/>
                <w:bCs/>
                <w:sz w:val="24"/>
                <w:lang w:val="en-US" w:eastAsia="zh-CN"/>
              </w:rPr>
              <w:t>今年以来是否恢复正常生产</w:t>
            </w:r>
            <w:r>
              <w:rPr>
                <w:rFonts w:hint="eastAsia"/>
                <w:b/>
                <w:bCs/>
                <w:sz w:val="24"/>
              </w:rPr>
              <w:t>？</w:t>
            </w:r>
          </w:p>
          <w:p>
            <w:pPr>
              <w:spacing w:line="580" w:lineRule="exact"/>
              <w:rPr>
                <w:sz w:val="24"/>
                <w:lang w:val="en-US"/>
              </w:rPr>
            </w:pPr>
            <w:r>
              <w:rPr>
                <w:rFonts w:hint="eastAsia"/>
                <w:sz w:val="24"/>
              </w:rPr>
              <w:t>答：</w:t>
            </w:r>
            <w:r>
              <w:rPr>
                <w:rFonts w:hint="eastAsia"/>
                <w:sz w:val="24"/>
                <w:lang w:val="en-US" w:eastAsia="zh-CN"/>
              </w:rPr>
              <w:t>根据公司披露的相关公告，自2021年下半年起，山东黄金逐步恢复生产。2022年一季度自产金产量9.4吨，</w:t>
            </w:r>
            <w:r>
              <w:rPr>
                <w:rFonts w:hint="eastAsia"/>
                <w:sz w:val="24"/>
                <w:szCs w:val="24"/>
              </w:rPr>
              <w:t>公司所属全资子公司山东黄金集团</w:t>
            </w:r>
            <w:r>
              <w:rPr>
                <w:rFonts w:hint="eastAsia"/>
                <w:sz w:val="24"/>
                <w:lang w:val="en-US" w:eastAsia="zh-CN"/>
              </w:rPr>
              <w:t>蓬莱矿业有限公司于2022年4月16日收到当地主管部门的复工复产批文，目前已经复工复产；公司所属控股子公司山东黄金矿业（玲珑）有限公司的玲珑矿区、东风矿区采矿权证受山东省新一轮生态保护红线划定尚未最终批复的影响，尚未完成矿权延续、仍无法复工复产。除玲珑金矿的玲珑矿区、东风矿区之外，公司所属其他矿山生产经营情况正常。</w:t>
            </w:r>
          </w:p>
          <w:p>
            <w:pPr>
              <w:spacing w:line="580" w:lineRule="exact"/>
              <w:rPr>
                <w:b/>
                <w:bCs/>
                <w:sz w:val="24"/>
              </w:rPr>
            </w:pPr>
            <w:r>
              <w:rPr>
                <w:rFonts w:hint="eastAsia"/>
                <w:b/>
                <w:bCs/>
                <w:sz w:val="24"/>
              </w:rPr>
              <w:t>2.</w:t>
            </w:r>
            <w:r>
              <w:rPr>
                <w:rFonts w:hint="eastAsia"/>
                <w:b/>
                <w:bCs/>
                <w:sz w:val="24"/>
                <w:lang w:val="en-US" w:eastAsia="zh-CN"/>
              </w:rPr>
              <w:t>公司定增项目建设期为6年，请问项目新增产量大致是如何释放</w:t>
            </w:r>
            <w:r>
              <w:rPr>
                <w:rFonts w:hint="eastAsia"/>
                <w:b/>
                <w:bCs/>
                <w:sz w:val="24"/>
              </w:rPr>
              <w:t>？</w:t>
            </w:r>
          </w:p>
          <w:p>
            <w:pPr>
              <w:spacing w:line="580" w:lineRule="exact"/>
              <w:rPr>
                <w:rFonts w:hint="eastAsia" w:eastAsia="宋体"/>
                <w:sz w:val="24"/>
                <w:lang w:val="en-US" w:eastAsia="zh-CN"/>
              </w:rPr>
            </w:pPr>
            <w:r>
              <w:rPr>
                <w:rFonts w:hint="eastAsia"/>
                <w:sz w:val="24"/>
              </w:rPr>
              <w:t>答：</w:t>
            </w:r>
            <w:r>
              <w:rPr>
                <w:rFonts w:hint="eastAsia"/>
                <w:sz w:val="24"/>
                <w:lang w:val="en-US" w:eastAsia="zh-CN"/>
              </w:rPr>
              <w:t>公司焦家</w:t>
            </w:r>
            <w:r>
              <w:rPr>
                <w:rFonts w:ascii="Times New Roman" w:hAnsi="Times New Roman" w:eastAsia="宋体" w:cs="Times New Roman"/>
                <w:sz w:val="24"/>
                <w:szCs w:val="24"/>
              </w:rPr>
              <w:t>矿区（整合）金矿资源开发</w:t>
            </w:r>
            <w:r>
              <w:rPr>
                <w:rFonts w:hint="eastAsia"/>
                <w:sz w:val="24"/>
                <w:lang w:val="en-US" w:eastAsia="zh-CN"/>
              </w:rPr>
              <w:t>区域主要是焦家金矿深部和周边的矿权，</w:t>
            </w:r>
            <w:r>
              <w:rPr>
                <w:rFonts w:hint="eastAsia"/>
                <w:color w:val="000000"/>
                <w:sz w:val="24"/>
                <w:szCs w:val="24"/>
              </w:rPr>
              <w:t>莱州公司已取得焦家金矿等14个矿业权整合后的采矿许可证</w:t>
            </w:r>
            <w:r>
              <w:rPr>
                <w:rFonts w:hint="eastAsia"/>
                <w:color w:val="000000"/>
                <w:sz w:val="24"/>
                <w:szCs w:val="24"/>
                <w:lang w:eastAsia="zh-CN"/>
              </w:rPr>
              <w:t>，</w:t>
            </w:r>
            <w:r>
              <w:rPr>
                <w:rFonts w:hint="eastAsia"/>
                <w:sz w:val="24"/>
                <w:lang w:val="en-US" w:eastAsia="zh-CN"/>
              </w:rPr>
              <w:t>公司以此项目为基础在资本市场实施定增方案。焦家</w:t>
            </w:r>
            <w:r>
              <w:rPr>
                <w:rFonts w:ascii="Times New Roman" w:hAnsi="Times New Roman" w:eastAsia="宋体" w:cs="Times New Roman"/>
                <w:sz w:val="24"/>
                <w:szCs w:val="24"/>
              </w:rPr>
              <w:t>矿区（整合）金矿资源开发</w:t>
            </w:r>
            <w:r>
              <w:rPr>
                <w:rFonts w:hint="eastAsia"/>
                <w:color w:val="000000"/>
                <w:sz w:val="24"/>
                <w:szCs w:val="24"/>
                <w:lang w:val="en-US" w:eastAsia="zh-CN"/>
              </w:rPr>
              <w:t>区域内</w:t>
            </w:r>
            <w:r>
              <w:rPr>
                <w:rFonts w:hint="eastAsia"/>
                <w:sz w:val="24"/>
                <w:lang w:val="en-US" w:eastAsia="zh-CN"/>
              </w:rPr>
              <w:t>的原14个矿权中，有7个为在产项目，该7个项目2020年度同期为7-8吨的黄金产量，在项目建设期内，产量的释放是逐步的过程，每年都有增量。项目</w:t>
            </w:r>
            <w:r>
              <w:rPr>
                <w:rFonts w:hint="eastAsia"/>
                <w:color w:val="000000"/>
                <w:sz w:val="24"/>
                <w:szCs w:val="24"/>
              </w:rPr>
              <w:t>达产后，采矿出矿能力可达660万吨/年</w:t>
            </w:r>
            <w:r>
              <w:rPr>
                <w:rFonts w:hint="eastAsia"/>
                <w:sz w:val="24"/>
                <w:lang w:val="en-US" w:eastAsia="zh-CN"/>
              </w:rPr>
              <w:t>。</w:t>
            </w:r>
          </w:p>
          <w:p>
            <w:pPr>
              <w:spacing w:line="580" w:lineRule="exact"/>
              <w:rPr>
                <w:b/>
                <w:bCs/>
                <w:sz w:val="24"/>
              </w:rPr>
            </w:pPr>
            <w:r>
              <w:rPr>
                <w:rFonts w:hint="eastAsia"/>
                <w:b/>
                <w:bCs/>
                <w:sz w:val="24"/>
              </w:rPr>
              <w:t>3.</w:t>
            </w:r>
            <w:r>
              <w:rPr>
                <w:rFonts w:hint="eastAsia"/>
                <w:b/>
                <w:bCs/>
                <w:sz w:val="24"/>
                <w:lang w:val="en-US" w:eastAsia="zh-CN"/>
              </w:rPr>
              <w:t>请问贝拉德罗金矿未来规划如何</w:t>
            </w:r>
            <w:r>
              <w:rPr>
                <w:rFonts w:hint="eastAsia"/>
                <w:b/>
                <w:bCs/>
                <w:sz w:val="24"/>
              </w:rPr>
              <w:t>？</w:t>
            </w:r>
          </w:p>
          <w:p>
            <w:pPr>
              <w:spacing w:line="580" w:lineRule="exact"/>
              <w:rPr>
                <w:rFonts w:hint="eastAsia" w:eastAsia="宋体"/>
                <w:sz w:val="24"/>
                <w:highlight w:val="none"/>
                <w:lang w:val="en-US" w:eastAsia="zh-CN"/>
              </w:rPr>
            </w:pPr>
            <w:r>
              <w:rPr>
                <w:rFonts w:hint="eastAsia"/>
                <w:sz w:val="24"/>
                <w:highlight w:val="none"/>
              </w:rPr>
              <w:t>答：</w:t>
            </w:r>
            <w:r>
              <w:rPr>
                <w:rFonts w:hint="eastAsia"/>
                <w:sz w:val="24"/>
                <w:highlight w:val="none"/>
                <w:lang w:val="en-US" w:eastAsia="zh-CN"/>
              </w:rPr>
              <w:t>就目前一季度情况分析，贝拉德罗一季度生产运营情况稳定，相关业绩情况请留意公司相关信息披露公告。</w:t>
            </w:r>
          </w:p>
          <w:p>
            <w:pPr>
              <w:spacing w:line="580" w:lineRule="exact"/>
              <w:rPr>
                <w:b/>
                <w:bCs/>
                <w:sz w:val="24"/>
              </w:rPr>
            </w:pPr>
            <w:r>
              <w:rPr>
                <w:rFonts w:hint="eastAsia"/>
                <w:b/>
                <w:bCs/>
                <w:sz w:val="24"/>
              </w:rPr>
              <w:t>4.</w:t>
            </w:r>
            <w:r>
              <w:rPr>
                <w:rFonts w:hint="eastAsia"/>
                <w:b/>
                <w:bCs/>
                <w:sz w:val="24"/>
                <w:lang w:val="en-US" w:eastAsia="zh-CN"/>
              </w:rPr>
              <w:t>请问公司加纳卡蒂诺项目进展如何</w:t>
            </w:r>
            <w:r>
              <w:rPr>
                <w:rFonts w:hint="eastAsia"/>
                <w:b/>
                <w:bCs/>
                <w:sz w:val="24"/>
              </w:rPr>
              <w:t>？</w:t>
            </w:r>
          </w:p>
          <w:p>
            <w:pPr>
              <w:spacing w:line="580" w:lineRule="exact"/>
              <w:rPr>
                <w:rFonts w:hint="eastAsia"/>
                <w:sz w:val="24"/>
                <w:highlight w:val="yellow"/>
                <w:lang w:val="en-US" w:eastAsia="zh-CN"/>
              </w:rPr>
            </w:pPr>
            <w:r>
              <w:rPr>
                <w:rFonts w:hint="eastAsia"/>
                <w:sz w:val="24"/>
                <w:highlight w:val="none"/>
              </w:rPr>
              <w:t>答：</w:t>
            </w:r>
            <w:r>
              <w:rPr>
                <w:rFonts w:hint="eastAsia"/>
                <w:sz w:val="24"/>
                <w:highlight w:val="none"/>
                <w:lang w:val="en-US" w:eastAsia="zh-CN"/>
              </w:rPr>
              <w:t>自公司收购卡蒂诺资源公司以来，正稳步推进项目建设的前期工作。首先对加纳</w:t>
            </w:r>
            <w:r>
              <w:rPr>
                <w:rFonts w:hint="eastAsia"/>
                <w:sz w:val="24"/>
                <w:highlight w:val="none"/>
              </w:rPr>
              <w:t>纳穆蒂尼</w:t>
            </w:r>
            <w:r>
              <w:rPr>
                <w:rFonts w:hint="eastAsia"/>
                <w:sz w:val="24"/>
                <w:highlight w:val="none"/>
                <w:lang w:val="en-US" w:eastAsia="zh-CN"/>
              </w:rPr>
              <w:t>项目进行了可研报告优化，派驻专家团队对前期社区搬迁、道路施工等方面进行了相关工作，目前针对EP</w:t>
            </w:r>
            <w:bookmarkStart w:id="0" w:name="_GoBack"/>
            <w:bookmarkEnd w:id="0"/>
            <w:r>
              <w:rPr>
                <w:rFonts w:hint="eastAsia"/>
                <w:sz w:val="24"/>
                <w:highlight w:val="none"/>
                <w:lang w:val="en-US" w:eastAsia="zh-CN"/>
              </w:rPr>
              <w:t>CM承包商已经完成了招标工作。</w:t>
            </w:r>
          </w:p>
          <w:p>
            <w:pPr>
              <w:spacing w:line="580" w:lineRule="exact"/>
              <w:rPr>
                <w:rFonts w:ascii="宋体" w:hAnsi="宋体"/>
              </w:rPr>
            </w:pPr>
          </w:p>
        </w:tc>
      </w:tr>
    </w:tbl>
    <w:p>
      <w:pPr>
        <w:ind w:firstLine="480" w:firstLineChars="200"/>
        <w:rPr>
          <w:rFonts w:ascii="黑体" w:hAnsi="宋体" w:eastAsia="黑体"/>
          <w:color w:val="FF0000"/>
          <w:sz w:val="24"/>
        </w:rPr>
      </w:pPr>
    </w:p>
    <w:sectPr>
      <w:footerReference r:id="rId3" w:type="default"/>
      <w:pgSz w:w="11906" w:h="16838"/>
      <w:pgMar w:top="1440" w:right="1558"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2594"/>
    </w:sdtPr>
    <w:sdtContent>
      <w:p>
        <w:pPr>
          <w:pStyle w:val="9"/>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240"/>
    <w:rsid w:val="00051DE4"/>
    <w:rsid w:val="00060B3C"/>
    <w:rsid w:val="00072054"/>
    <w:rsid w:val="00077557"/>
    <w:rsid w:val="0008604F"/>
    <w:rsid w:val="000933B2"/>
    <w:rsid w:val="000B6C5A"/>
    <w:rsid w:val="000D19B1"/>
    <w:rsid w:val="001658A3"/>
    <w:rsid w:val="00172A27"/>
    <w:rsid w:val="00175C9E"/>
    <w:rsid w:val="0018060C"/>
    <w:rsid w:val="001851E1"/>
    <w:rsid w:val="001A60A9"/>
    <w:rsid w:val="001B263C"/>
    <w:rsid w:val="001C4C34"/>
    <w:rsid w:val="001E3709"/>
    <w:rsid w:val="001F038A"/>
    <w:rsid w:val="002142A9"/>
    <w:rsid w:val="002152AC"/>
    <w:rsid w:val="00237983"/>
    <w:rsid w:val="00243C74"/>
    <w:rsid w:val="00272C24"/>
    <w:rsid w:val="002A2A7D"/>
    <w:rsid w:val="002B3BEE"/>
    <w:rsid w:val="002B72D4"/>
    <w:rsid w:val="002C7114"/>
    <w:rsid w:val="002C7564"/>
    <w:rsid w:val="002D76DE"/>
    <w:rsid w:val="00304BAA"/>
    <w:rsid w:val="00364E7C"/>
    <w:rsid w:val="00372189"/>
    <w:rsid w:val="003833CE"/>
    <w:rsid w:val="0039462F"/>
    <w:rsid w:val="003B7DE7"/>
    <w:rsid w:val="003E34D4"/>
    <w:rsid w:val="003E4089"/>
    <w:rsid w:val="004055DF"/>
    <w:rsid w:val="00426864"/>
    <w:rsid w:val="004329CA"/>
    <w:rsid w:val="00456E38"/>
    <w:rsid w:val="00462249"/>
    <w:rsid w:val="00470A49"/>
    <w:rsid w:val="004A2605"/>
    <w:rsid w:val="004A3AF8"/>
    <w:rsid w:val="004A6FDD"/>
    <w:rsid w:val="004A7303"/>
    <w:rsid w:val="0050531E"/>
    <w:rsid w:val="00510B0F"/>
    <w:rsid w:val="00523D3D"/>
    <w:rsid w:val="005403CD"/>
    <w:rsid w:val="005704B1"/>
    <w:rsid w:val="005920C8"/>
    <w:rsid w:val="005A7F59"/>
    <w:rsid w:val="005D5ADF"/>
    <w:rsid w:val="005F1E4E"/>
    <w:rsid w:val="006040D6"/>
    <w:rsid w:val="00610425"/>
    <w:rsid w:val="00614987"/>
    <w:rsid w:val="00652EE2"/>
    <w:rsid w:val="00681E05"/>
    <w:rsid w:val="0068503B"/>
    <w:rsid w:val="00692A7E"/>
    <w:rsid w:val="00695B6B"/>
    <w:rsid w:val="006D1746"/>
    <w:rsid w:val="006E0C83"/>
    <w:rsid w:val="007067AA"/>
    <w:rsid w:val="007162B8"/>
    <w:rsid w:val="007310C2"/>
    <w:rsid w:val="007D5948"/>
    <w:rsid w:val="007F500C"/>
    <w:rsid w:val="008169CD"/>
    <w:rsid w:val="00823BA8"/>
    <w:rsid w:val="00841E68"/>
    <w:rsid w:val="00853C0D"/>
    <w:rsid w:val="00896E77"/>
    <w:rsid w:val="008A473F"/>
    <w:rsid w:val="0093132C"/>
    <w:rsid w:val="009332E2"/>
    <w:rsid w:val="0094547B"/>
    <w:rsid w:val="009463D3"/>
    <w:rsid w:val="00975DE8"/>
    <w:rsid w:val="009D5C9F"/>
    <w:rsid w:val="009E1C66"/>
    <w:rsid w:val="00A058DB"/>
    <w:rsid w:val="00A25996"/>
    <w:rsid w:val="00A60F75"/>
    <w:rsid w:val="00A760DE"/>
    <w:rsid w:val="00A95864"/>
    <w:rsid w:val="00AB4E20"/>
    <w:rsid w:val="00AB6324"/>
    <w:rsid w:val="00AD4A39"/>
    <w:rsid w:val="00B01357"/>
    <w:rsid w:val="00B31B83"/>
    <w:rsid w:val="00B350F8"/>
    <w:rsid w:val="00B51A96"/>
    <w:rsid w:val="00BB42EB"/>
    <w:rsid w:val="00BF7E11"/>
    <w:rsid w:val="00C3796A"/>
    <w:rsid w:val="00C54B21"/>
    <w:rsid w:val="00C561EA"/>
    <w:rsid w:val="00C93954"/>
    <w:rsid w:val="00CB5DF0"/>
    <w:rsid w:val="00CC18B8"/>
    <w:rsid w:val="00CC1DA6"/>
    <w:rsid w:val="00CF74C4"/>
    <w:rsid w:val="00D62778"/>
    <w:rsid w:val="00DA1980"/>
    <w:rsid w:val="00DC233F"/>
    <w:rsid w:val="00E077BC"/>
    <w:rsid w:val="00E8478B"/>
    <w:rsid w:val="00EA70D0"/>
    <w:rsid w:val="00EB1B61"/>
    <w:rsid w:val="00F4342C"/>
    <w:rsid w:val="00F45181"/>
    <w:rsid w:val="00F659D0"/>
    <w:rsid w:val="00F81557"/>
    <w:rsid w:val="00F87413"/>
    <w:rsid w:val="00FC6AFA"/>
    <w:rsid w:val="00FD3F5C"/>
    <w:rsid w:val="00FE0BCE"/>
    <w:rsid w:val="00FE7105"/>
    <w:rsid w:val="025E0089"/>
    <w:rsid w:val="04CC0234"/>
    <w:rsid w:val="050B2FD3"/>
    <w:rsid w:val="13A12C42"/>
    <w:rsid w:val="159C3FB5"/>
    <w:rsid w:val="1B155FFD"/>
    <w:rsid w:val="1B8851C3"/>
    <w:rsid w:val="1D1744C9"/>
    <w:rsid w:val="1D5D695C"/>
    <w:rsid w:val="23102595"/>
    <w:rsid w:val="25A62628"/>
    <w:rsid w:val="26946FFE"/>
    <w:rsid w:val="282F4B25"/>
    <w:rsid w:val="29E22543"/>
    <w:rsid w:val="2A7F3E6C"/>
    <w:rsid w:val="35950F97"/>
    <w:rsid w:val="35F4E879"/>
    <w:rsid w:val="36985520"/>
    <w:rsid w:val="37A220C0"/>
    <w:rsid w:val="3B9FB0B6"/>
    <w:rsid w:val="3EDB1EAC"/>
    <w:rsid w:val="3F6B5F18"/>
    <w:rsid w:val="456065F8"/>
    <w:rsid w:val="48E9042E"/>
    <w:rsid w:val="4F13254C"/>
    <w:rsid w:val="55933D75"/>
    <w:rsid w:val="57584A56"/>
    <w:rsid w:val="5BC4281C"/>
    <w:rsid w:val="611F2767"/>
    <w:rsid w:val="668734C3"/>
    <w:rsid w:val="6D5E317C"/>
    <w:rsid w:val="77DB77B3"/>
    <w:rsid w:val="7B0D6371"/>
    <w:rsid w:val="7B457009"/>
    <w:rsid w:val="7BEF4D3F"/>
    <w:rsid w:val="7E1A2770"/>
    <w:rsid w:val="7E6B59F3"/>
    <w:rsid w:val="9D7B3732"/>
    <w:rsid w:val="FEBF5EF8"/>
    <w:rsid w:val="FF7797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qFormat="1" w:unhideWhenUsed="0" w:uiPriority="0" w:semiHidden="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580" w:lineRule="exact"/>
      <w:outlineLvl w:val="1"/>
    </w:pPr>
    <w:rPr>
      <w:rFonts w:ascii="Arial" w:hAnsi="Arial" w:eastAsia="黑体"/>
      <w:sz w:val="28"/>
    </w:rPr>
  </w:style>
  <w:style w:type="paragraph" w:styleId="4">
    <w:name w:val="heading 3"/>
    <w:basedOn w:val="1"/>
    <w:next w:val="1"/>
    <w:unhideWhenUsed/>
    <w:qFormat/>
    <w:uiPriority w:val="9"/>
    <w:pPr>
      <w:keepNext/>
      <w:keepLines/>
      <w:spacing w:before="260" w:after="260" w:line="580" w:lineRule="exact"/>
      <w:outlineLvl w:val="2"/>
    </w:pPr>
    <w:rPr>
      <w:rFonts w:eastAsia="楷体_GB2312"/>
      <w:b/>
    </w:rPr>
  </w:style>
  <w:style w:type="character" w:default="1" w:styleId="12">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5">
    <w:name w:val="annotation subject"/>
    <w:basedOn w:val="6"/>
    <w:next w:val="6"/>
    <w:link w:val="22"/>
    <w:semiHidden/>
    <w:unhideWhenUsed/>
    <w:qFormat/>
    <w:uiPriority w:val="0"/>
    <w:rPr>
      <w:b/>
      <w:bCs/>
    </w:rPr>
  </w:style>
  <w:style w:type="paragraph" w:styleId="6">
    <w:name w:val="annotation text"/>
    <w:basedOn w:val="1"/>
    <w:link w:val="21"/>
    <w:unhideWhenUsed/>
    <w:qFormat/>
    <w:uiPriority w:val="0"/>
    <w:pPr>
      <w:jc w:val="left"/>
    </w:pPr>
  </w:style>
  <w:style w:type="paragraph" w:styleId="7">
    <w:name w:val="Plain Text"/>
    <w:basedOn w:val="1"/>
    <w:link w:val="18"/>
    <w:unhideWhenUsed/>
    <w:qFormat/>
    <w:uiPriority w:val="99"/>
    <w:pPr>
      <w:jc w:val="left"/>
    </w:pPr>
    <w:rPr>
      <w:rFonts w:ascii="Calibri" w:hAnsi="Courier New" w:cs="Courier New"/>
      <w:szCs w:val="21"/>
    </w:rPr>
  </w:style>
  <w:style w:type="paragraph" w:styleId="8">
    <w:name w:val="Balloon Text"/>
    <w:basedOn w:val="1"/>
    <w:link w:val="19"/>
    <w:unhideWhenUsed/>
    <w:qFormat/>
    <w:uiPriority w:val="0"/>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Calibri" w:hAnsi="Calibr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3">
    <w:name w:val="annotation reference"/>
    <w:unhideWhenUsed/>
    <w:qFormat/>
    <w:uiPriority w:val="0"/>
    <w:rPr>
      <w:sz w:val="21"/>
      <w:szCs w:val="21"/>
    </w:rPr>
  </w:style>
  <w:style w:type="paragraph" w:customStyle="1" w:styleId="15">
    <w:name w:val="列出段落1"/>
    <w:basedOn w:val="1"/>
    <w:qFormat/>
    <w:uiPriority w:val="34"/>
    <w:pPr>
      <w:ind w:firstLine="420" w:firstLineChars="200"/>
    </w:pPr>
  </w:style>
  <w:style w:type="character" w:customStyle="1" w:styleId="16">
    <w:name w:val="页眉 字符"/>
    <w:link w:val="10"/>
    <w:qFormat/>
    <w:uiPriority w:val="99"/>
    <w:rPr>
      <w:sz w:val="18"/>
      <w:szCs w:val="18"/>
    </w:rPr>
  </w:style>
  <w:style w:type="character" w:customStyle="1" w:styleId="17">
    <w:name w:val="页脚 字符"/>
    <w:link w:val="9"/>
    <w:qFormat/>
    <w:uiPriority w:val="99"/>
    <w:rPr>
      <w:sz w:val="18"/>
      <w:szCs w:val="18"/>
    </w:rPr>
  </w:style>
  <w:style w:type="character" w:customStyle="1" w:styleId="18">
    <w:name w:val="纯文本 字符"/>
    <w:link w:val="7"/>
    <w:qFormat/>
    <w:uiPriority w:val="99"/>
    <w:rPr>
      <w:rFonts w:ascii="Calibri" w:hAnsi="Courier New" w:eastAsia="宋体" w:cs="Courier New"/>
      <w:szCs w:val="21"/>
    </w:rPr>
  </w:style>
  <w:style w:type="character" w:customStyle="1" w:styleId="19">
    <w:name w:val="批注框文本 字符"/>
    <w:link w:val="8"/>
    <w:semiHidden/>
    <w:qFormat/>
    <w:uiPriority w:val="0"/>
    <w:rPr>
      <w:kern w:val="2"/>
      <w:sz w:val="18"/>
      <w:szCs w:val="18"/>
    </w:rPr>
  </w:style>
  <w:style w:type="paragraph" w:styleId="20">
    <w:name w:val="List Paragraph"/>
    <w:basedOn w:val="1"/>
    <w:qFormat/>
    <w:uiPriority w:val="34"/>
    <w:pPr>
      <w:ind w:firstLine="420" w:firstLineChars="200"/>
      <w:jc w:val="left"/>
    </w:pPr>
    <w:rPr>
      <w:rFonts w:ascii="Courier New" w:hAnsi="Courier New" w:cs="Courier New"/>
      <w:color w:val="000000"/>
      <w:kern w:val="0"/>
      <w:sz w:val="24"/>
      <w:lang w:val="zh-TW" w:eastAsia="zh-TW"/>
    </w:rPr>
  </w:style>
  <w:style w:type="character" w:customStyle="1" w:styleId="21">
    <w:name w:val="批注文字 字符"/>
    <w:basedOn w:val="12"/>
    <w:link w:val="6"/>
    <w:qFormat/>
    <w:uiPriority w:val="0"/>
    <w:rPr>
      <w:kern w:val="2"/>
      <w:sz w:val="21"/>
      <w:szCs w:val="24"/>
    </w:rPr>
  </w:style>
  <w:style w:type="character" w:customStyle="1" w:styleId="22">
    <w:name w:val="批注主题 字符"/>
    <w:basedOn w:val="21"/>
    <w:link w:val="5"/>
    <w:semiHidden/>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1774</Characters>
  <Lines>14</Lines>
  <Paragraphs>4</Paragraphs>
  <TotalTime>42</TotalTime>
  <ScaleCrop>false</ScaleCrop>
  <LinksUpToDate>false</LinksUpToDate>
  <CharactersWithSpaces>2081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2022-04-08T09:03:00Z</dcterms:created>
  <dc:creator>杜彦英</dc:creator>
  <cp:lastModifiedBy>石保栋</cp:lastModifiedBy>
  <cp:lastPrinted>2015-11-05T06:12:00Z</cp:lastPrinted>
  <dcterms:modified xsi:type="dcterms:W3CDTF">2022-06-22T03:19:49Z</dcterms:modified>
  <dc:title>证券代码：300369                                    证券简称：绿盟科技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