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7A9C" w14:textId="77777777" w:rsidR="00DC55F1" w:rsidRPr="00692ACE" w:rsidRDefault="00DC55F1" w:rsidP="00DC55F1">
      <w:pPr>
        <w:spacing w:line="600" w:lineRule="exact"/>
        <w:jc w:val="center"/>
        <w:rPr>
          <w:rFonts w:ascii="Times New Roman" w:hAnsi="Times New Roman"/>
          <w:b/>
          <w:bCs/>
          <w:sz w:val="32"/>
          <w:szCs w:val="32"/>
        </w:rPr>
      </w:pPr>
      <w:r>
        <w:rPr>
          <w:rFonts w:ascii="Times New Roman" w:hAnsi="Times New Roman" w:hint="eastAsia"/>
          <w:b/>
          <w:bCs/>
          <w:sz w:val="32"/>
          <w:szCs w:val="32"/>
        </w:rPr>
        <w:t>江苏苏州</w:t>
      </w:r>
      <w:r w:rsidRPr="00692ACE">
        <w:rPr>
          <w:rFonts w:ascii="Times New Roman" w:hAnsi="Times New Roman" w:hint="eastAsia"/>
          <w:b/>
          <w:bCs/>
          <w:sz w:val="32"/>
          <w:szCs w:val="32"/>
        </w:rPr>
        <w:t>农村商业银行股份有限公司</w:t>
      </w:r>
    </w:p>
    <w:p w14:paraId="1BCB6793" w14:textId="77777777" w:rsidR="00DC55F1" w:rsidRPr="00692ACE" w:rsidRDefault="00DC55F1" w:rsidP="00DC55F1">
      <w:pPr>
        <w:spacing w:line="600" w:lineRule="exact"/>
        <w:jc w:val="center"/>
        <w:rPr>
          <w:rFonts w:ascii="Times New Roman" w:hAnsi="Times New Roman"/>
          <w:sz w:val="32"/>
          <w:szCs w:val="32"/>
        </w:rPr>
      </w:pPr>
      <w:r w:rsidRPr="00692ACE">
        <w:rPr>
          <w:rFonts w:ascii="Times New Roman" w:hAnsi="Times New Roman"/>
          <w:b/>
          <w:bCs/>
          <w:sz w:val="32"/>
          <w:szCs w:val="32"/>
        </w:rPr>
        <w:t>投资者关系活动记录表</w:t>
      </w:r>
    </w:p>
    <w:p w14:paraId="65512F04" w14:textId="578AD4AC" w:rsidR="00DC55F1" w:rsidRDefault="00DC55F1" w:rsidP="00DC55F1">
      <w:pPr>
        <w:spacing w:beforeLines="50" w:before="156" w:afterLines="50" w:after="156" w:line="360" w:lineRule="auto"/>
        <w:jc w:val="center"/>
        <w:rPr>
          <w:rFonts w:ascii="Times New Roman" w:hAnsi="Times New Roman"/>
          <w:sz w:val="24"/>
        </w:rPr>
      </w:pPr>
      <w:r w:rsidRPr="00DC55F1">
        <w:rPr>
          <w:rFonts w:ascii="Times New Roman" w:hAnsi="Times New Roman" w:hint="eastAsia"/>
          <w:sz w:val="24"/>
        </w:rPr>
        <w:t>证券代码：</w:t>
      </w:r>
      <w:r w:rsidRPr="00DC55F1">
        <w:rPr>
          <w:rFonts w:ascii="Times New Roman" w:hAnsi="Times New Roman" w:hint="eastAsia"/>
          <w:sz w:val="24"/>
        </w:rPr>
        <w:t xml:space="preserve">603323               </w:t>
      </w:r>
      <w:r w:rsidRPr="00DC55F1">
        <w:rPr>
          <w:rFonts w:ascii="Times New Roman" w:hAnsi="Times New Roman" w:hint="eastAsia"/>
          <w:sz w:val="24"/>
        </w:rPr>
        <w:t>证券简称：苏农银行</w:t>
      </w:r>
      <w:r w:rsidRPr="00DC55F1">
        <w:rPr>
          <w:rFonts w:ascii="Times New Roman" w:hAnsi="Times New Roman" w:hint="eastAsia"/>
          <w:sz w:val="24"/>
        </w:rPr>
        <w:t xml:space="preserve">             </w:t>
      </w:r>
      <w:r w:rsidRPr="00DC55F1">
        <w:rPr>
          <w:rFonts w:ascii="Times New Roman" w:hAnsi="Times New Roman" w:hint="eastAsia"/>
          <w:sz w:val="24"/>
        </w:rPr>
        <w:t>编号：</w:t>
      </w:r>
      <w:r w:rsidRPr="00DC55F1">
        <w:rPr>
          <w:rFonts w:ascii="Times New Roman" w:hAnsi="Times New Roman" w:hint="eastAsia"/>
          <w:sz w:val="24"/>
        </w:rPr>
        <w:t>2022-0</w:t>
      </w:r>
      <w:r w:rsidR="009F722A">
        <w:rPr>
          <w:rFonts w:ascii="Times New Roman" w:hAnsi="Times New Roman"/>
          <w:sz w:val="24"/>
        </w:rPr>
        <w:t>1</w:t>
      </w:r>
      <w:r w:rsidR="004F4607">
        <w:rPr>
          <w:rFonts w:ascii="Times New Roman" w:hAnsi="Times New Roman"/>
          <w:sz w:val="24"/>
        </w:rPr>
        <w:t>6</w:t>
      </w:r>
    </w:p>
    <w:tbl>
      <w:tblPr>
        <w:tblStyle w:val="a3"/>
        <w:tblW w:w="10456" w:type="dxa"/>
        <w:jc w:val="center"/>
        <w:tblCellMar>
          <w:bottom w:w="28" w:type="dxa"/>
        </w:tblCellMar>
        <w:tblLook w:val="04A0" w:firstRow="1" w:lastRow="0" w:firstColumn="1" w:lastColumn="0" w:noHBand="0" w:noVBand="1"/>
      </w:tblPr>
      <w:tblGrid>
        <w:gridCol w:w="704"/>
        <w:gridCol w:w="1843"/>
        <w:gridCol w:w="2126"/>
        <w:gridCol w:w="2126"/>
        <w:gridCol w:w="3657"/>
      </w:tblGrid>
      <w:tr w:rsidR="005F5A6F" w:rsidRPr="00DC55F1" w14:paraId="44F38B32" w14:textId="77777777" w:rsidTr="00173F29">
        <w:trPr>
          <w:trHeight w:val="422"/>
          <w:jc w:val="center"/>
        </w:trPr>
        <w:tc>
          <w:tcPr>
            <w:tcW w:w="704" w:type="dxa"/>
            <w:vAlign w:val="center"/>
          </w:tcPr>
          <w:p w14:paraId="1EAA9707" w14:textId="107E27F2" w:rsidR="005F5A6F" w:rsidRPr="008C7798" w:rsidRDefault="005F5A6F" w:rsidP="005F5A6F">
            <w:pPr>
              <w:jc w:val="center"/>
              <w:rPr>
                <w:b/>
                <w:bCs/>
                <w:sz w:val="22"/>
                <w:szCs w:val="22"/>
              </w:rPr>
            </w:pPr>
            <w:r>
              <w:rPr>
                <w:rFonts w:hint="eastAsia"/>
                <w:b/>
                <w:bCs/>
                <w:sz w:val="22"/>
                <w:szCs w:val="22"/>
              </w:rPr>
              <w:t>序号</w:t>
            </w:r>
          </w:p>
        </w:tc>
        <w:tc>
          <w:tcPr>
            <w:tcW w:w="1843" w:type="dxa"/>
            <w:vAlign w:val="center"/>
          </w:tcPr>
          <w:p w14:paraId="1170B8C5" w14:textId="500D1D8B" w:rsidR="005F5A6F" w:rsidRPr="009F722A" w:rsidRDefault="005F5A6F" w:rsidP="005F5A6F">
            <w:pPr>
              <w:jc w:val="center"/>
              <w:rPr>
                <w:b/>
                <w:bCs/>
                <w:sz w:val="22"/>
                <w:szCs w:val="22"/>
              </w:rPr>
            </w:pPr>
            <w:r w:rsidRPr="009F722A">
              <w:rPr>
                <w:rFonts w:hint="eastAsia"/>
                <w:b/>
                <w:bCs/>
                <w:sz w:val="22"/>
                <w:szCs w:val="22"/>
              </w:rPr>
              <w:t>投资者关系活动类别</w:t>
            </w:r>
          </w:p>
        </w:tc>
        <w:tc>
          <w:tcPr>
            <w:tcW w:w="2126" w:type="dxa"/>
            <w:vAlign w:val="center"/>
          </w:tcPr>
          <w:p w14:paraId="2C6D0D26" w14:textId="13F55586" w:rsidR="005F5A6F" w:rsidRPr="009F722A" w:rsidRDefault="005F5A6F" w:rsidP="005F5A6F">
            <w:pPr>
              <w:jc w:val="center"/>
              <w:rPr>
                <w:b/>
                <w:bCs/>
                <w:sz w:val="22"/>
                <w:szCs w:val="22"/>
              </w:rPr>
            </w:pPr>
            <w:r w:rsidRPr="009F722A">
              <w:rPr>
                <w:rFonts w:hint="eastAsia"/>
                <w:b/>
                <w:bCs/>
                <w:sz w:val="22"/>
                <w:szCs w:val="22"/>
              </w:rPr>
              <w:t>活动时间</w:t>
            </w:r>
          </w:p>
        </w:tc>
        <w:tc>
          <w:tcPr>
            <w:tcW w:w="2126" w:type="dxa"/>
            <w:vAlign w:val="center"/>
          </w:tcPr>
          <w:p w14:paraId="082F0C1A" w14:textId="5B045444" w:rsidR="005F5A6F" w:rsidRPr="009F722A" w:rsidRDefault="005F5A6F" w:rsidP="005F5A6F">
            <w:pPr>
              <w:jc w:val="center"/>
              <w:rPr>
                <w:b/>
                <w:bCs/>
                <w:sz w:val="22"/>
                <w:szCs w:val="22"/>
              </w:rPr>
            </w:pPr>
            <w:r w:rsidRPr="009F722A">
              <w:rPr>
                <w:rFonts w:hint="eastAsia"/>
                <w:b/>
                <w:bCs/>
                <w:sz w:val="22"/>
                <w:szCs w:val="22"/>
              </w:rPr>
              <w:t>活动</w:t>
            </w:r>
            <w:r>
              <w:rPr>
                <w:rFonts w:hint="eastAsia"/>
                <w:b/>
                <w:bCs/>
                <w:sz w:val="22"/>
                <w:szCs w:val="22"/>
              </w:rPr>
              <w:t>形式</w:t>
            </w:r>
          </w:p>
        </w:tc>
        <w:tc>
          <w:tcPr>
            <w:tcW w:w="3657" w:type="dxa"/>
            <w:vAlign w:val="center"/>
          </w:tcPr>
          <w:p w14:paraId="6E9E2B64" w14:textId="453B1F5D" w:rsidR="005F5A6F" w:rsidRPr="009F722A" w:rsidRDefault="005F5A6F" w:rsidP="005F5A6F">
            <w:pPr>
              <w:jc w:val="center"/>
              <w:rPr>
                <w:b/>
                <w:bCs/>
                <w:sz w:val="22"/>
                <w:szCs w:val="22"/>
              </w:rPr>
            </w:pPr>
            <w:r w:rsidRPr="009F722A">
              <w:rPr>
                <w:rFonts w:hint="eastAsia"/>
                <w:b/>
                <w:bCs/>
                <w:sz w:val="22"/>
                <w:szCs w:val="22"/>
              </w:rPr>
              <w:t>参与单位名称</w:t>
            </w:r>
          </w:p>
        </w:tc>
      </w:tr>
      <w:tr w:rsidR="00625A51" w:rsidRPr="00DC55F1" w14:paraId="59C4DF06" w14:textId="77777777" w:rsidTr="00173F29">
        <w:trPr>
          <w:trHeight w:val="103"/>
          <w:jc w:val="center"/>
        </w:trPr>
        <w:tc>
          <w:tcPr>
            <w:tcW w:w="704" w:type="dxa"/>
            <w:vAlign w:val="center"/>
          </w:tcPr>
          <w:p w14:paraId="2406065F" w14:textId="70ACDB11" w:rsidR="00625A51" w:rsidRPr="000F1F33" w:rsidRDefault="00625A51" w:rsidP="005F5A6F">
            <w:pPr>
              <w:jc w:val="center"/>
              <w:rPr>
                <w:rFonts w:ascii="宋体" w:hAnsi="宋体"/>
                <w:sz w:val="22"/>
                <w:szCs w:val="22"/>
              </w:rPr>
            </w:pPr>
            <w:r>
              <w:rPr>
                <w:rFonts w:ascii="宋体" w:hAnsi="宋体"/>
                <w:sz w:val="22"/>
                <w:szCs w:val="22"/>
              </w:rPr>
              <w:t>1</w:t>
            </w:r>
          </w:p>
        </w:tc>
        <w:tc>
          <w:tcPr>
            <w:tcW w:w="1843" w:type="dxa"/>
            <w:vAlign w:val="center"/>
          </w:tcPr>
          <w:p w14:paraId="162F2A21" w14:textId="397A23C7" w:rsidR="00625A51" w:rsidRDefault="00625A51" w:rsidP="005F5A6F">
            <w:pPr>
              <w:jc w:val="center"/>
              <w:rPr>
                <w:rFonts w:ascii="宋体" w:hAnsi="宋体"/>
                <w:sz w:val="22"/>
                <w:szCs w:val="22"/>
              </w:rPr>
            </w:pPr>
            <w:r>
              <w:rPr>
                <w:rFonts w:ascii="宋体" w:hAnsi="宋体" w:hint="eastAsia"/>
                <w:sz w:val="22"/>
                <w:szCs w:val="22"/>
              </w:rPr>
              <w:t>券商策略会</w:t>
            </w:r>
          </w:p>
        </w:tc>
        <w:tc>
          <w:tcPr>
            <w:tcW w:w="2126" w:type="dxa"/>
            <w:vAlign w:val="center"/>
          </w:tcPr>
          <w:p w14:paraId="2A6FEFA2" w14:textId="3BE5805B" w:rsidR="00625A51" w:rsidRDefault="00625A51" w:rsidP="005F5A6F">
            <w:pPr>
              <w:jc w:val="center"/>
              <w:rPr>
                <w:rFonts w:ascii="宋体" w:hAnsi="宋体"/>
                <w:sz w:val="22"/>
                <w:szCs w:val="22"/>
              </w:rPr>
            </w:pPr>
            <w:r>
              <w:rPr>
                <w:rFonts w:ascii="宋体" w:hAnsi="宋体"/>
                <w:sz w:val="22"/>
                <w:szCs w:val="22"/>
              </w:rPr>
              <w:t>2022</w:t>
            </w:r>
            <w:r>
              <w:rPr>
                <w:rFonts w:ascii="宋体" w:hAnsi="宋体" w:hint="eastAsia"/>
                <w:sz w:val="22"/>
                <w:szCs w:val="22"/>
              </w:rPr>
              <w:t>年6月2</w:t>
            </w:r>
            <w:r>
              <w:rPr>
                <w:rFonts w:ascii="宋体" w:hAnsi="宋体"/>
                <w:sz w:val="22"/>
                <w:szCs w:val="22"/>
              </w:rPr>
              <w:t>3</w:t>
            </w:r>
            <w:r>
              <w:rPr>
                <w:rFonts w:ascii="宋体" w:hAnsi="宋体" w:hint="eastAsia"/>
                <w:sz w:val="22"/>
                <w:szCs w:val="22"/>
              </w:rPr>
              <w:t xml:space="preserve">日 </w:t>
            </w:r>
            <w:r>
              <w:rPr>
                <w:rFonts w:ascii="宋体" w:hAnsi="宋体"/>
                <w:sz w:val="22"/>
                <w:szCs w:val="22"/>
              </w:rPr>
              <w:t>13</w:t>
            </w:r>
            <w:r>
              <w:rPr>
                <w:rFonts w:ascii="宋体" w:hAnsi="宋体" w:hint="eastAsia"/>
                <w:sz w:val="22"/>
                <w:szCs w:val="22"/>
              </w:rPr>
              <w:t>:</w:t>
            </w:r>
            <w:r>
              <w:rPr>
                <w:rFonts w:ascii="宋体" w:hAnsi="宋体"/>
                <w:sz w:val="22"/>
                <w:szCs w:val="22"/>
              </w:rPr>
              <w:t>30</w:t>
            </w:r>
            <w:r>
              <w:rPr>
                <w:rFonts w:ascii="宋体" w:hAnsi="宋体" w:hint="eastAsia"/>
                <w:sz w:val="22"/>
                <w:szCs w:val="22"/>
              </w:rPr>
              <w:t>-</w:t>
            </w:r>
            <w:r>
              <w:rPr>
                <w:rFonts w:ascii="宋体" w:hAnsi="宋体"/>
                <w:sz w:val="22"/>
                <w:szCs w:val="22"/>
              </w:rPr>
              <w:t>14</w:t>
            </w:r>
            <w:r>
              <w:rPr>
                <w:rFonts w:ascii="宋体" w:hAnsi="宋体" w:hint="eastAsia"/>
                <w:sz w:val="22"/>
                <w:szCs w:val="22"/>
              </w:rPr>
              <w:t>:</w:t>
            </w:r>
            <w:r>
              <w:rPr>
                <w:rFonts w:ascii="宋体" w:hAnsi="宋体"/>
                <w:sz w:val="22"/>
                <w:szCs w:val="22"/>
              </w:rPr>
              <w:t>30</w:t>
            </w:r>
          </w:p>
        </w:tc>
        <w:tc>
          <w:tcPr>
            <w:tcW w:w="2126" w:type="dxa"/>
            <w:vAlign w:val="center"/>
          </w:tcPr>
          <w:p w14:paraId="2348E3CF" w14:textId="589478FA" w:rsidR="00625A51" w:rsidRDefault="00625A51" w:rsidP="005F5A6F">
            <w:pPr>
              <w:jc w:val="center"/>
              <w:rPr>
                <w:rFonts w:ascii="宋体" w:hAnsi="宋体"/>
                <w:sz w:val="22"/>
                <w:szCs w:val="22"/>
              </w:rPr>
            </w:pPr>
            <w:r>
              <w:rPr>
                <w:rFonts w:ascii="宋体" w:hAnsi="宋体" w:hint="eastAsia"/>
                <w:sz w:val="22"/>
                <w:szCs w:val="22"/>
              </w:rPr>
              <w:t>电话会议</w:t>
            </w:r>
          </w:p>
        </w:tc>
        <w:tc>
          <w:tcPr>
            <w:tcW w:w="3657" w:type="dxa"/>
            <w:vAlign w:val="center"/>
          </w:tcPr>
          <w:p w14:paraId="3E583A64" w14:textId="2BD14DBC" w:rsidR="00B26207" w:rsidRDefault="00625A51" w:rsidP="00B26207">
            <w:pPr>
              <w:jc w:val="center"/>
              <w:rPr>
                <w:rFonts w:ascii="宋体" w:hAnsi="宋体"/>
                <w:sz w:val="22"/>
                <w:szCs w:val="22"/>
              </w:rPr>
            </w:pPr>
            <w:r>
              <w:rPr>
                <w:rFonts w:ascii="宋体" w:hAnsi="宋体" w:hint="eastAsia"/>
                <w:sz w:val="22"/>
                <w:szCs w:val="22"/>
              </w:rPr>
              <w:t>东方证券、</w:t>
            </w:r>
            <w:r w:rsidR="00B26207">
              <w:rPr>
                <w:rFonts w:ascii="宋体" w:hAnsi="宋体" w:hint="eastAsia"/>
                <w:sz w:val="22"/>
                <w:szCs w:val="22"/>
              </w:rPr>
              <w:t>鹏华基金、天治基金、上投摩根基金、创金合信基金、安信基金、平安资管、中国人保资管</w:t>
            </w:r>
          </w:p>
        </w:tc>
      </w:tr>
      <w:tr w:rsidR="00625A51" w:rsidRPr="00DC55F1" w14:paraId="3716AFAD" w14:textId="77777777" w:rsidTr="00173F29">
        <w:trPr>
          <w:trHeight w:val="103"/>
          <w:jc w:val="center"/>
        </w:trPr>
        <w:tc>
          <w:tcPr>
            <w:tcW w:w="704" w:type="dxa"/>
            <w:vAlign w:val="center"/>
          </w:tcPr>
          <w:p w14:paraId="4E2FDE58" w14:textId="2768DE10" w:rsidR="00625A51" w:rsidRPr="000F1F33" w:rsidRDefault="00625A51" w:rsidP="00625A51">
            <w:pPr>
              <w:jc w:val="center"/>
              <w:rPr>
                <w:rFonts w:ascii="宋体" w:hAnsi="宋体"/>
                <w:sz w:val="22"/>
                <w:szCs w:val="22"/>
              </w:rPr>
            </w:pPr>
            <w:r>
              <w:rPr>
                <w:rFonts w:ascii="宋体" w:hAnsi="宋体"/>
                <w:sz w:val="22"/>
                <w:szCs w:val="22"/>
              </w:rPr>
              <w:t>2</w:t>
            </w:r>
          </w:p>
        </w:tc>
        <w:tc>
          <w:tcPr>
            <w:tcW w:w="1843" w:type="dxa"/>
            <w:vAlign w:val="center"/>
          </w:tcPr>
          <w:p w14:paraId="1D71C65D" w14:textId="20D63BD0" w:rsidR="00625A51" w:rsidRPr="000F1F33" w:rsidRDefault="00625A51" w:rsidP="00625A51">
            <w:pPr>
              <w:jc w:val="center"/>
              <w:rPr>
                <w:rFonts w:ascii="宋体" w:hAnsi="宋体"/>
                <w:sz w:val="22"/>
                <w:szCs w:val="22"/>
              </w:rPr>
            </w:pPr>
            <w:r>
              <w:rPr>
                <w:rFonts w:ascii="宋体" w:hAnsi="宋体" w:hint="eastAsia"/>
                <w:sz w:val="22"/>
                <w:szCs w:val="22"/>
              </w:rPr>
              <w:t>特定对象调研</w:t>
            </w:r>
          </w:p>
        </w:tc>
        <w:tc>
          <w:tcPr>
            <w:tcW w:w="2126" w:type="dxa"/>
            <w:vAlign w:val="center"/>
          </w:tcPr>
          <w:p w14:paraId="0CE6545C" w14:textId="26B4EF5B" w:rsidR="00625A51" w:rsidRDefault="00625A51" w:rsidP="00625A51">
            <w:pPr>
              <w:jc w:val="center"/>
              <w:rPr>
                <w:rFonts w:ascii="宋体" w:hAnsi="宋体"/>
                <w:sz w:val="22"/>
                <w:szCs w:val="22"/>
              </w:rPr>
            </w:pPr>
            <w:r>
              <w:rPr>
                <w:rFonts w:ascii="宋体" w:hAnsi="宋体"/>
                <w:sz w:val="22"/>
                <w:szCs w:val="22"/>
              </w:rPr>
              <w:t>2022</w:t>
            </w:r>
            <w:r>
              <w:rPr>
                <w:rFonts w:ascii="宋体" w:hAnsi="宋体" w:hint="eastAsia"/>
                <w:sz w:val="22"/>
                <w:szCs w:val="22"/>
              </w:rPr>
              <w:t>年6月2</w:t>
            </w:r>
            <w:r>
              <w:rPr>
                <w:rFonts w:ascii="宋体" w:hAnsi="宋体"/>
                <w:sz w:val="22"/>
                <w:szCs w:val="22"/>
              </w:rPr>
              <w:t>3</w:t>
            </w:r>
            <w:r>
              <w:rPr>
                <w:rFonts w:ascii="宋体" w:hAnsi="宋体" w:hint="eastAsia"/>
                <w:sz w:val="22"/>
                <w:szCs w:val="22"/>
              </w:rPr>
              <w:t>日</w:t>
            </w:r>
          </w:p>
          <w:p w14:paraId="30D3A2F2" w14:textId="70839760" w:rsidR="00625A51" w:rsidRPr="000F1F33" w:rsidRDefault="00625A51" w:rsidP="00625A51">
            <w:pPr>
              <w:jc w:val="center"/>
              <w:rPr>
                <w:rFonts w:ascii="宋体" w:hAnsi="宋体"/>
                <w:sz w:val="22"/>
                <w:szCs w:val="22"/>
              </w:rPr>
            </w:pPr>
            <w:r>
              <w:rPr>
                <w:rFonts w:ascii="宋体" w:hAnsi="宋体"/>
                <w:sz w:val="22"/>
                <w:szCs w:val="22"/>
              </w:rPr>
              <w:t>15</w:t>
            </w:r>
            <w:r>
              <w:rPr>
                <w:rFonts w:ascii="宋体" w:hAnsi="宋体" w:hint="eastAsia"/>
                <w:sz w:val="22"/>
                <w:szCs w:val="22"/>
              </w:rPr>
              <w:t>:</w:t>
            </w:r>
            <w:r>
              <w:rPr>
                <w:rFonts w:ascii="宋体" w:hAnsi="宋体"/>
                <w:sz w:val="22"/>
                <w:szCs w:val="22"/>
              </w:rPr>
              <w:t>00</w:t>
            </w:r>
            <w:r>
              <w:rPr>
                <w:rFonts w:ascii="宋体" w:hAnsi="宋体" w:hint="eastAsia"/>
                <w:sz w:val="22"/>
                <w:szCs w:val="22"/>
              </w:rPr>
              <w:t>-</w:t>
            </w:r>
            <w:r>
              <w:rPr>
                <w:rFonts w:ascii="宋体" w:hAnsi="宋体"/>
                <w:sz w:val="22"/>
                <w:szCs w:val="22"/>
              </w:rPr>
              <w:t>18</w:t>
            </w:r>
            <w:r>
              <w:rPr>
                <w:rFonts w:ascii="宋体" w:hAnsi="宋体" w:hint="eastAsia"/>
                <w:sz w:val="22"/>
                <w:szCs w:val="22"/>
              </w:rPr>
              <w:t>:</w:t>
            </w:r>
            <w:r>
              <w:rPr>
                <w:rFonts w:ascii="宋体" w:hAnsi="宋体"/>
                <w:sz w:val="22"/>
                <w:szCs w:val="22"/>
              </w:rPr>
              <w:t>00</w:t>
            </w:r>
          </w:p>
        </w:tc>
        <w:tc>
          <w:tcPr>
            <w:tcW w:w="2126" w:type="dxa"/>
            <w:vAlign w:val="center"/>
          </w:tcPr>
          <w:p w14:paraId="068AB145" w14:textId="02080657" w:rsidR="00625A51" w:rsidRDefault="00FE5419" w:rsidP="00625A51">
            <w:pPr>
              <w:jc w:val="center"/>
              <w:rPr>
                <w:rFonts w:ascii="宋体" w:hAnsi="宋体"/>
                <w:sz w:val="22"/>
                <w:szCs w:val="22"/>
              </w:rPr>
            </w:pPr>
            <w:r>
              <w:rPr>
                <w:rFonts w:ascii="宋体" w:hAnsi="宋体" w:hint="eastAsia"/>
                <w:sz w:val="22"/>
                <w:szCs w:val="22"/>
              </w:rPr>
              <w:t>现场</w:t>
            </w:r>
            <w:r w:rsidR="00625A51">
              <w:rPr>
                <w:rFonts w:ascii="宋体" w:hAnsi="宋体" w:hint="eastAsia"/>
                <w:sz w:val="22"/>
                <w:szCs w:val="22"/>
              </w:rPr>
              <w:t>调研</w:t>
            </w:r>
          </w:p>
        </w:tc>
        <w:tc>
          <w:tcPr>
            <w:tcW w:w="3657" w:type="dxa"/>
            <w:vAlign w:val="center"/>
          </w:tcPr>
          <w:p w14:paraId="421EEA7E" w14:textId="08DA6A7E" w:rsidR="00625A51" w:rsidRPr="000F1F33" w:rsidRDefault="00625A51" w:rsidP="00625A51">
            <w:pPr>
              <w:jc w:val="center"/>
              <w:rPr>
                <w:rFonts w:ascii="宋体" w:hAnsi="宋体"/>
                <w:sz w:val="22"/>
                <w:szCs w:val="22"/>
              </w:rPr>
            </w:pPr>
            <w:r>
              <w:rPr>
                <w:rFonts w:ascii="宋体" w:hAnsi="宋体" w:hint="eastAsia"/>
                <w:sz w:val="22"/>
                <w:szCs w:val="22"/>
              </w:rPr>
              <w:t>易方达基金</w:t>
            </w:r>
          </w:p>
        </w:tc>
      </w:tr>
      <w:tr w:rsidR="00625A51" w:rsidRPr="00DC55F1" w14:paraId="225898CC" w14:textId="77777777" w:rsidTr="00173F29">
        <w:trPr>
          <w:trHeight w:val="44"/>
          <w:jc w:val="center"/>
        </w:trPr>
        <w:tc>
          <w:tcPr>
            <w:tcW w:w="704" w:type="dxa"/>
            <w:vAlign w:val="center"/>
          </w:tcPr>
          <w:p w14:paraId="7C5E59C2" w14:textId="2E77952F" w:rsidR="00625A51" w:rsidRPr="000F1F33" w:rsidRDefault="00625A51" w:rsidP="00625A51">
            <w:pPr>
              <w:jc w:val="center"/>
              <w:rPr>
                <w:rFonts w:ascii="宋体" w:hAnsi="宋体"/>
                <w:sz w:val="22"/>
                <w:szCs w:val="22"/>
              </w:rPr>
            </w:pPr>
            <w:r>
              <w:rPr>
                <w:rFonts w:ascii="宋体" w:hAnsi="宋体"/>
                <w:sz w:val="22"/>
                <w:szCs w:val="22"/>
              </w:rPr>
              <w:t>3</w:t>
            </w:r>
          </w:p>
        </w:tc>
        <w:tc>
          <w:tcPr>
            <w:tcW w:w="1843" w:type="dxa"/>
            <w:vAlign w:val="center"/>
          </w:tcPr>
          <w:p w14:paraId="4AA6667B" w14:textId="44DC8E54" w:rsidR="00625A51" w:rsidRPr="000F1F33" w:rsidRDefault="00625A51" w:rsidP="00625A51">
            <w:pPr>
              <w:jc w:val="center"/>
              <w:rPr>
                <w:rFonts w:ascii="宋体" w:hAnsi="宋体"/>
                <w:sz w:val="22"/>
                <w:szCs w:val="22"/>
              </w:rPr>
            </w:pPr>
            <w:r>
              <w:rPr>
                <w:rFonts w:ascii="宋体" w:hAnsi="宋体" w:hint="eastAsia"/>
                <w:sz w:val="22"/>
                <w:szCs w:val="22"/>
              </w:rPr>
              <w:t>券商策略会</w:t>
            </w:r>
          </w:p>
        </w:tc>
        <w:tc>
          <w:tcPr>
            <w:tcW w:w="2126" w:type="dxa"/>
            <w:vAlign w:val="center"/>
          </w:tcPr>
          <w:p w14:paraId="4DC1303A" w14:textId="7024DDFA" w:rsidR="00625A51" w:rsidRDefault="00625A51" w:rsidP="00625A51">
            <w:pPr>
              <w:jc w:val="center"/>
              <w:rPr>
                <w:rFonts w:ascii="宋体" w:hAnsi="宋体"/>
                <w:sz w:val="22"/>
                <w:szCs w:val="22"/>
              </w:rPr>
            </w:pPr>
            <w:r>
              <w:rPr>
                <w:rFonts w:ascii="宋体" w:hAnsi="宋体"/>
                <w:sz w:val="22"/>
                <w:szCs w:val="22"/>
              </w:rPr>
              <w:t>2022</w:t>
            </w:r>
            <w:r>
              <w:rPr>
                <w:rFonts w:ascii="宋体" w:hAnsi="宋体" w:hint="eastAsia"/>
                <w:sz w:val="22"/>
                <w:szCs w:val="22"/>
              </w:rPr>
              <w:t>年6月2</w:t>
            </w:r>
            <w:r>
              <w:rPr>
                <w:rFonts w:ascii="宋体" w:hAnsi="宋体"/>
                <w:sz w:val="22"/>
                <w:szCs w:val="22"/>
              </w:rPr>
              <w:t>3</w:t>
            </w:r>
            <w:r>
              <w:rPr>
                <w:rFonts w:ascii="宋体" w:hAnsi="宋体" w:hint="eastAsia"/>
                <w:sz w:val="22"/>
                <w:szCs w:val="22"/>
              </w:rPr>
              <w:t>日</w:t>
            </w:r>
          </w:p>
          <w:p w14:paraId="6CB65206" w14:textId="6E96BAC0" w:rsidR="00625A51" w:rsidRPr="000F1F33" w:rsidRDefault="00625A51" w:rsidP="00625A51">
            <w:pPr>
              <w:jc w:val="center"/>
              <w:rPr>
                <w:rFonts w:ascii="宋体" w:hAnsi="宋体"/>
                <w:sz w:val="22"/>
                <w:szCs w:val="22"/>
              </w:rPr>
            </w:pPr>
            <w:r>
              <w:rPr>
                <w:rFonts w:ascii="宋体" w:hAnsi="宋体"/>
                <w:sz w:val="22"/>
                <w:szCs w:val="22"/>
              </w:rPr>
              <w:t>15</w:t>
            </w:r>
            <w:r>
              <w:rPr>
                <w:rFonts w:ascii="宋体" w:hAnsi="宋体" w:hint="eastAsia"/>
                <w:sz w:val="22"/>
                <w:szCs w:val="22"/>
              </w:rPr>
              <w:t>:</w:t>
            </w:r>
            <w:r>
              <w:rPr>
                <w:rFonts w:ascii="宋体" w:hAnsi="宋体"/>
                <w:sz w:val="22"/>
                <w:szCs w:val="22"/>
              </w:rPr>
              <w:t>00</w:t>
            </w:r>
            <w:r>
              <w:rPr>
                <w:rFonts w:ascii="宋体" w:hAnsi="宋体" w:hint="eastAsia"/>
                <w:sz w:val="22"/>
                <w:szCs w:val="22"/>
              </w:rPr>
              <w:t>-</w:t>
            </w:r>
            <w:r>
              <w:rPr>
                <w:rFonts w:ascii="宋体" w:hAnsi="宋体"/>
                <w:sz w:val="22"/>
                <w:szCs w:val="22"/>
              </w:rPr>
              <w:t>16</w:t>
            </w:r>
            <w:r>
              <w:rPr>
                <w:rFonts w:ascii="宋体" w:hAnsi="宋体" w:hint="eastAsia"/>
                <w:sz w:val="22"/>
                <w:szCs w:val="22"/>
              </w:rPr>
              <w:t>:</w:t>
            </w:r>
            <w:r>
              <w:rPr>
                <w:rFonts w:ascii="宋体" w:hAnsi="宋体"/>
                <w:sz w:val="22"/>
                <w:szCs w:val="22"/>
              </w:rPr>
              <w:t>00</w:t>
            </w:r>
          </w:p>
        </w:tc>
        <w:tc>
          <w:tcPr>
            <w:tcW w:w="2126" w:type="dxa"/>
            <w:vAlign w:val="center"/>
          </w:tcPr>
          <w:p w14:paraId="726C19BD" w14:textId="0CCD7CA5" w:rsidR="00625A51" w:rsidRDefault="00625A51" w:rsidP="00625A51">
            <w:pPr>
              <w:jc w:val="center"/>
              <w:rPr>
                <w:rFonts w:ascii="宋体" w:hAnsi="宋体"/>
                <w:sz w:val="22"/>
                <w:szCs w:val="22"/>
              </w:rPr>
            </w:pPr>
            <w:r>
              <w:rPr>
                <w:rFonts w:ascii="宋体" w:hAnsi="宋体" w:hint="eastAsia"/>
                <w:sz w:val="22"/>
                <w:szCs w:val="22"/>
              </w:rPr>
              <w:t>电话会议</w:t>
            </w:r>
          </w:p>
        </w:tc>
        <w:tc>
          <w:tcPr>
            <w:tcW w:w="3657" w:type="dxa"/>
            <w:vAlign w:val="center"/>
          </w:tcPr>
          <w:p w14:paraId="2975AC1D" w14:textId="37E78C69" w:rsidR="00625A51" w:rsidRPr="000F1F33" w:rsidRDefault="00625A51" w:rsidP="00625A51">
            <w:pPr>
              <w:jc w:val="center"/>
              <w:rPr>
                <w:rFonts w:ascii="宋体" w:hAnsi="宋体"/>
                <w:sz w:val="22"/>
                <w:szCs w:val="22"/>
              </w:rPr>
            </w:pPr>
            <w:r>
              <w:rPr>
                <w:rFonts w:ascii="宋体" w:hAnsi="宋体" w:hint="eastAsia"/>
                <w:sz w:val="22"/>
                <w:szCs w:val="22"/>
              </w:rPr>
              <w:t>光大证券、</w:t>
            </w:r>
            <w:r w:rsidR="006B6923">
              <w:rPr>
                <w:rFonts w:ascii="宋体" w:hAnsi="宋体" w:hint="eastAsia"/>
                <w:sz w:val="22"/>
                <w:szCs w:val="22"/>
              </w:rPr>
              <w:t>农银汇理</w:t>
            </w:r>
            <w:r w:rsidR="00FE5419">
              <w:rPr>
                <w:rFonts w:ascii="宋体" w:hAnsi="宋体" w:hint="eastAsia"/>
                <w:sz w:val="22"/>
                <w:szCs w:val="22"/>
              </w:rPr>
              <w:t>基金</w:t>
            </w:r>
            <w:r w:rsidR="006B6923">
              <w:rPr>
                <w:rFonts w:ascii="宋体" w:hAnsi="宋体" w:hint="eastAsia"/>
                <w:sz w:val="22"/>
                <w:szCs w:val="22"/>
              </w:rPr>
              <w:t>、民生加银基金、天弘基金、华夏基金</w:t>
            </w:r>
          </w:p>
        </w:tc>
      </w:tr>
      <w:tr w:rsidR="00625A51" w:rsidRPr="00DC55F1" w14:paraId="3BB89ED3" w14:textId="77777777" w:rsidTr="00173F29">
        <w:trPr>
          <w:trHeight w:val="44"/>
          <w:jc w:val="center"/>
        </w:trPr>
        <w:tc>
          <w:tcPr>
            <w:tcW w:w="704" w:type="dxa"/>
            <w:vAlign w:val="center"/>
          </w:tcPr>
          <w:p w14:paraId="3BEA8FCB" w14:textId="51BCDAFE" w:rsidR="00625A51" w:rsidRPr="000F1F33" w:rsidRDefault="00625A51" w:rsidP="00625A51">
            <w:pPr>
              <w:jc w:val="center"/>
              <w:rPr>
                <w:rFonts w:ascii="宋体" w:hAnsi="宋体"/>
                <w:sz w:val="22"/>
                <w:szCs w:val="22"/>
              </w:rPr>
            </w:pPr>
            <w:r>
              <w:rPr>
                <w:rFonts w:ascii="宋体" w:hAnsi="宋体"/>
                <w:sz w:val="22"/>
                <w:szCs w:val="22"/>
              </w:rPr>
              <w:t>4</w:t>
            </w:r>
          </w:p>
        </w:tc>
        <w:tc>
          <w:tcPr>
            <w:tcW w:w="1843" w:type="dxa"/>
            <w:vAlign w:val="center"/>
          </w:tcPr>
          <w:p w14:paraId="309B35BD" w14:textId="113ECB24" w:rsidR="00625A51" w:rsidRPr="000F1F33" w:rsidRDefault="00625A51" w:rsidP="00625A51">
            <w:pPr>
              <w:jc w:val="center"/>
              <w:rPr>
                <w:rFonts w:ascii="宋体" w:hAnsi="宋体"/>
                <w:sz w:val="22"/>
                <w:szCs w:val="22"/>
              </w:rPr>
            </w:pPr>
            <w:r>
              <w:rPr>
                <w:rFonts w:ascii="宋体" w:hAnsi="宋体" w:hint="eastAsia"/>
                <w:sz w:val="22"/>
                <w:szCs w:val="22"/>
              </w:rPr>
              <w:t>券商策略会</w:t>
            </w:r>
          </w:p>
        </w:tc>
        <w:tc>
          <w:tcPr>
            <w:tcW w:w="2126" w:type="dxa"/>
            <w:vAlign w:val="center"/>
          </w:tcPr>
          <w:p w14:paraId="478D9890" w14:textId="17B53B5C" w:rsidR="00625A51" w:rsidRDefault="00625A51" w:rsidP="00625A51">
            <w:pPr>
              <w:jc w:val="center"/>
              <w:rPr>
                <w:rFonts w:ascii="宋体" w:hAnsi="宋体"/>
                <w:sz w:val="22"/>
                <w:szCs w:val="22"/>
              </w:rPr>
            </w:pPr>
            <w:r>
              <w:rPr>
                <w:rFonts w:ascii="宋体" w:hAnsi="宋体"/>
                <w:sz w:val="22"/>
                <w:szCs w:val="22"/>
              </w:rPr>
              <w:t>2022</w:t>
            </w:r>
            <w:r>
              <w:rPr>
                <w:rFonts w:ascii="宋体" w:hAnsi="宋体" w:hint="eastAsia"/>
                <w:sz w:val="22"/>
                <w:szCs w:val="22"/>
              </w:rPr>
              <w:t>年6月2</w:t>
            </w:r>
            <w:r>
              <w:rPr>
                <w:rFonts w:ascii="宋体" w:hAnsi="宋体"/>
                <w:sz w:val="22"/>
                <w:szCs w:val="22"/>
              </w:rPr>
              <w:t>4</w:t>
            </w:r>
            <w:r>
              <w:rPr>
                <w:rFonts w:ascii="宋体" w:hAnsi="宋体" w:hint="eastAsia"/>
                <w:sz w:val="22"/>
                <w:szCs w:val="22"/>
              </w:rPr>
              <w:t>日</w:t>
            </w:r>
          </w:p>
          <w:p w14:paraId="4D696914" w14:textId="22C731FE" w:rsidR="00625A51" w:rsidRPr="000F1F33" w:rsidRDefault="00625A51" w:rsidP="00625A51">
            <w:pPr>
              <w:jc w:val="center"/>
              <w:rPr>
                <w:rFonts w:ascii="宋体" w:hAnsi="宋体"/>
                <w:sz w:val="22"/>
                <w:szCs w:val="22"/>
              </w:rPr>
            </w:pPr>
            <w:r>
              <w:rPr>
                <w:rFonts w:ascii="宋体" w:hAnsi="宋体"/>
                <w:sz w:val="22"/>
                <w:szCs w:val="22"/>
              </w:rPr>
              <w:t>14</w:t>
            </w:r>
            <w:r>
              <w:rPr>
                <w:rFonts w:ascii="宋体" w:hAnsi="宋体" w:hint="eastAsia"/>
                <w:sz w:val="22"/>
                <w:szCs w:val="22"/>
              </w:rPr>
              <w:t>:</w:t>
            </w:r>
            <w:r>
              <w:rPr>
                <w:rFonts w:ascii="宋体" w:hAnsi="宋体"/>
                <w:sz w:val="22"/>
                <w:szCs w:val="22"/>
              </w:rPr>
              <w:t>00</w:t>
            </w:r>
            <w:r>
              <w:rPr>
                <w:rFonts w:ascii="宋体" w:hAnsi="宋体" w:hint="eastAsia"/>
                <w:sz w:val="22"/>
                <w:szCs w:val="22"/>
              </w:rPr>
              <w:t>-</w:t>
            </w:r>
            <w:r>
              <w:rPr>
                <w:rFonts w:ascii="宋体" w:hAnsi="宋体"/>
                <w:sz w:val="22"/>
                <w:szCs w:val="22"/>
              </w:rPr>
              <w:t>1</w:t>
            </w:r>
            <w:r w:rsidR="00546BCB">
              <w:rPr>
                <w:rFonts w:ascii="宋体" w:hAnsi="宋体"/>
                <w:sz w:val="22"/>
                <w:szCs w:val="22"/>
              </w:rPr>
              <w:t>5</w:t>
            </w:r>
            <w:r w:rsidR="00546BCB">
              <w:rPr>
                <w:rFonts w:ascii="宋体" w:hAnsi="宋体" w:hint="eastAsia"/>
                <w:sz w:val="22"/>
                <w:szCs w:val="22"/>
              </w:rPr>
              <w:t>:</w:t>
            </w:r>
            <w:r w:rsidR="00546BCB">
              <w:rPr>
                <w:rFonts w:ascii="宋体" w:hAnsi="宋体"/>
                <w:sz w:val="22"/>
                <w:szCs w:val="22"/>
              </w:rPr>
              <w:t>00</w:t>
            </w:r>
          </w:p>
        </w:tc>
        <w:tc>
          <w:tcPr>
            <w:tcW w:w="2126" w:type="dxa"/>
            <w:vAlign w:val="center"/>
          </w:tcPr>
          <w:p w14:paraId="643C02DD" w14:textId="5BD8DA5B" w:rsidR="00625A51" w:rsidRDefault="00625A51" w:rsidP="00625A51">
            <w:pPr>
              <w:jc w:val="center"/>
              <w:rPr>
                <w:rFonts w:ascii="宋体" w:hAnsi="宋体"/>
                <w:sz w:val="22"/>
                <w:szCs w:val="22"/>
              </w:rPr>
            </w:pPr>
            <w:r>
              <w:rPr>
                <w:rFonts w:ascii="宋体" w:hAnsi="宋体" w:hint="eastAsia"/>
                <w:sz w:val="22"/>
                <w:szCs w:val="22"/>
              </w:rPr>
              <w:t>电话会议</w:t>
            </w:r>
          </w:p>
        </w:tc>
        <w:tc>
          <w:tcPr>
            <w:tcW w:w="3657" w:type="dxa"/>
            <w:vAlign w:val="center"/>
          </w:tcPr>
          <w:p w14:paraId="5FF100CD" w14:textId="0F7D3FBB" w:rsidR="006B6923" w:rsidRPr="000F1F33" w:rsidRDefault="00625A51" w:rsidP="006B6923">
            <w:pPr>
              <w:jc w:val="center"/>
              <w:rPr>
                <w:rFonts w:ascii="宋体" w:hAnsi="宋体"/>
                <w:sz w:val="22"/>
                <w:szCs w:val="22"/>
              </w:rPr>
            </w:pPr>
            <w:r>
              <w:rPr>
                <w:rFonts w:ascii="宋体" w:hAnsi="宋体" w:hint="eastAsia"/>
                <w:sz w:val="22"/>
                <w:szCs w:val="22"/>
              </w:rPr>
              <w:t>海通证券、</w:t>
            </w:r>
            <w:r w:rsidR="006B6923">
              <w:rPr>
                <w:rFonts w:ascii="宋体" w:hAnsi="宋体" w:hint="eastAsia"/>
                <w:sz w:val="22"/>
                <w:szCs w:val="22"/>
              </w:rPr>
              <w:t>西南证券、</w:t>
            </w:r>
            <w:r w:rsidR="006B6923" w:rsidRPr="006B6923">
              <w:rPr>
                <w:rFonts w:ascii="宋体" w:hAnsi="宋体" w:hint="eastAsia"/>
                <w:sz w:val="22"/>
                <w:szCs w:val="22"/>
              </w:rPr>
              <w:t>睿郡资产</w:t>
            </w:r>
            <w:r w:rsidR="006B6923">
              <w:rPr>
                <w:rFonts w:ascii="宋体" w:hAnsi="宋体" w:hint="eastAsia"/>
                <w:sz w:val="22"/>
                <w:szCs w:val="22"/>
              </w:rPr>
              <w:t>、</w:t>
            </w:r>
            <w:r w:rsidR="006B6923" w:rsidRPr="006B6923">
              <w:rPr>
                <w:rFonts w:ascii="宋体" w:hAnsi="宋体" w:hint="eastAsia"/>
                <w:sz w:val="22"/>
                <w:szCs w:val="22"/>
              </w:rPr>
              <w:t>金塔投资</w:t>
            </w:r>
            <w:r w:rsidR="006B6923">
              <w:rPr>
                <w:rFonts w:ascii="宋体" w:hAnsi="宋体" w:hint="eastAsia"/>
                <w:sz w:val="22"/>
                <w:szCs w:val="22"/>
              </w:rPr>
              <w:t>、</w:t>
            </w:r>
            <w:r w:rsidR="006B6923" w:rsidRPr="006B6923">
              <w:rPr>
                <w:rFonts w:ascii="宋体" w:hAnsi="宋体" w:hint="eastAsia"/>
                <w:sz w:val="22"/>
                <w:szCs w:val="22"/>
              </w:rPr>
              <w:t>伊萨投资</w:t>
            </w:r>
            <w:r w:rsidR="006B6923">
              <w:rPr>
                <w:rFonts w:ascii="宋体" w:hAnsi="宋体" w:hint="eastAsia"/>
                <w:sz w:val="22"/>
                <w:szCs w:val="22"/>
              </w:rPr>
              <w:t>、万家基金、</w:t>
            </w:r>
            <w:r w:rsidR="006B6923" w:rsidRPr="006B6923">
              <w:rPr>
                <w:rFonts w:ascii="宋体" w:hAnsi="宋体" w:hint="eastAsia"/>
                <w:sz w:val="22"/>
                <w:szCs w:val="22"/>
              </w:rPr>
              <w:t>信迹投资</w:t>
            </w:r>
            <w:r w:rsidR="006B6923">
              <w:rPr>
                <w:rFonts w:ascii="宋体" w:hAnsi="宋体" w:hint="eastAsia"/>
                <w:sz w:val="22"/>
                <w:szCs w:val="22"/>
              </w:rPr>
              <w:t>、合众资管、中和资本、远信私募</w:t>
            </w:r>
          </w:p>
        </w:tc>
      </w:tr>
      <w:tr w:rsidR="00625A51" w:rsidRPr="00DC55F1" w14:paraId="67A7B4A8" w14:textId="77777777" w:rsidTr="00173F29">
        <w:trPr>
          <w:trHeight w:val="44"/>
          <w:jc w:val="center"/>
        </w:trPr>
        <w:tc>
          <w:tcPr>
            <w:tcW w:w="704" w:type="dxa"/>
            <w:vAlign w:val="center"/>
          </w:tcPr>
          <w:p w14:paraId="41D41E14" w14:textId="4F39EB87" w:rsidR="00625A51" w:rsidRDefault="00625A51" w:rsidP="00625A51">
            <w:pPr>
              <w:jc w:val="center"/>
              <w:rPr>
                <w:rFonts w:ascii="宋体" w:hAnsi="宋体"/>
                <w:sz w:val="22"/>
                <w:szCs w:val="22"/>
              </w:rPr>
            </w:pPr>
            <w:r>
              <w:rPr>
                <w:rFonts w:ascii="宋体" w:hAnsi="宋体"/>
                <w:sz w:val="22"/>
                <w:szCs w:val="22"/>
              </w:rPr>
              <w:t>5</w:t>
            </w:r>
          </w:p>
        </w:tc>
        <w:tc>
          <w:tcPr>
            <w:tcW w:w="1843" w:type="dxa"/>
            <w:vAlign w:val="center"/>
          </w:tcPr>
          <w:p w14:paraId="0192BCDC" w14:textId="3103D66E" w:rsidR="00625A51" w:rsidRDefault="00625A51" w:rsidP="00625A51">
            <w:pPr>
              <w:jc w:val="center"/>
              <w:rPr>
                <w:rFonts w:ascii="宋体" w:hAnsi="宋体"/>
                <w:sz w:val="22"/>
                <w:szCs w:val="22"/>
              </w:rPr>
            </w:pPr>
            <w:r>
              <w:rPr>
                <w:rFonts w:ascii="宋体" w:hAnsi="宋体" w:hint="eastAsia"/>
                <w:sz w:val="22"/>
                <w:szCs w:val="22"/>
              </w:rPr>
              <w:t>券商策略会</w:t>
            </w:r>
          </w:p>
        </w:tc>
        <w:tc>
          <w:tcPr>
            <w:tcW w:w="2126" w:type="dxa"/>
            <w:vAlign w:val="center"/>
          </w:tcPr>
          <w:p w14:paraId="4263741D" w14:textId="32ACF5DD" w:rsidR="00625A51" w:rsidRDefault="00625A51" w:rsidP="00625A51">
            <w:pPr>
              <w:jc w:val="center"/>
              <w:rPr>
                <w:rFonts w:ascii="宋体" w:hAnsi="宋体"/>
                <w:sz w:val="22"/>
                <w:szCs w:val="22"/>
              </w:rPr>
            </w:pPr>
            <w:r>
              <w:rPr>
                <w:rFonts w:ascii="宋体" w:hAnsi="宋体"/>
                <w:sz w:val="22"/>
                <w:szCs w:val="22"/>
              </w:rPr>
              <w:t>2022</w:t>
            </w:r>
            <w:r>
              <w:rPr>
                <w:rFonts w:ascii="宋体" w:hAnsi="宋体" w:hint="eastAsia"/>
                <w:sz w:val="22"/>
                <w:szCs w:val="22"/>
              </w:rPr>
              <w:t>年6月2</w:t>
            </w:r>
            <w:r>
              <w:rPr>
                <w:rFonts w:ascii="宋体" w:hAnsi="宋体"/>
                <w:sz w:val="22"/>
                <w:szCs w:val="22"/>
              </w:rPr>
              <w:t>4</w:t>
            </w:r>
            <w:r>
              <w:rPr>
                <w:rFonts w:ascii="宋体" w:hAnsi="宋体" w:hint="eastAsia"/>
                <w:sz w:val="22"/>
                <w:szCs w:val="22"/>
              </w:rPr>
              <w:t>日</w:t>
            </w:r>
          </w:p>
          <w:p w14:paraId="7564045B" w14:textId="7C6A4690" w:rsidR="00625A51" w:rsidRDefault="00625A51" w:rsidP="00625A51">
            <w:pPr>
              <w:jc w:val="center"/>
              <w:rPr>
                <w:rFonts w:ascii="宋体" w:hAnsi="宋体"/>
                <w:sz w:val="22"/>
                <w:szCs w:val="22"/>
              </w:rPr>
            </w:pPr>
            <w:r>
              <w:rPr>
                <w:rFonts w:ascii="宋体" w:hAnsi="宋体"/>
                <w:sz w:val="22"/>
                <w:szCs w:val="22"/>
              </w:rPr>
              <w:t>15</w:t>
            </w:r>
            <w:r>
              <w:rPr>
                <w:rFonts w:ascii="宋体" w:hAnsi="宋体" w:hint="eastAsia"/>
                <w:sz w:val="22"/>
                <w:szCs w:val="22"/>
              </w:rPr>
              <w:t>:</w:t>
            </w:r>
            <w:r>
              <w:rPr>
                <w:rFonts w:ascii="宋体" w:hAnsi="宋体"/>
                <w:sz w:val="22"/>
                <w:szCs w:val="22"/>
              </w:rPr>
              <w:t>00</w:t>
            </w:r>
            <w:r>
              <w:rPr>
                <w:rFonts w:ascii="宋体" w:hAnsi="宋体" w:hint="eastAsia"/>
                <w:sz w:val="22"/>
                <w:szCs w:val="22"/>
              </w:rPr>
              <w:t>-</w:t>
            </w:r>
            <w:r>
              <w:rPr>
                <w:rFonts w:ascii="宋体" w:hAnsi="宋体"/>
                <w:sz w:val="22"/>
                <w:szCs w:val="22"/>
              </w:rPr>
              <w:t>16</w:t>
            </w:r>
            <w:r>
              <w:rPr>
                <w:rFonts w:ascii="宋体" w:hAnsi="宋体" w:hint="eastAsia"/>
                <w:sz w:val="22"/>
                <w:szCs w:val="22"/>
              </w:rPr>
              <w:t>:</w:t>
            </w:r>
            <w:r>
              <w:rPr>
                <w:rFonts w:ascii="宋体" w:hAnsi="宋体"/>
                <w:sz w:val="22"/>
                <w:szCs w:val="22"/>
              </w:rPr>
              <w:t>00</w:t>
            </w:r>
          </w:p>
        </w:tc>
        <w:tc>
          <w:tcPr>
            <w:tcW w:w="2126" w:type="dxa"/>
            <w:vAlign w:val="center"/>
          </w:tcPr>
          <w:p w14:paraId="4DA4D65B" w14:textId="7871D000" w:rsidR="00625A51" w:rsidRDefault="00546BCB" w:rsidP="00625A51">
            <w:pPr>
              <w:jc w:val="center"/>
              <w:rPr>
                <w:rFonts w:ascii="宋体" w:hAnsi="宋体"/>
                <w:sz w:val="22"/>
                <w:szCs w:val="22"/>
              </w:rPr>
            </w:pPr>
            <w:r>
              <w:rPr>
                <w:rFonts w:ascii="宋体" w:hAnsi="宋体" w:hint="eastAsia"/>
                <w:sz w:val="22"/>
                <w:szCs w:val="22"/>
              </w:rPr>
              <w:t>电话会议</w:t>
            </w:r>
          </w:p>
        </w:tc>
        <w:tc>
          <w:tcPr>
            <w:tcW w:w="3657" w:type="dxa"/>
            <w:vAlign w:val="center"/>
          </w:tcPr>
          <w:p w14:paraId="19081F5B" w14:textId="0E3BD292" w:rsidR="00625A51" w:rsidRDefault="00546BCB" w:rsidP="00625A51">
            <w:pPr>
              <w:jc w:val="center"/>
              <w:rPr>
                <w:rFonts w:ascii="宋体" w:hAnsi="宋体"/>
                <w:sz w:val="22"/>
                <w:szCs w:val="22"/>
              </w:rPr>
            </w:pPr>
            <w:r>
              <w:rPr>
                <w:rFonts w:ascii="宋体" w:hAnsi="宋体" w:hint="eastAsia"/>
                <w:sz w:val="22"/>
                <w:szCs w:val="22"/>
              </w:rPr>
              <w:t>国信证券、</w:t>
            </w:r>
            <w:r w:rsidR="00B6314D">
              <w:rPr>
                <w:rFonts w:ascii="宋体" w:hAnsi="宋体" w:hint="eastAsia"/>
                <w:sz w:val="22"/>
                <w:szCs w:val="22"/>
              </w:rPr>
              <w:t>交银施罗德基金、汇丰晋信基金、</w:t>
            </w:r>
            <w:r w:rsidR="00B6314D" w:rsidRPr="00B6314D">
              <w:rPr>
                <w:rFonts w:ascii="宋体" w:hAnsi="宋体"/>
                <w:sz w:val="22"/>
                <w:szCs w:val="22"/>
              </w:rPr>
              <w:t>Jason Fountain Capital</w:t>
            </w:r>
          </w:p>
        </w:tc>
      </w:tr>
      <w:tr w:rsidR="00625A51" w:rsidRPr="00DC55F1" w14:paraId="28FEDC37" w14:textId="77777777" w:rsidTr="005F5A6F">
        <w:trPr>
          <w:trHeight w:val="44"/>
          <w:jc w:val="center"/>
        </w:trPr>
        <w:tc>
          <w:tcPr>
            <w:tcW w:w="2547" w:type="dxa"/>
            <w:gridSpan w:val="2"/>
            <w:vAlign w:val="center"/>
          </w:tcPr>
          <w:p w14:paraId="70001A90" w14:textId="65C52593" w:rsidR="00625A51" w:rsidRDefault="00625A51" w:rsidP="00625A51">
            <w:pPr>
              <w:jc w:val="center"/>
              <w:rPr>
                <w:rFonts w:ascii="宋体" w:hAnsi="宋体"/>
                <w:sz w:val="22"/>
                <w:szCs w:val="22"/>
              </w:rPr>
            </w:pPr>
            <w:r w:rsidRPr="008C7798">
              <w:rPr>
                <w:rFonts w:hint="eastAsia"/>
                <w:b/>
                <w:bCs/>
                <w:sz w:val="22"/>
                <w:szCs w:val="22"/>
              </w:rPr>
              <w:t>本行接待人员</w:t>
            </w:r>
          </w:p>
        </w:tc>
        <w:tc>
          <w:tcPr>
            <w:tcW w:w="7909" w:type="dxa"/>
            <w:gridSpan w:val="3"/>
          </w:tcPr>
          <w:p w14:paraId="00BB3578" w14:textId="7606731B" w:rsidR="00625A51" w:rsidRDefault="00546BCB" w:rsidP="00625A51">
            <w:pPr>
              <w:jc w:val="left"/>
              <w:rPr>
                <w:rFonts w:ascii="宋体" w:hAnsi="宋体"/>
                <w:sz w:val="22"/>
                <w:szCs w:val="22"/>
              </w:rPr>
            </w:pPr>
            <w:r>
              <w:rPr>
                <w:rFonts w:hint="eastAsia"/>
                <w:sz w:val="22"/>
                <w:szCs w:val="22"/>
              </w:rPr>
              <w:t>总行副行长、</w:t>
            </w:r>
            <w:r w:rsidR="00625A51" w:rsidRPr="008C7798">
              <w:rPr>
                <w:rFonts w:hint="eastAsia"/>
                <w:sz w:val="22"/>
                <w:szCs w:val="22"/>
              </w:rPr>
              <w:t>董事会秘书、零售金融总部总监、</w:t>
            </w:r>
            <w:r>
              <w:rPr>
                <w:rFonts w:hint="eastAsia"/>
                <w:sz w:val="22"/>
                <w:szCs w:val="22"/>
              </w:rPr>
              <w:t>风险总监、</w:t>
            </w:r>
            <w:r w:rsidR="00625A51" w:rsidRPr="008C7798">
              <w:rPr>
                <w:rFonts w:hint="eastAsia"/>
                <w:sz w:val="22"/>
                <w:szCs w:val="22"/>
              </w:rPr>
              <w:t>计划财务部</w:t>
            </w:r>
            <w:r w:rsidR="00B6314D">
              <w:rPr>
                <w:rFonts w:hint="eastAsia"/>
                <w:sz w:val="22"/>
                <w:szCs w:val="22"/>
              </w:rPr>
              <w:t>负责</w:t>
            </w:r>
            <w:r w:rsidR="00625A51" w:rsidRPr="008C7798">
              <w:rPr>
                <w:rFonts w:hint="eastAsia"/>
                <w:sz w:val="22"/>
                <w:szCs w:val="22"/>
              </w:rPr>
              <w:t>人、公司银行部</w:t>
            </w:r>
            <w:r w:rsidR="00625A51">
              <w:rPr>
                <w:rFonts w:hint="eastAsia"/>
                <w:sz w:val="22"/>
                <w:szCs w:val="22"/>
              </w:rPr>
              <w:t>负责人</w:t>
            </w:r>
            <w:r>
              <w:rPr>
                <w:rFonts w:hint="eastAsia"/>
                <w:sz w:val="22"/>
                <w:szCs w:val="22"/>
              </w:rPr>
              <w:t>、证券事务代表</w:t>
            </w:r>
            <w:r w:rsidR="00625A51">
              <w:rPr>
                <w:rFonts w:hint="eastAsia"/>
                <w:sz w:val="22"/>
                <w:szCs w:val="22"/>
              </w:rPr>
              <w:t>等</w:t>
            </w:r>
          </w:p>
        </w:tc>
      </w:tr>
      <w:tr w:rsidR="00625A51" w:rsidRPr="00DC55F1" w14:paraId="7E65C457" w14:textId="77777777" w:rsidTr="005F5A6F">
        <w:trPr>
          <w:trHeight w:val="44"/>
          <w:jc w:val="center"/>
        </w:trPr>
        <w:tc>
          <w:tcPr>
            <w:tcW w:w="2547" w:type="dxa"/>
            <w:gridSpan w:val="2"/>
            <w:vAlign w:val="center"/>
          </w:tcPr>
          <w:p w14:paraId="47BC3CCE" w14:textId="110D53B6" w:rsidR="00625A51" w:rsidRDefault="00625A51" w:rsidP="00625A51">
            <w:pPr>
              <w:jc w:val="center"/>
              <w:rPr>
                <w:rFonts w:ascii="宋体" w:hAnsi="宋体"/>
                <w:sz w:val="22"/>
                <w:szCs w:val="22"/>
              </w:rPr>
            </w:pPr>
            <w:r w:rsidRPr="008C7798">
              <w:rPr>
                <w:rFonts w:hint="eastAsia"/>
                <w:b/>
                <w:bCs/>
                <w:sz w:val="22"/>
                <w:szCs w:val="22"/>
              </w:rPr>
              <w:t>投资者关系活动主要内容</w:t>
            </w:r>
          </w:p>
        </w:tc>
        <w:tc>
          <w:tcPr>
            <w:tcW w:w="7909" w:type="dxa"/>
            <w:gridSpan w:val="3"/>
          </w:tcPr>
          <w:p w14:paraId="4ABB3250" w14:textId="2D45680F" w:rsidR="00625A51" w:rsidRPr="003B1620" w:rsidRDefault="00625A51" w:rsidP="00625A51">
            <w:pPr>
              <w:spacing w:before="120"/>
              <w:rPr>
                <w:b/>
                <w:bCs/>
                <w:sz w:val="22"/>
                <w:szCs w:val="22"/>
              </w:rPr>
            </w:pPr>
            <w:r>
              <w:rPr>
                <w:rFonts w:hint="eastAsia"/>
                <w:b/>
                <w:bCs/>
                <w:sz w:val="22"/>
                <w:szCs w:val="22"/>
              </w:rPr>
              <w:t xml:space="preserve"> </w:t>
            </w:r>
            <w:r>
              <w:rPr>
                <w:b/>
                <w:bCs/>
                <w:sz w:val="22"/>
                <w:szCs w:val="22"/>
              </w:rPr>
              <w:t xml:space="preserve">   </w:t>
            </w:r>
            <w:r w:rsidRPr="00980E64">
              <w:rPr>
                <w:rFonts w:hint="eastAsia"/>
                <w:b/>
                <w:bCs/>
                <w:sz w:val="22"/>
                <w:szCs w:val="22"/>
              </w:rPr>
              <w:t>一、</w:t>
            </w:r>
            <w:r w:rsidR="00712214">
              <w:rPr>
                <w:rFonts w:hint="eastAsia"/>
                <w:b/>
                <w:bCs/>
                <w:sz w:val="22"/>
                <w:szCs w:val="22"/>
              </w:rPr>
              <w:t>今年以来的疫情对</w:t>
            </w:r>
            <w:r w:rsidR="00D154F7">
              <w:rPr>
                <w:rFonts w:hint="eastAsia"/>
                <w:b/>
                <w:bCs/>
                <w:sz w:val="22"/>
                <w:szCs w:val="22"/>
              </w:rPr>
              <w:t>当地企业经营的</w:t>
            </w:r>
            <w:r w:rsidR="00712214">
              <w:rPr>
                <w:rFonts w:hint="eastAsia"/>
                <w:b/>
                <w:bCs/>
                <w:sz w:val="22"/>
                <w:szCs w:val="22"/>
              </w:rPr>
              <w:t>影响如何？二季度投放情况如何？</w:t>
            </w:r>
          </w:p>
          <w:p w14:paraId="0A860B50" w14:textId="183009BA" w:rsidR="00625A51" w:rsidRDefault="00625A51" w:rsidP="005B5075">
            <w:pPr>
              <w:spacing w:before="120"/>
              <w:ind w:firstLine="437"/>
              <w:rPr>
                <w:sz w:val="22"/>
                <w:szCs w:val="22"/>
              </w:rPr>
            </w:pPr>
            <w:r w:rsidRPr="003B1620">
              <w:rPr>
                <w:rFonts w:hint="eastAsia"/>
                <w:sz w:val="22"/>
                <w:szCs w:val="22"/>
              </w:rPr>
              <w:t>答：</w:t>
            </w:r>
            <w:r w:rsidR="00D154F7">
              <w:rPr>
                <w:rFonts w:hint="eastAsia"/>
                <w:sz w:val="22"/>
                <w:szCs w:val="22"/>
              </w:rPr>
              <w:t>在</w:t>
            </w:r>
            <w:r w:rsidR="00493418">
              <w:rPr>
                <w:rFonts w:hint="eastAsia"/>
                <w:sz w:val="22"/>
                <w:szCs w:val="22"/>
              </w:rPr>
              <w:t>今年的两轮疫情</w:t>
            </w:r>
            <w:r w:rsidR="00D154F7">
              <w:rPr>
                <w:rFonts w:hint="eastAsia"/>
                <w:sz w:val="22"/>
                <w:szCs w:val="22"/>
              </w:rPr>
              <w:t>中，得益于苏州当地各级政府的灵活响应，尽管前期在物流等方面可能会对企业产生一定影响，但整体影响都在可控范围内。大部分企业都获得了全方位的保生产支持，本行也针对制造业客户出台了</w:t>
            </w:r>
            <w:r w:rsidR="005160DA">
              <w:rPr>
                <w:rFonts w:hint="eastAsia"/>
                <w:sz w:val="22"/>
                <w:szCs w:val="22"/>
              </w:rPr>
              <w:t>十</w:t>
            </w:r>
            <w:r w:rsidR="00D154F7">
              <w:rPr>
                <w:rFonts w:hint="eastAsia"/>
                <w:sz w:val="22"/>
                <w:szCs w:val="22"/>
              </w:rPr>
              <w:t>条</w:t>
            </w:r>
            <w:r w:rsidR="00F22892">
              <w:rPr>
                <w:rFonts w:hint="eastAsia"/>
                <w:sz w:val="22"/>
                <w:szCs w:val="22"/>
              </w:rPr>
              <w:t>保障措施，助力企业纾困解难。</w:t>
            </w:r>
            <w:r w:rsidR="00493418" w:rsidRPr="00493418">
              <w:rPr>
                <w:rFonts w:hint="eastAsia"/>
                <w:sz w:val="22"/>
                <w:szCs w:val="22"/>
              </w:rPr>
              <w:t>5</w:t>
            </w:r>
            <w:r w:rsidR="00493418" w:rsidRPr="00493418">
              <w:rPr>
                <w:rFonts w:hint="eastAsia"/>
                <w:sz w:val="22"/>
                <w:szCs w:val="22"/>
              </w:rPr>
              <w:t>月</w:t>
            </w:r>
            <w:r w:rsidR="005160DA">
              <w:rPr>
                <w:rFonts w:hint="eastAsia"/>
                <w:sz w:val="22"/>
                <w:szCs w:val="22"/>
              </w:rPr>
              <w:t>份</w:t>
            </w:r>
            <w:r w:rsidR="00493418" w:rsidRPr="00493418">
              <w:rPr>
                <w:rFonts w:hint="eastAsia"/>
                <w:sz w:val="22"/>
                <w:szCs w:val="22"/>
              </w:rPr>
              <w:t>以来</w:t>
            </w:r>
            <w:r w:rsidR="00F22892">
              <w:rPr>
                <w:rFonts w:hint="eastAsia"/>
                <w:sz w:val="22"/>
                <w:szCs w:val="22"/>
              </w:rPr>
              <w:t>，</w:t>
            </w:r>
            <w:r w:rsidR="00493418" w:rsidRPr="00493418">
              <w:rPr>
                <w:rFonts w:hint="eastAsia"/>
                <w:sz w:val="22"/>
                <w:szCs w:val="22"/>
              </w:rPr>
              <w:t>苏州地区疫情得到有效控制，企业已全面实现复工复产，整体融资需求逐步恢复，</w:t>
            </w:r>
            <w:r w:rsidR="00F22892">
              <w:rPr>
                <w:rFonts w:hint="eastAsia"/>
                <w:sz w:val="22"/>
                <w:szCs w:val="22"/>
              </w:rPr>
              <w:t>本行信贷投放</w:t>
            </w:r>
            <w:r w:rsidR="00493418" w:rsidRPr="00493418">
              <w:rPr>
                <w:rFonts w:hint="eastAsia"/>
                <w:sz w:val="22"/>
                <w:szCs w:val="22"/>
              </w:rPr>
              <w:t>正按照全年目标</w:t>
            </w:r>
            <w:r w:rsidR="00F22892">
              <w:rPr>
                <w:rFonts w:hint="eastAsia"/>
                <w:sz w:val="22"/>
                <w:szCs w:val="22"/>
              </w:rPr>
              <w:t>平稳</w:t>
            </w:r>
            <w:r w:rsidR="00493418" w:rsidRPr="00493418">
              <w:rPr>
                <w:rFonts w:hint="eastAsia"/>
                <w:sz w:val="22"/>
                <w:szCs w:val="22"/>
              </w:rPr>
              <w:t>有序推进。</w:t>
            </w:r>
          </w:p>
          <w:p w14:paraId="536CA19A" w14:textId="77777777" w:rsidR="00625A51" w:rsidRDefault="00625A51" w:rsidP="00625A51">
            <w:pPr>
              <w:spacing w:before="120"/>
              <w:rPr>
                <w:sz w:val="22"/>
                <w:szCs w:val="22"/>
              </w:rPr>
            </w:pPr>
          </w:p>
          <w:p w14:paraId="09806ADD" w14:textId="16F84474" w:rsidR="00625A51" w:rsidRPr="00274B4F" w:rsidRDefault="00625A51" w:rsidP="00625A51">
            <w:pPr>
              <w:spacing w:before="120"/>
              <w:ind w:firstLine="437"/>
              <w:rPr>
                <w:b/>
                <w:bCs/>
                <w:sz w:val="22"/>
                <w:szCs w:val="22"/>
              </w:rPr>
            </w:pPr>
            <w:r w:rsidRPr="00980E64">
              <w:rPr>
                <w:rFonts w:hint="eastAsia"/>
                <w:b/>
                <w:bCs/>
                <w:sz w:val="22"/>
                <w:szCs w:val="22"/>
              </w:rPr>
              <w:t>二、</w:t>
            </w:r>
            <w:r w:rsidR="00C62921">
              <w:rPr>
                <w:rFonts w:hint="eastAsia"/>
                <w:b/>
                <w:bCs/>
                <w:sz w:val="22"/>
                <w:szCs w:val="22"/>
              </w:rPr>
              <w:t>近期监管鼓励银行降低存款利率，如何展望后续的存款成本？</w:t>
            </w:r>
          </w:p>
          <w:p w14:paraId="5EA295DB" w14:textId="20FC6739" w:rsidR="00C62921" w:rsidRDefault="00625A51" w:rsidP="00B6314D">
            <w:pPr>
              <w:spacing w:before="120"/>
              <w:ind w:firstLine="437"/>
              <w:rPr>
                <w:sz w:val="22"/>
                <w:szCs w:val="22"/>
              </w:rPr>
            </w:pPr>
            <w:r>
              <w:rPr>
                <w:rFonts w:hint="eastAsia"/>
                <w:sz w:val="22"/>
                <w:szCs w:val="22"/>
              </w:rPr>
              <w:t>答：</w:t>
            </w:r>
            <w:r w:rsidR="005160DA">
              <w:rPr>
                <w:rFonts w:hint="eastAsia"/>
                <w:sz w:val="22"/>
                <w:szCs w:val="22"/>
              </w:rPr>
              <w:t>前期</w:t>
            </w:r>
            <w:r w:rsidR="00C62921" w:rsidRPr="00C62921">
              <w:rPr>
                <w:rFonts w:hint="eastAsia"/>
                <w:sz w:val="22"/>
                <w:szCs w:val="22"/>
              </w:rPr>
              <w:t>存款自律机制发布了调降存款利率上限</w:t>
            </w:r>
            <w:r w:rsidR="00C62921">
              <w:rPr>
                <w:rFonts w:hint="eastAsia"/>
                <w:sz w:val="22"/>
                <w:szCs w:val="22"/>
              </w:rPr>
              <w:t>1</w:t>
            </w:r>
            <w:r w:rsidR="00C62921">
              <w:rPr>
                <w:sz w:val="22"/>
                <w:szCs w:val="22"/>
              </w:rPr>
              <w:t>0</w:t>
            </w:r>
            <w:r w:rsidR="00C62921">
              <w:rPr>
                <w:rFonts w:hint="eastAsia"/>
                <w:sz w:val="22"/>
                <w:szCs w:val="22"/>
              </w:rPr>
              <w:t>B</w:t>
            </w:r>
            <w:r w:rsidR="00C62921">
              <w:rPr>
                <w:sz w:val="22"/>
                <w:szCs w:val="22"/>
              </w:rPr>
              <w:t>P</w:t>
            </w:r>
            <w:r w:rsidR="00C62921" w:rsidRPr="00C62921">
              <w:rPr>
                <w:rFonts w:hint="eastAsia"/>
                <w:sz w:val="22"/>
                <w:szCs w:val="22"/>
              </w:rPr>
              <w:t>的指引，</w:t>
            </w:r>
            <w:r w:rsidR="00C62921">
              <w:rPr>
                <w:rFonts w:hint="eastAsia"/>
                <w:sz w:val="22"/>
                <w:szCs w:val="22"/>
              </w:rPr>
              <w:t>国有大行及</w:t>
            </w:r>
            <w:r w:rsidR="00C62921" w:rsidRPr="00C62921">
              <w:rPr>
                <w:rFonts w:hint="eastAsia"/>
                <w:sz w:val="22"/>
                <w:szCs w:val="22"/>
              </w:rPr>
              <w:t>部分股份制行</w:t>
            </w:r>
            <w:r w:rsidR="00C62921">
              <w:rPr>
                <w:rFonts w:hint="eastAsia"/>
                <w:sz w:val="22"/>
                <w:szCs w:val="22"/>
              </w:rPr>
              <w:t>率先</w:t>
            </w:r>
            <w:r w:rsidR="00C62921" w:rsidRPr="00C62921">
              <w:rPr>
                <w:rFonts w:hint="eastAsia"/>
                <w:sz w:val="22"/>
                <w:szCs w:val="22"/>
              </w:rPr>
              <w:t>下调部分期限存款的利率，本行</w:t>
            </w:r>
            <w:r w:rsidR="00C62921">
              <w:rPr>
                <w:rFonts w:hint="eastAsia"/>
                <w:sz w:val="22"/>
                <w:szCs w:val="22"/>
              </w:rPr>
              <w:t>也已根据市场情况对部分存款产品的利率进行了下调。整体来看，未来负债端将随着存款到期后重定价逐步释放出空间。</w:t>
            </w:r>
          </w:p>
          <w:p w14:paraId="4C13A9BA" w14:textId="77777777" w:rsidR="00625A51" w:rsidRDefault="00625A51" w:rsidP="00625A51">
            <w:pPr>
              <w:spacing w:before="120"/>
              <w:rPr>
                <w:sz w:val="22"/>
                <w:szCs w:val="22"/>
              </w:rPr>
            </w:pPr>
          </w:p>
          <w:p w14:paraId="2963332B" w14:textId="612FB76F" w:rsidR="00625A51" w:rsidRPr="004D082B" w:rsidRDefault="00625A51" w:rsidP="00625A51">
            <w:pPr>
              <w:spacing w:before="120"/>
              <w:rPr>
                <w:b/>
                <w:bCs/>
                <w:sz w:val="22"/>
                <w:szCs w:val="22"/>
              </w:rPr>
            </w:pPr>
            <w:r>
              <w:rPr>
                <w:rFonts w:hint="eastAsia"/>
                <w:sz w:val="22"/>
                <w:szCs w:val="22"/>
              </w:rPr>
              <w:t xml:space="preserve"> </w:t>
            </w:r>
            <w:r>
              <w:rPr>
                <w:sz w:val="22"/>
                <w:szCs w:val="22"/>
              </w:rPr>
              <w:t xml:space="preserve">   </w:t>
            </w:r>
            <w:r w:rsidRPr="00980E64">
              <w:rPr>
                <w:rFonts w:hint="eastAsia"/>
                <w:b/>
                <w:bCs/>
                <w:sz w:val="22"/>
                <w:szCs w:val="22"/>
              </w:rPr>
              <w:t>三、</w:t>
            </w:r>
            <w:r w:rsidR="005B5075">
              <w:rPr>
                <w:rFonts w:hint="eastAsia"/>
                <w:b/>
                <w:bCs/>
                <w:sz w:val="22"/>
                <w:szCs w:val="22"/>
              </w:rPr>
              <w:t>疫情期间贵行延期还本付息政策执行情况如何？此类贷款是否存在信用风险？</w:t>
            </w:r>
          </w:p>
          <w:p w14:paraId="11A28608" w14:textId="0E10B433" w:rsidR="00625A51" w:rsidRDefault="00625A51" w:rsidP="002F233C">
            <w:pPr>
              <w:spacing w:before="120"/>
              <w:ind w:firstLine="437"/>
              <w:rPr>
                <w:sz w:val="22"/>
                <w:szCs w:val="22"/>
              </w:rPr>
            </w:pPr>
            <w:r>
              <w:rPr>
                <w:rFonts w:hint="eastAsia"/>
                <w:sz w:val="22"/>
                <w:szCs w:val="22"/>
              </w:rPr>
              <w:t>答：</w:t>
            </w:r>
            <w:r w:rsidR="005B5075" w:rsidRPr="005B5075">
              <w:rPr>
                <w:rFonts w:hint="eastAsia"/>
                <w:sz w:val="22"/>
                <w:szCs w:val="22"/>
              </w:rPr>
              <w:t>今年疫情期间，本行</w:t>
            </w:r>
            <w:r w:rsidR="005B5075">
              <w:rPr>
                <w:rFonts w:hint="eastAsia"/>
                <w:sz w:val="22"/>
                <w:szCs w:val="22"/>
              </w:rPr>
              <w:t>合计</w:t>
            </w:r>
            <w:r w:rsidR="005B5075" w:rsidRPr="005B5075">
              <w:rPr>
                <w:rFonts w:hint="eastAsia"/>
                <w:sz w:val="22"/>
                <w:szCs w:val="22"/>
              </w:rPr>
              <w:t>办理的</w:t>
            </w:r>
            <w:r w:rsidR="006643FE">
              <w:rPr>
                <w:rFonts w:hint="eastAsia"/>
                <w:sz w:val="22"/>
                <w:szCs w:val="22"/>
              </w:rPr>
              <w:t>延期还本付息贷款无论是户数还是金额都不是很多。同时，由于本行在政策执行中设置了相对严格的准入条件，受理的均</w:t>
            </w:r>
            <w:r w:rsidR="002F233C">
              <w:rPr>
                <w:rFonts w:hint="eastAsia"/>
                <w:sz w:val="22"/>
                <w:szCs w:val="22"/>
              </w:rPr>
              <w:t>为</w:t>
            </w:r>
            <w:r w:rsidR="006643FE">
              <w:rPr>
                <w:rFonts w:hint="eastAsia"/>
                <w:sz w:val="22"/>
                <w:szCs w:val="22"/>
              </w:rPr>
              <w:t>非</w:t>
            </w:r>
            <w:r w:rsidR="002F233C">
              <w:rPr>
                <w:rFonts w:hint="eastAsia"/>
                <w:sz w:val="22"/>
                <w:szCs w:val="22"/>
              </w:rPr>
              <w:t>出现实质性风险的客户，并根据延期还本付息贷款监测台账，加大贷后跟踪力度，因此，目前来看此类贷款基本不存在信用风险，前期延期还本付息申请</w:t>
            </w:r>
            <w:r w:rsidR="002F233C">
              <w:rPr>
                <w:rFonts w:hint="eastAsia"/>
                <w:sz w:val="22"/>
                <w:szCs w:val="22"/>
              </w:rPr>
              <w:lastRenderedPageBreak/>
              <w:t>已到期的贷款都正常还本付息了。</w:t>
            </w:r>
          </w:p>
          <w:p w14:paraId="5385DE5C" w14:textId="77777777" w:rsidR="002F233C" w:rsidRPr="003B1620" w:rsidRDefault="002F233C" w:rsidP="002F233C">
            <w:pPr>
              <w:spacing w:before="120"/>
              <w:rPr>
                <w:sz w:val="22"/>
                <w:szCs w:val="22"/>
              </w:rPr>
            </w:pPr>
          </w:p>
          <w:p w14:paraId="22FCA3D2" w14:textId="5C6F3AD9" w:rsidR="00625A51" w:rsidRPr="003B1620" w:rsidRDefault="00625A51" w:rsidP="00625A51">
            <w:pPr>
              <w:spacing w:before="120"/>
              <w:rPr>
                <w:b/>
                <w:bCs/>
                <w:sz w:val="22"/>
                <w:szCs w:val="22"/>
              </w:rPr>
            </w:pPr>
            <w:r w:rsidRPr="00980E64">
              <w:rPr>
                <w:rFonts w:hint="eastAsia"/>
                <w:b/>
                <w:bCs/>
                <w:sz w:val="22"/>
                <w:szCs w:val="22"/>
              </w:rPr>
              <w:t xml:space="preserve"> </w:t>
            </w:r>
            <w:r w:rsidRPr="00980E64">
              <w:rPr>
                <w:b/>
                <w:bCs/>
                <w:sz w:val="22"/>
                <w:szCs w:val="22"/>
              </w:rPr>
              <w:t xml:space="preserve">   </w:t>
            </w:r>
            <w:r w:rsidRPr="00980E64">
              <w:rPr>
                <w:rFonts w:hint="eastAsia"/>
                <w:b/>
                <w:bCs/>
                <w:sz w:val="22"/>
                <w:szCs w:val="22"/>
              </w:rPr>
              <w:t>四、</w:t>
            </w:r>
            <w:r w:rsidR="00A755C0">
              <w:rPr>
                <w:rFonts w:hint="eastAsia"/>
                <w:b/>
                <w:bCs/>
                <w:sz w:val="22"/>
                <w:szCs w:val="22"/>
              </w:rPr>
              <w:t>今年上半年资本市场波动较大，从贵行披露信息看，理财产品没有出现破净的情况，请问是如何做到的？</w:t>
            </w:r>
          </w:p>
          <w:p w14:paraId="6A384B15" w14:textId="77777777" w:rsidR="00625A51" w:rsidRDefault="00625A51" w:rsidP="00FE6C95">
            <w:pPr>
              <w:spacing w:before="120"/>
              <w:ind w:firstLine="437"/>
              <w:rPr>
                <w:sz w:val="22"/>
                <w:szCs w:val="22"/>
              </w:rPr>
            </w:pPr>
            <w:r w:rsidRPr="003B1620">
              <w:rPr>
                <w:rFonts w:hint="eastAsia"/>
                <w:sz w:val="22"/>
                <w:szCs w:val="22"/>
              </w:rPr>
              <w:t>答：</w:t>
            </w:r>
            <w:r w:rsidR="00A755C0" w:rsidRPr="00A755C0">
              <w:rPr>
                <w:rFonts w:hint="eastAsia"/>
                <w:sz w:val="22"/>
                <w:szCs w:val="22"/>
              </w:rPr>
              <w:t>今年以来，资本市场环境波动较大，本行理财产品没有出现破净情况一方面是由于本行理财产品涉及权益类资产比例</w:t>
            </w:r>
            <w:r w:rsidR="00A755C0">
              <w:rPr>
                <w:rFonts w:hint="eastAsia"/>
                <w:sz w:val="22"/>
                <w:szCs w:val="22"/>
              </w:rPr>
              <w:t>较低</w:t>
            </w:r>
            <w:r w:rsidR="00A755C0" w:rsidRPr="00A755C0">
              <w:rPr>
                <w:rFonts w:hint="eastAsia"/>
                <w:sz w:val="22"/>
                <w:szCs w:val="22"/>
              </w:rPr>
              <w:t>，影响有限。另一方面</w:t>
            </w:r>
            <w:r w:rsidR="00A755C0">
              <w:rPr>
                <w:rFonts w:hint="eastAsia"/>
                <w:sz w:val="22"/>
                <w:szCs w:val="22"/>
              </w:rPr>
              <w:t>，本行在</w:t>
            </w:r>
            <w:r w:rsidR="00A755C0" w:rsidRPr="00A755C0">
              <w:rPr>
                <w:rFonts w:hint="eastAsia"/>
                <w:sz w:val="22"/>
                <w:szCs w:val="22"/>
              </w:rPr>
              <w:t>债券投资方面主动控制了</w:t>
            </w:r>
            <w:r w:rsidR="00FE6C95">
              <w:rPr>
                <w:rFonts w:hint="eastAsia"/>
                <w:sz w:val="22"/>
                <w:szCs w:val="22"/>
              </w:rPr>
              <w:t>杠杆及久期</w:t>
            </w:r>
            <w:r w:rsidR="00A755C0" w:rsidRPr="00A755C0">
              <w:rPr>
                <w:rFonts w:hint="eastAsia"/>
                <w:sz w:val="22"/>
                <w:szCs w:val="22"/>
              </w:rPr>
              <w:t>，</w:t>
            </w:r>
            <w:r w:rsidR="00A755C0">
              <w:rPr>
                <w:rFonts w:hint="eastAsia"/>
                <w:sz w:val="22"/>
                <w:szCs w:val="22"/>
              </w:rPr>
              <w:t>因此</w:t>
            </w:r>
            <w:r w:rsidR="00FE6C95">
              <w:rPr>
                <w:rFonts w:hint="eastAsia"/>
                <w:sz w:val="22"/>
                <w:szCs w:val="22"/>
              </w:rPr>
              <w:t>整体</w:t>
            </w:r>
            <w:r w:rsidR="00A755C0" w:rsidRPr="00A755C0">
              <w:rPr>
                <w:rFonts w:hint="eastAsia"/>
                <w:sz w:val="22"/>
                <w:szCs w:val="22"/>
              </w:rPr>
              <w:t>波动不大。</w:t>
            </w:r>
            <w:r w:rsidR="00A755C0">
              <w:rPr>
                <w:rFonts w:hint="eastAsia"/>
                <w:sz w:val="22"/>
                <w:szCs w:val="22"/>
              </w:rPr>
              <w:t>随着</w:t>
            </w:r>
            <w:r w:rsidR="00A755C0" w:rsidRPr="00A755C0">
              <w:rPr>
                <w:rFonts w:hint="eastAsia"/>
                <w:sz w:val="22"/>
                <w:szCs w:val="22"/>
              </w:rPr>
              <w:t>理财产品</w:t>
            </w:r>
            <w:r w:rsidR="00FE6C95">
              <w:rPr>
                <w:rFonts w:hint="eastAsia"/>
                <w:sz w:val="22"/>
                <w:szCs w:val="22"/>
              </w:rPr>
              <w:t>净值</w:t>
            </w:r>
            <w:r w:rsidR="00A755C0" w:rsidRPr="00A755C0">
              <w:rPr>
                <w:rFonts w:hint="eastAsia"/>
                <w:sz w:val="22"/>
                <w:szCs w:val="22"/>
              </w:rPr>
              <w:t>波动</w:t>
            </w:r>
            <w:r w:rsidR="00A755C0">
              <w:rPr>
                <w:rFonts w:hint="eastAsia"/>
                <w:sz w:val="22"/>
                <w:szCs w:val="22"/>
              </w:rPr>
              <w:t>逐步</w:t>
            </w:r>
            <w:r w:rsidR="00A755C0" w:rsidRPr="00A755C0">
              <w:rPr>
                <w:rFonts w:hint="eastAsia"/>
                <w:sz w:val="22"/>
                <w:szCs w:val="22"/>
              </w:rPr>
              <w:t>形成常态，</w:t>
            </w:r>
            <w:r w:rsidR="00A755C0">
              <w:rPr>
                <w:rFonts w:hint="eastAsia"/>
                <w:sz w:val="22"/>
                <w:szCs w:val="22"/>
              </w:rPr>
              <w:t>本行</w:t>
            </w:r>
            <w:r w:rsidR="00FE6C95">
              <w:rPr>
                <w:rFonts w:hint="eastAsia"/>
                <w:sz w:val="22"/>
                <w:szCs w:val="22"/>
              </w:rPr>
              <w:t>在进一步加强客户沟通的基础上，也将更加重视产品定位与投资策略的匹配，做好资产分散配置，降低资产组合波动。</w:t>
            </w:r>
          </w:p>
          <w:p w14:paraId="058C9CBD" w14:textId="28734C06" w:rsidR="00173F29" w:rsidRPr="00FE6C95" w:rsidRDefault="00173F29" w:rsidP="00173F29">
            <w:pPr>
              <w:spacing w:before="120"/>
              <w:rPr>
                <w:rFonts w:hint="eastAsia"/>
                <w:sz w:val="22"/>
                <w:szCs w:val="22"/>
              </w:rPr>
            </w:pPr>
          </w:p>
        </w:tc>
      </w:tr>
    </w:tbl>
    <w:p w14:paraId="0B4BC1C7" w14:textId="77777777" w:rsidR="00AB3A23" w:rsidRDefault="00AB3A23"/>
    <w:sectPr w:rsidR="00AB3A23" w:rsidSect="00DC55F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2C76" w14:textId="77777777" w:rsidR="00987E74" w:rsidRDefault="00987E74" w:rsidP="005E513F">
      <w:r>
        <w:separator/>
      </w:r>
    </w:p>
  </w:endnote>
  <w:endnote w:type="continuationSeparator" w:id="0">
    <w:p w14:paraId="43F35D9C" w14:textId="77777777" w:rsidR="00987E74" w:rsidRDefault="00987E74" w:rsidP="005E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3112" w14:textId="77777777" w:rsidR="00987E74" w:rsidRDefault="00987E74" w:rsidP="005E513F">
      <w:r>
        <w:separator/>
      </w:r>
    </w:p>
  </w:footnote>
  <w:footnote w:type="continuationSeparator" w:id="0">
    <w:p w14:paraId="2B56071F" w14:textId="77777777" w:rsidR="00987E74" w:rsidRDefault="00987E74" w:rsidP="005E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93"/>
    <w:rsid w:val="000B4BAF"/>
    <w:rsid w:val="000F1F33"/>
    <w:rsid w:val="00154793"/>
    <w:rsid w:val="00173F29"/>
    <w:rsid w:val="001831EF"/>
    <w:rsid w:val="001A5DF5"/>
    <w:rsid w:val="001B68D6"/>
    <w:rsid w:val="001D0C3B"/>
    <w:rsid w:val="00274B4F"/>
    <w:rsid w:val="0028184E"/>
    <w:rsid w:val="002F233C"/>
    <w:rsid w:val="00301E77"/>
    <w:rsid w:val="0033320A"/>
    <w:rsid w:val="00356681"/>
    <w:rsid w:val="003B1620"/>
    <w:rsid w:val="003E5E03"/>
    <w:rsid w:val="00492B72"/>
    <w:rsid w:val="00493418"/>
    <w:rsid w:val="004B73FE"/>
    <w:rsid w:val="004C4039"/>
    <w:rsid w:val="004D082B"/>
    <w:rsid w:val="004E7F16"/>
    <w:rsid w:val="004F4607"/>
    <w:rsid w:val="004F4B91"/>
    <w:rsid w:val="005160DA"/>
    <w:rsid w:val="005275F1"/>
    <w:rsid w:val="00546BCB"/>
    <w:rsid w:val="005A0983"/>
    <w:rsid w:val="005B5075"/>
    <w:rsid w:val="005E513F"/>
    <w:rsid w:val="005F5A6F"/>
    <w:rsid w:val="00625A51"/>
    <w:rsid w:val="00642184"/>
    <w:rsid w:val="006643FE"/>
    <w:rsid w:val="006712AE"/>
    <w:rsid w:val="00692F1A"/>
    <w:rsid w:val="006A2D9D"/>
    <w:rsid w:val="006B487D"/>
    <w:rsid w:val="006B6923"/>
    <w:rsid w:val="006C1E52"/>
    <w:rsid w:val="006D2763"/>
    <w:rsid w:val="00712214"/>
    <w:rsid w:val="0076057D"/>
    <w:rsid w:val="00794C96"/>
    <w:rsid w:val="007D20B7"/>
    <w:rsid w:val="008147A8"/>
    <w:rsid w:val="00817DC2"/>
    <w:rsid w:val="00846E87"/>
    <w:rsid w:val="008A3770"/>
    <w:rsid w:val="008C7798"/>
    <w:rsid w:val="00907153"/>
    <w:rsid w:val="009710D6"/>
    <w:rsid w:val="00980E64"/>
    <w:rsid w:val="00987E74"/>
    <w:rsid w:val="009C340B"/>
    <w:rsid w:val="009F722A"/>
    <w:rsid w:val="00A2048D"/>
    <w:rsid w:val="00A3029E"/>
    <w:rsid w:val="00A755C0"/>
    <w:rsid w:val="00AA1B77"/>
    <w:rsid w:val="00AB3A23"/>
    <w:rsid w:val="00AE6B08"/>
    <w:rsid w:val="00AF7CB6"/>
    <w:rsid w:val="00B10A8F"/>
    <w:rsid w:val="00B26207"/>
    <w:rsid w:val="00B6314D"/>
    <w:rsid w:val="00BD1F93"/>
    <w:rsid w:val="00BD3546"/>
    <w:rsid w:val="00BE7F3F"/>
    <w:rsid w:val="00C62921"/>
    <w:rsid w:val="00C670BC"/>
    <w:rsid w:val="00C8014B"/>
    <w:rsid w:val="00CB0145"/>
    <w:rsid w:val="00CC1433"/>
    <w:rsid w:val="00CD3FE0"/>
    <w:rsid w:val="00CD5977"/>
    <w:rsid w:val="00D154F7"/>
    <w:rsid w:val="00DB58AA"/>
    <w:rsid w:val="00DB6581"/>
    <w:rsid w:val="00DC55F1"/>
    <w:rsid w:val="00E34978"/>
    <w:rsid w:val="00E37DDA"/>
    <w:rsid w:val="00E45CBB"/>
    <w:rsid w:val="00E531FC"/>
    <w:rsid w:val="00E66534"/>
    <w:rsid w:val="00E83D09"/>
    <w:rsid w:val="00EC54EF"/>
    <w:rsid w:val="00F22892"/>
    <w:rsid w:val="00F669AC"/>
    <w:rsid w:val="00F75522"/>
    <w:rsid w:val="00FC6CA0"/>
    <w:rsid w:val="00FD78B9"/>
    <w:rsid w:val="00FE5419"/>
    <w:rsid w:val="00FE6398"/>
    <w:rsid w:val="00FE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4E53"/>
  <w15:chartTrackingRefBased/>
  <w15:docId w15:val="{6DC7CCD1-9115-40D1-B0E8-E81B056B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9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FC"/>
    <w:pPr>
      <w:ind w:left="720"/>
      <w:contextualSpacing/>
    </w:pPr>
  </w:style>
  <w:style w:type="paragraph" w:styleId="a5">
    <w:name w:val="header"/>
    <w:basedOn w:val="a"/>
    <w:link w:val="a6"/>
    <w:uiPriority w:val="99"/>
    <w:unhideWhenUsed/>
    <w:rsid w:val="005E513F"/>
    <w:pPr>
      <w:tabs>
        <w:tab w:val="center" w:pos="4153"/>
        <w:tab w:val="right" w:pos="8306"/>
      </w:tabs>
    </w:pPr>
  </w:style>
  <w:style w:type="character" w:customStyle="1" w:styleId="a6">
    <w:name w:val="页眉 字符"/>
    <w:basedOn w:val="a0"/>
    <w:link w:val="a5"/>
    <w:uiPriority w:val="99"/>
    <w:rsid w:val="005E513F"/>
    <w:rPr>
      <w:rFonts w:ascii="Calibri" w:eastAsia="宋体" w:hAnsi="Calibri" w:cs="Times New Roman"/>
      <w:szCs w:val="24"/>
    </w:rPr>
  </w:style>
  <w:style w:type="paragraph" w:styleId="a7">
    <w:name w:val="footer"/>
    <w:basedOn w:val="a"/>
    <w:link w:val="a8"/>
    <w:uiPriority w:val="99"/>
    <w:unhideWhenUsed/>
    <w:rsid w:val="005E513F"/>
    <w:pPr>
      <w:tabs>
        <w:tab w:val="center" w:pos="4153"/>
        <w:tab w:val="right" w:pos="8306"/>
      </w:tabs>
    </w:pPr>
  </w:style>
  <w:style w:type="character" w:customStyle="1" w:styleId="a8">
    <w:name w:val="页脚 字符"/>
    <w:basedOn w:val="a0"/>
    <w:link w:val="a7"/>
    <w:uiPriority w:val="99"/>
    <w:rsid w:val="005E513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卞佳琪</dc:creator>
  <cp:keywords/>
  <dc:description/>
  <cp:lastModifiedBy>卞佳琪</cp:lastModifiedBy>
  <cp:revision>185</cp:revision>
  <dcterms:created xsi:type="dcterms:W3CDTF">2022-02-24T00:14:00Z</dcterms:created>
  <dcterms:modified xsi:type="dcterms:W3CDTF">2022-06-27T02:56:00Z</dcterms:modified>
</cp:coreProperties>
</file>