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hint="eastAsia" w:ascii="宋体" w:hAnsi="宋体" w:eastAsia="宋体" w:cs="宋体"/>
          <w:sz w:val="24"/>
          <w:lang w:val="en-US" w:bidi="zh-CN"/>
        </w:rPr>
        <w:t xml:space="preserve">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rPr>
          <w:rFonts w:ascii="宋体" w:hAnsi="宋体" w:eastAsia="宋体" w:cs="宋体"/>
          <w:sz w:val="17"/>
          <w:lang w:val="zh-CN" w:bidi="zh-CN"/>
        </w:rPr>
      </w:pPr>
    </w:p>
    <w:p>
      <w:pPr>
        <w:autoSpaceDE w:val="0"/>
        <w:autoSpaceDN w:val="0"/>
        <w:spacing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after="15"/>
        <w:ind w:left="2"/>
        <w:jc w:val="center"/>
        <w:rPr>
          <w:rFonts w:ascii="宋体" w:hAnsi="宋体" w:eastAsia="宋体" w:cs="宋体"/>
          <w:sz w:val="24"/>
          <w:lang w:val="zh-CN"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2</w:t>
      </w:r>
      <w:r>
        <w:rPr>
          <w:rFonts w:ascii="宋体" w:hAnsi="宋体" w:eastAsia="宋体" w:cs="宋体"/>
          <w:sz w:val="24"/>
          <w:lang w:val="zh-CN" w:bidi="zh-CN"/>
        </w:rPr>
        <w:t>-0</w:t>
      </w:r>
      <w:r>
        <w:rPr>
          <w:rFonts w:hint="eastAsia" w:ascii="宋体" w:hAnsi="宋体" w:eastAsia="宋体" w:cs="宋体"/>
          <w:sz w:val="24"/>
          <w:lang w:bidi="zh-CN"/>
        </w:rPr>
        <w:t>8</w:t>
      </w:r>
      <w:r>
        <w:rPr>
          <w:rFonts w:ascii="宋体" w:hAnsi="宋体" w:eastAsia="宋体" w:cs="宋体"/>
          <w:sz w:val="24"/>
          <w:lang w:val="zh-CN" w:bidi="zh-CN"/>
        </w:rPr>
        <w:t xml:space="preserve"> </w:t>
      </w:r>
    </w:p>
    <w:p>
      <w:pPr>
        <w:autoSpaceDE w:val="0"/>
        <w:autoSpaceDN w:val="0"/>
        <w:spacing w:before="194" w:after="15"/>
        <w:ind w:left="2"/>
        <w:jc w:val="center"/>
        <w:rPr>
          <w:rFonts w:ascii="宋体" w:hAnsi="宋体" w:eastAsia="宋体" w:cs="宋体"/>
          <w:sz w:val="24"/>
          <w:lang w:val="zh-CN" w:bidi="zh-CN"/>
        </w:r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1400" w:type="dxa"/>
            <w:vAlign w:val="center"/>
          </w:tcPr>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投资者关系活动类别</w:t>
            </w:r>
          </w:p>
        </w:tc>
        <w:tc>
          <w:tcPr>
            <w:tcW w:w="6899" w:type="dxa"/>
          </w:tcPr>
          <w:p>
            <w:pPr>
              <w:autoSpaceDE w:val="0"/>
              <w:autoSpaceDN w:val="0"/>
              <w:spacing w:before="170"/>
              <w:ind w:left="107"/>
              <w:rPr>
                <w:rFonts w:ascii="宋体" w:hAnsi="宋体" w:eastAsia="宋体" w:cs="宋体"/>
                <w:sz w:val="24"/>
                <w:szCs w:val="22"/>
                <w:lang w:val="zh-CN" w:bidi="zh-CN"/>
              </w:rPr>
            </w:pP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特定对象调研        □分析师会议 </w:t>
            </w:r>
          </w:p>
          <w:p>
            <w:pPr>
              <w:autoSpaceDE w:val="0"/>
              <w:autoSpaceDN w:val="0"/>
              <w:spacing w:before="172"/>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□业绩说明会 </w:t>
            </w:r>
          </w:p>
          <w:p>
            <w:pPr>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ascii="宋体" w:hAnsi="宋体" w:eastAsia="宋体" w:cs="宋体"/>
                <w:sz w:val="24"/>
                <w:szCs w:val="22"/>
                <w:lang w:val="zh-CN" w:bidi="zh-CN"/>
              </w:rPr>
              <w:t xml:space="preserve">路演活动 </w:t>
            </w:r>
          </w:p>
          <w:p>
            <w:pPr>
              <w:tabs>
                <w:tab w:val="left" w:pos="3154"/>
              </w:tabs>
              <w:autoSpaceDE w:val="0"/>
              <w:autoSpaceDN w:val="0"/>
              <w:spacing w:before="173"/>
              <w:ind w:left="107"/>
              <w:rPr>
                <w:rFonts w:ascii="宋体" w:hAnsi="宋体" w:eastAsia="宋体" w:cs="宋体"/>
                <w:b/>
                <w:sz w:val="24"/>
                <w:szCs w:val="22"/>
                <w:lang w:val="zh-CN" w:bidi="zh-CN"/>
              </w:rPr>
            </w:pPr>
            <w:r>
              <w:rPr>
                <w:rFonts w:ascii="宋体" w:hAnsi="宋体" w:eastAsia="宋体" w:cs="宋体"/>
                <w:sz w:val="24"/>
                <w:szCs w:val="22"/>
                <w:lang w:val="zh-CN" w:bidi="zh-CN"/>
              </w:rPr>
              <w:t>□现场参观</w:t>
            </w:r>
            <w:r>
              <w:rPr>
                <w:rFonts w:hint="eastAsia" w:ascii="宋体" w:hAnsi="宋体" w:eastAsia="宋体" w:cs="宋体"/>
                <w:sz w:val="24"/>
                <w:szCs w:val="22"/>
                <w:lang w:bidi="zh-CN"/>
              </w:rPr>
              <w:t xml:space="preserve">            </w:t>
            </w: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电话会议</w:t>
            </w:r>
          </w:p>
          <w:p>
            <w:pPr>
              <w:tabs>
                <w:tab w:val="left" w:pos="3154"/>
              </w:tabs>
              <w:autoSpaceDE w:val="0"/>
              <w:autoSpaceDN w:val="0"/>
              <w:spacing w:before="173"/>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1400"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参与单位名称及人员姓名</w:t>
            </w:r>
          </w:p>
        </w:tc>
        <w:tc>
          <w:tcPr>
            <w:tcW w:w="6899" w:type="dxa"/>
            <w:vAlign w:val="center"/>
          </w:tcPr>
          <w:p>
            <w:pPr>
              <w:autoSpaceDE w:val="0"/>
              <w:autoSpaceDN w:val="0"/>
              <w:spacing w:line="400" w:lineRule="exact"/>
              <w:rPr>
                <w:rFonts w:ascii="宋体" w:hAnsi="宋体" w:eastAsia="宋体" w:cs="宋体"/>
                <w:sz w:val="24"/>
                <w:szCs w:val="22"/>
                <w:lang w:val="zh-CN" w:bidi="zh-CN"/>
              </w:rPr>
            </w:pPr>
            <w:r>
              <w:rPr>
                <w:rFonts w:ascii="宋体" w:hAnsi="宋体" w:eastAsia="宋体" w:cs="宋体"/>
                <w:sz w:val="24"/>
                <w:szCs w:val="22"/>
                <w:lang w:val="zh-CN" w:bidi="zh-CN"/>
              </w:rPr>
              <w:t xml:space="preserve">人员名单： </w:t>
            </w:r>
          </w:p>
          <w:p>
            <w:pPr>
              <w:pStyle w:val="10"/>
              <w:spacing w:line="400" w:lineRule="exact"/>
              <w:ind w:left="0"/>
              <w:rPr>
                <w:rFonts w:eastAsia="宋体"/>
                <w:sz w:val="24"/>
              </w:rPr>
            </w:pPr>
            <w:r>
              <w:rPr>
                <w:rFonts w:hint="eastAsia" w:eastAsia="宋体"/>
                <w:sz w:val="24"/>
              </w:rPr>
              <w:t>东方证券机械组组长  杨  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00"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时</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间</w:t>
            </w:r>
          </w:p>
        </w:tc>
        <w:tc>
          <w:tcPr>
            <w:tcW w:w="6899" w:type="dxa"/>
            <w:vAlign w:val="center"/>
          </w:tcPr>
          <w:p>
            <w:pPr>
              <w:autoSpaceDE w:val="0"/>
              <w:autoSpaceDN w:val="0"/>
              <w:spacing w:before="170" w:line="289" w:lineRule="exact"/>
              <w:rPr>
                <w:rFonts w:ascii="宋体" w:hAnsi="宋体" w:eastAsia="宋体" w:cs="宋体"/>
                <w:sz w:val="24"/>
                <w:szCs w:val="22"/>
                <w:lang w:bidi="zh-CN"/>
              </w:rPr>
            </w:pPr>
            <w:r>
              <w:rPr>
                <w:rFonts w:ascii="宋体" w:hAnsi="宋体" w:eastAsia="宋体" w:cs="宋体"/>
                <w:sz w:val="24"/>
                <w:szCs w:val="22"/>
                <w:lang w:val="zh-CN" w:bidi="zh-CN"/>
              </w:rPr>
              <w:t>202</w:t>
            </w:r>
            <w:r>
              <w:rPr>
                <w:rFonts w:hint="eastAsia" w:ascii="宋体" w:hAnsi="宋体" w:eastAsia="宋体" w:cs="宋体"/>
                <w:sz w:val="24"/>
                <w:szCs w:val="22"/>
                <w:lang w:bidi="zh-CN"/>
              </w:rPr>
              <w:t>2</w:t>
            </w:r>
            <w:r>
              <w:rPr>
                <w:rFonts w:ascii="宋体" w:hAnsi="宋体" w:eastAsia="宋体" w:cs="宋体"/>
                <w:sz w:val="24"/>
                <w:szCs w:val="22"/>
                <w:lang w:val="zh-CN" w:bidi="zh-CN"/>
              </w:rPr>
              <w:t>年</w:t>
            </w:r>
            <w:r>
              <w:rPr>
                <w:rFonts w:hint="eastAsia" w:ascii="宋体" w:hAnsi="宋体" w:eastAsia="宋体" w:cs="宋体"/>
                <w:sz w:val="24"/>
                <w:szCs w:val="22"/>
                <w:lang w:bidi="zh-CN"/>
              </w:rPr>
              <w:t>6</w:t>
            </w:r>
            <w:r>
              <w:rPr>
                <w:rFonts w:ascii="宋体" w:hAnsi="宋体" w:eastAsia="宋体" w:cs="宋体"/>
                <w:sz w:val="24"/>
                <w:szCs w:val="22"/>
                <w:lang w:val="zh-CN" w:bidi="zh-CN"/>
              </w:rPr>
              <w:t>月</w:t>
            </w:r>
            <w:r>
              <w:rPr>
                <w:rFonts w:hint="eastAsia" w:ascii="宋体" w:hAnsi="宋体" w:eastAsia="宋体" w:cs="宋体"/>
                <w:sz w:val="24"/>
                <w:szCs w:val="22"/>
                <w:lang w:bidi="zh-CN"/>
              </w:rPr>
              <w:t>27</w:t>
            </w:r>
            <w:r>
              <w:rPr>
                <w:rFonts w:ascii="宋体" w:hAnsi="宋体" w:eastAsia="宋体" w:cs="宋体"/>
                <w:sz w:val="24"/>
                <w:szCs w:val="22"/>
                <w:lang w:val="zh-CN" w:bidi="zh-CN"/>
              </w:rPr>
              <w:t xml:space="preserve">日 </w:t>
            </w:r>
            <w:r>
              <w:rPr>
                <w:rFonts w:ascii="宋体" w:hAnsi="宋体" w:eastAsia="宋体" w:cs="宋体"/>
                <w:sz w:val="24"/>
                <w:szCs w:val="22"/>
                <w:lang w:bidi="zh-CN"/>
              </w:rPr>
              <w:t>1</w:t>
            </w:r>
            <w:r>
              <w:rPr>
                <w:rFonts w:hint="eastAsia" w:ascii="宋体" w:hAnsi="宋体" w:eastAsia="宋体" w:cs="宋体"/>
                <w:sz w:val="24"/>
                <w:szCs w:val="22"/>
                <w:lang w:bidi="zh-CN"/>
              </w:rPr>
              <w:t>0</w:t>
            </w:r>
            <w:r>
              <w:rPr>
                <w:rFonts w:ascii="宋体" w:hAnsi="宋体" w:eastAsia="宋体" w:cs="宋体"/>
                <w:sz w:val="24"/>
                <w:szCs w:val="22"/>
                <w:lang w:val="zh-CN" w:bidi="zh-CN"/>
              </w:rPr>
              <w:t>:</w:t>
            </w:r>
            <w:r>
              <w:rPr>
                <w:rFonts w:hint="eastAsia" w:ascii="宋体" w:hAnsi="宋体" w:eastAsia="宋体" w:cs="宋体"/>
                <w:sz w:val="24"/>
                <w:szCs w:val="22"/>
                <w:lang w:bidi="zh-CN"/>
              </w:rPr>
              <w:t>0</w:t>
            </w:r>
            <w:r>
              <w:rPr>
                <w:rFonts w:ascii="宋体" w:hAnsi="宋体" w:eastAsia="宋体" w:cs="宋体"/>
                <w:sz w:val="24"/>
                <w:szCs w:val="22"/>
                <w:lang w:val="zh-CN" w:bidi="zh-CN"/>
              </w:rPr>
              <w:t>0-1</w:t>
            </w:r>
            <w:r>
              <w:rPr>
                <w:rFonts w:hint="eastAsia" w:ascii="宋体" w:hAnsi="宋体" w:eastAsia="宋体" w:cs="宋体"/>
                <w:sz w:val="24"/>
                <w:szCs w:val="22"/>
                <w:lang w:bidi="zh-CN"/>
              </w:rPr>
              <w:t>1</w:t>
            </w:r>
            <w:r>
              <w:rPr>
                <w:rFonts w:ascii="宋体" w:hAnsi="宋体" w:eastAsia="宋体" w:cs="宋体"/>
                <w:sz w:val="24"/>
                <w:szCs w:val="22"/>
                <w:lang w:val="zh-CN" w:bidi="zh-CN"/>
              </w:rPr>
              <w:t>:</w:t>
            </w:r>
            <w:r>
              <w:rPr>
                <w:rFonts w:hint="eastAsia" w:ascii="宋体" w:hAnsi="宋体" w:eastAsia="宋体" w:cs="宋体"/>
                <w:sz w:val="24"/>
                <w:szCs w:val="22"/>
                <w:lang w:bidi="zh-CN"/>
              </w:rPr>
              <w:t>0</w:t>
            </w:r>
            <w:r>
              <w:rPr>
                <w:rFonts w:ascii="宋体" w:hAnsi="宋体" w:eastAsia="宋体" w:cs="宋体"/>
                <w:sz w:val="24"/>
                <w:szCs w:val="22"/>
                <w:lang w:val="zh-CN" w:bidi="zh-CN"/>
              </w:rPr>
              <w:t xml:space="preserve">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1400"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Microsoft JhengHei" w:hAnsi="宋体" w:eastAsia="Microsoft JhengHei" w:cs="宋体"/>
                <w:b/>
                <w:sz w:val="24"/>
                <w:szCs w:val="22"/>
                <w:lang w:val="zh-CN" w:bidi="zh-CN"/>
              </w:rPr>
              <w:t>地</w:t>
            </w:r>
            <w:r>
              <w:rPr>
                <w:rFonts w:hint="eastAsia" w:ascii="Microsoft JhengHei" w:hAnsi="宋体" w:eastAsia="宋体" w:cs="宋体"/>
                <w:b/>
                <w:sz w:val="24"/>
                <w:szCs w:val="22"/>
                <w:lang w:bidi="zh-CN"/>
              </w:rPr>
              <w:t xml:space="preserve">  </w:t>
            </w:r>
            <w:r>
              <w:rPr>
                <w:rFonts w:hint="eastAsia" w:ascii="Microsoft JhengHei" w:hAnsi="宋体" w:eastAsia="Microsoft JhengHei" w:cs="宋体"/>
                <w:b/>
                <w:sz w:val="24"/>
                <w:szCs w:val="22"/>
                <w:lang w:val="zh-CN" w:bidi="zh-CN"/>
              </w:rPr>
              <w:t>点</w:t>
            </w:r>
          </w:p>
        </w:tc>
        <w:tc>
          <w:tcPr>
            <w:tcW w:w="6899" w:type="dxa"/>
            <w:vAlign w:val="center"/>
          </w:tcPr>
          <w:p>
            <w:pPr>
              <w:autoSpaceDE w:val="0"/>
              <w:autoSpaceDN w:val="0"/>
              <w:spacing w:before="173" w:line="289" w:lineRule="exact"/>
              <w:rPr>
                <w:rFonts w:ascii="宋体" w:hAnsi="宋体" w:eastAsia="宋体" w:cs="宋体"/>
                <w:sz w:val="24"/>
                <w:szCs w:val="22"/>
                <w:lang w:bidi="zh-CN"/>
              </w:rPr>
            </w:pPr>
            <w:r>
              <w:rPr>
                <w:rFonts w:hint="eastAsia" w:ascii="宋体" w:hAnsi="宋体" w:eastAsia="宋体" w:cs="宋体"/>
                <w:spacing w:val="-6"/>
                <w:sz w:val="24"/>
                <w:szCs w:val="22"/>
                <w:lang w:bidi="zh-CN"/>
              </w:rPr>
              <w:t>北京市丰台区南四环西路诺德中心11号楼</w:t>
            </w:r>
            <w:r>
              <w:rPr>
                <w:rFonts w:hint="eastAsia"/>
                <w:spacing w:val="-6"/>
                <w:sz w:val="24"/>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00"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上市公司接待人员姓名</w:t>
            </w:r>
          </w:p>
        </w:tc>
        <w:tc>
          <w:tcPr>
            <w:tcW w:w="6899" w:type="dxa"/>
            <w:vAlign w:val="center"/>
          </w:tcPr>
          <w:p>
            <w:pPr>
              <w:autoSpaceDE w:val="0"/>
              <w:autoSpaceDN w:val="0"/>
              <w:spacing w:line="400" w:lineRule="exact"/>
              <w:rPr>
                <w:rFonts w:ascii="宋体" w:hAnsi="宋体" w:eastAsia="宋体" w:cs="宋体"/>
                <w:sz w:val="24"/>
                <w:szCs w:val="22"/>
                <w:lang w:bidi="zh-CN"/>
              </w:rPr>
            </w:pP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 xml:space="preserve"> 葛瑞鹏</w:t>
            </w:r>
          </w:p>
        </w:tc>
      </w:tr>
    </w:tbl>
    <w:p>
      <w:pPr>
        <w:spacing w:line="289" w:lineRule="exact"/>
        <w:rPr>
          <w:sz w:val="24"/>
        </w:rPr>
        <w:sectPr>
          <w:pgSz w:w="11910" w:h="16840"/>
          <w:pgMar w:top="1580" w:right="1560" w:bottom="280" w:left="1680" w:header="720" w:footer="720" w:gutter="0"/>
          <w:cols w:space="720" w:num="1"/>
        </w:sectPr>
      </w:pPr>
    </w:p>
    <w:tbl>
      <w:tblPr>
        <w:tblStyle w:val="5"/>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1" w:hRule="atLeast"/>
        </w:trPr>
        <w:tc>
          <w:tcPr>
            <w:tcW w:w="1555"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6743" w:type="dxa"/>
          </w:tcPr>
          <w:p>
            <w:pPr>
              <w:widowControl/>
              <w:spacing w:line="380" w:lineRule="exact"/>
              <w:ind w:firstLine="480" w:firstLineChars="200"/>
              <w:jc w:val="left"/>
              <w:rPr>
                <w:rFonts w:ascii="宋体" w:hAnsi="宋体" w:eastAsia="宋体" w:cs="宋体"/>
                <w:sz w:val="24"/>
                <w:szCs w:val="22"/>
                <w:lang w:val="zh-CN" w:bidi="zh-CN"/>
              </w:rPr>
            </w:pPr>
            <w:r>
              <w:rPr>
                <w:rFonts w:hint="eastAsia" w:ascii="宋体" w:hAnsi="宋体" w:eastAsia="宋体" w:cs="宋体"/>
                <w:sz w:val="24"/>
                <w:szCs w:val="22"/>
                <w:lang w:val="zh-CN" w:bidi="zh-CN"/>
              </w:rPr>
              <w:t>与会人员就</w:t>
            </w:r>
            <w:r>
              <w:rPr>
                <w:rFonts w:hint="eastAsia" w:ascii="宋体" w:hAnsi="宋体" w:eastAsia="宋体" w:cs="宋体"/>
                <w:sz w:val="24"/>
                <w:szCs w:val="22"/>
                <w:lang w:bidi="zh-CN"/>
              </w:rPr>
              <w:t>疫情对公司的影响</w:t>
            </w:r>
            <w:r>
              <w:rPr>
                <w:rFonts w:hint="eastAsia" w:ascii="宋体" w:hAnsi="宋体" w:eastAsia="宋体" w:cs="宋体"/>
                <w:sz w:val="24"/>
                <w:szCs w:val="22"/>
                <w:lang w:val="zh-CN" w:bidi="zh-CN"/>
              </w:rPr>
              <w:t>,盾构机/</w:t>
            </w:r>
            <w:r>
              <w:rPr>
                <w:rFonts w:ascii="宋体" w:hAnsi="宋体" w:eastAsia="宋体" w:cs="宋体"/>
                <w:sz w:val="24"/>
                <w:szCs w:val="22"/>
                <w:lang w:val="zh-CN" w:bidi="zh-CN"/>
              </w:rPr>
              <w:t>TBM</w:t>
            </w:r>
            <w:r>
              <w:rPr>
                <w:rFonts w:hint="eastAsia" w:ascii="宋体" w:hAnsi="宋体" w:eastAsia="宋体" w:cs="宋体"/>
                <w:sz w:val="24"/>
                <w:szCs w:val="22"/>
                <w:lang w:val="zh-CN" w:bidi="zh-CN"/>
              </w:rPr>
              <w:t>在</w:t>
            </w:r>
            <w:r>
              <w:rPr>
                <w:rFonts w:hint="eastAsia" w:ascii="宋体" w:hAnsi="宋体" w:eastAsia="宋体" w:cs="宋体"/>
                <w:sz w:val="24"/>
                <w:szCs w:val="22"/>
                <w:lang w:bidi="zh-CN"/>
              </w:rPr>
              <w:t>抽水蓄能、水利工程、矿山领域的应用及未来发展</w:t>
            </w:r>
            <w:r>
              <w:rPr>
                <w:rFonts w:hint="eastAsia" w:ascii="宋体" w:hAnsi="宋体" w:eastAsia="宋体" w:cs="宋体"/>
                <w:sz w:val="24"/>
                <w:szCs w:val="22"/>
                <w:lang w:val="zh-CN" w:bidi="zh-CN"/>
              </w:rPr>
              <w:t xml:space="preserve">等情况进行了交流，具体如下： </w:t>
            </w:r>
          </w:p>
          <w:p>
            <w:pPr>
              <w:widowControl/>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val="zh-CN" w:bidi="zh-CN"/>
              </w:rPr>
              <w:t>1.</w:t>
            </w:r>
            <w:r>
              <w:rPr>
                <w:rFonts w:hint="eastAsia" w:ascii="宋体" w:hAnsi="宋体" w:eastAsia="宋体" w:cs="宋体"/>
                <w:b/>
                <w:bCs/>
                <w:sz w:val="24"/>
                <w:szCs w:val="22"/>
                <w:lang w:bidi="zh-CN"/>
              </w:rPr>
              <w:t>今年以来疫情对公司生产经营的影响及下半年形势预判？</w:t>
            </w:r>
          </w:p>
          <w:p>
            <w:pPr>
              <w:widowControl/>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上半年，国内疫情的反复特别是江浙沪、京津冀等区域的疫情严格管控措施对公司的商务交流、供应链管理、产品排产、物流运输等造成了一定影响。公司积极应对不利局面，提前制定应急预案，最大程度维护了企业生产经营秩序。下一步，随着各地疫情的逐步缓解，加之国家一系列“稳增长”政策的快速落地，公司作为服务于基础设施建设领域的高端装备制造商，将抓住国家基建投资稳增长及各地基建项目加快实施的有利契机，深化市场开拓、优化生产组织，努力弥补疫情影响，进一步提升发展质量。</w:t>
            </w:r>
          </w:p>
          <w:p>
            <w:pPr>
              <w:widowControl/>
              <w:spacing w:line="380" w:lineRule="exact"/>
              <w:ind w:firstLine="482" w:firstLineChars="200"/>
              <w:jc w:val="left"/>
              <w:rPr>
                <w:rFonts w:ascii="宋体" w:hAnsi="宋体" w:eastAsia="宋体" w:cs="宋体"/>
                <w:b/>
                <w:bCs/>
                <w:sz w:val="24"/>
                <w:szCs w:val="22"/>
                <w:lang w:bidi="zh-CN"/>
              </w:rPr>
            </w:pPr>
          </w:p>
          <w:p>
            <w:pPr>
              <w:widowControl/>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2.盾构机/TBM在抽水蓄能的发展情况与未来市场空间？</w:t>
            </w:r>
          </w:p>
          <w:p>
            <w:pPr>
              <w:widowControl/>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答：公司近年来深耕抽水蓄能TBM的研发和应用，先后研制出一系列应用于该领域的TBM产品，填补了国产TBM在抽水蓄能行业应用的空白，已覆盖抽水蓄能电站的排水廊道、自流排水洞、 交通洞及通风安全洞、排风竖井、引水斜井等全部五个地下洞室领域。公司TBM累计已应用或即将应用的国内抽水蓄能项目达11个，市场占有率超过80%。今年一季度抽水蓄能TBM产品进入南网市场，进一步巩固了在该细分领域的绝对优势。</w:t>
            </w:r>
          </w:p>
          <w:p>
            <w:pPr>
              <w:widowControl/>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2021年9月，国家能源局发布《抽水蓄能中长期发展规划（2021-2035年）》，要求各地加快抽水蓄能电站核准建设，并提出了发展目标和主要任务。2</w:t>
            </w:r>
            <w:r>
              <w:rPr>
                <w:rFonts w:ascii="宋体" w:hAnsi="宋体" w:eastAsia="宋体" w:cs="宋体"/>
                <w:sz w:val="24"/>
                <w:szCs w:val="22"/>
                <w:lang w:bidi="zh-CN"/>
              </w:rPr>
              <w:t>022</w:t>
            </w:r>
            <w:r>
              <w:rPr>
                <w:rFonts w:hint="eastAsia" w:ascii="宋体" w:hAnsi="宋体" w:eastAsia="宋体" w:cs="宋体"/>
                <w:sz w:val="24"/>
                <w:szCs w:val="22"/>
                <w:lang w:bidi="zh-CN"/>
              </w:rPr>
              <w:t>年4月，国家发展改革委、国家能源局联合印发通知，部署加快“十四五”时期抽水蓄能项目开发建设，要求加快项目核准的同时，具备开工条件的项目尽早开工建设。未来，在该规划和通知的指引下，抽水蓄能产业将迎来广阔发展空间，结合中铁工业在抽水蓄能领域的技术储备、市场开拓能力、产品应用业绩等优势，预计公司抽水蓄能TBM产品在该领域的应用有望迎来新的突破。</w:t>
            </w:r>
          </w:p>
          <w:p>
            <w:pPr>
              <w:widowControl/>
              <w:spacing w:line="380" w:lineRule="exact"/>
              <w:ind w:firstLine="480" w:firstLineChars="200"/>
              <w:jc w:val="left"/>
              <w:rPr>
                <w:rFonts w:ascii="宋体" w:hAnsi="宋体" w:eastAsia="宋体" w:cs="宋体"/>
                <w:sz w:val="24"/>
                <w:szCs w:val="22"/>
                <w:lang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3.盾构机/TBM在抽水蓄能以外其他水利工程市场的发展情况？</w:t>
            </w:r>
          </w:p>
          <w:p>
            <w:pPr>
              <w:widowControl/>
              <w:spacing w:line="380" w:lineRule="exact"/>
              <w:ind w:firstLine="480" w:firstLineChars="200"/>
              <w:jc w:val="left"/>
              <w:rPr>
                <w:rFonts w:ascii="宋体" w:hAnsi="宋体" w:eastAsia="宋体" w:cs="宋体"/>
                <w:sz w:val="24"/>
                <w:szCs w:val="22"/>
                <w:lang w:bidi="zh-CN"/>
              </w:rPr>
            </w:pPr>
            <w:r>
              <w:rPr>
                <w:rFonts w:hint="eastAsia" w:ascii="宋体" w:hAnsi="宋体" w:eastAsia="宋体" w:cs="宋体"/>
                <w:sz w:val="24"/>
                <w:szCs w:val="22"/>
                <w:lang w:bidi="zh-CN"/>
              </w:rPr>
              <w:t>答：随着国家生态环境治理和水资源配置力度的不断加大，全国范围内调水及区域调水等大型水利水电工程项目持续增多，盾构机/TBM在该领域的应用正在逐步增加。作为中国盾构机产业的开拓者和领军者，公司加大科技研发力度，积极拓展盾构机/TBM在引水工程领域的应用，已中标吉林引松供水总干线、安阳南水北调工程、滇中引水红河段工程、新济洲引水工程、珠三角水资源配置工程等项目盾构机/TBM订单。公司在抽水蓄能以外其他水利工程市场生产和销售盾构机/TBM超过60台，市场占有率超过50%。</w:t>
            </w:r>
          </w:p>
          <w:p>
            <w:pPr>
              <w:widowControl/>
              <w:spacing w:line="380" w:lineRule="exact"/>
              <w:ind w:firstLine="480" w:firstLineChars="200"/>
              <w:jc w:val="left"/>
              <w:rPr>
                <w:rFonts w:ascii="宋体" w:hAnsi="宋体" w:eastAsia="宋体" w:cs="宋体"/>
                <w:sz w:val="24"/>
                <w:szCs w:val="22"/>
                <w:lang w:val="zh-CN" w:bidi="zh-CN"/>
              </w:rPr>
            </w:pPr>
          </w:p>
          <w:p>
            <w:pPr>
              <w:widowControl/>
              <w:numPr>
                <w:ilvl w:val="255"/>
                <w:numId w:val="0"/>
              </w:numPr>
              <w:spacing w:line="380" w:lineRule="exact"/>
              <w:ind w:firstLine="482" w:firstLineChars="200"/>
              <w:jc w:val="left"/>
              <w:rPr>
                <w:rFonts w:ascii="宋体" w:hAnsi="宋体" w:eastAsia="宋体" w:cs="宋体"/>
                <w:b/>
                <w:bCs/>
                <w:sz w:val="24"/>
                <w:szCs w:val="22"/>
                <w:lang w:bidi="zh-CN"/>
              </w:rPr>
            </w:pPr>
            <w:r>
              <w:rPr>
                <w:rFonts w:hint="eastAsia" w:ascii="宋体" w:hAnsi="宋体" w:eastAsia="宋体" w:cs="宋体"/>
                <w:b/>
                <w:bCs/>
                <w:sz w:val="24"/>
                <w:szCs w:val="22"/>
                <w:lang w:bidi="zh-CN"/>
              </w:rPr>
              <w:t>4.公司隧道掘进机等相关产品在矿山领域的应用情况？</w:t>
            </w:r>
          </w:p>
          <w:p>
            <w:pPr>
              <w:widowControl/>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作为中国掘进机产业的开拓者与领军者，公司依托多年来在隧道施工装备行业积累的丰富经验和雄厚的研发制造实力，率先进入矿山隧道建设领域，不断通过技术创新和产品创新解决矿山隧道施工难题，成功研制了一批性能卓越、针对性强的矿用隧道掘进机，为我国矿山隧道建设提供了安全、优质、高效的综合解决方案。目前， TBM法施工在矿山领域的应用得到了客户的广泛认可，市场渗透率正在快速提升，公司TBM、掘锚一体机等相关产品在煤矿、金矿、磷矿等领域已有较多应用，</w:t>
            </w:r>
            <w:r>
              <w:rPr>
                <w:rFonts w:hint="eastAsia" w:ascii="宋体" w:hAnsi="宋体" w:eastAsia="宋体" w:cs="宋体"/>
                <w:b w:val="0"/>
                <w:sz w:val="24"/>
                <w:szCs w:val="22"/>
                <w:highlight w:val="none"/>
                <w:lang w:bidi="zh-CN"/>
              </w:rPr>
              <w:t>特别是在今年上半年公司TBM产品</w:t>
            </w:r>
            <w:r>
              <w:rPr>
                <w:rFonts w:hint="eastAsia" w:ascii="宋体" w:hAnsi="宋体" w:eastAsia="宋体" w:cs="宋体"/>
                <w:b w:val="0"/>
                <w:sz w:val="24"/>
                <w:szCs w:val="22"/>
                <w:highlight w:val="none"/>
                <w:lang w:val="en-US" w:eastAsia="zh-CN" w:bidi="zh-CN"/>
              </w:rPr>
              <w:t>已</w:t>
            </w:r>
            <w:bookmarkStart w:id="0" w:name="_GoBack"/>
            <w:bookmarkEnd w:id="0"/>
            <w:r>
              <w:rPr>
                <w:rFonts w:hint="eastAsia" w:ascii="宋体" w:hAnsi="宋体" w:eastAsia="宋体" w:cs="宋体"/>
                <w:b w:val="0"/>
                <w:sz w:val="24"/>
                <w:szCs w:val="22"/>
                <w:highlight w:val="none"/>
                <w:lang w:bidi="zh-CN"/>
              </w:rPr>
              <w:t>在该领域实现新签订单10台</w:t>
            </w:r>
            <w:r>
              <w:rPr>
                <w:rFonts w:hint="eastAsia" w:ascii="宋体" w:hAnsi="宋体" w:eastAsia="宋体" w:cs="宋体"/>
                <w:sz w:val="24"/>
                <w:szCs w:val="22"/>
                <w:lang w:bidi="zh-CN"/>
              </w:rPr>
              <w:t>，与以往相比有较大幅度提升。</w:t>
            </w:r>
          </w:p>
          <w:p>
            <w:pPr>
              <w:widowControl/>
              <w:spacing w:line="380" w:lineRule="exact"/>
              <w:ind w:firstLine="480" w:firstLineChars="200"/>
              <w:jc w:val="left"/>
              <w:rPr>
                <w:rFonts w:ascii="宋体" w:hAnsi="宋体" w:eastAsia="宋体" w:cs="宋体"/>
                <w:sz w:val="24"/>
                <w:szCs w:val="22"/>
                <w:lang w:bidi="zh-CN"/>
              </w:rPr>
            </w:pPr>
          </w:p>
          <w:p>
            <w:pPr>
              <w:widowControl/>
              <w:spacing w:line="380" w:lineRule="exact"/>
              <w:ind w:firstLine="480" w:firstLineChars="200"/>
              <w:rPr>
                <w:rFonts w:ascii="宋体" w:hAnsi="宋体" w:eastAsia="宋体" w:cs="宋体"/>
                <w:sz w:val="24"/>
                <w:szCs w:val="22"/>
                <w:lang w:bidi="zh-CN"/>
              </w:rPr>
            </w:pPr>
          </w:p>
        </w:tc>
      </w:tr>
    </w:tbl>
    <w:p>
      <w:pPr>
        <w:autoSpaceDE w:val="0"/>
        <w:autoSpaceDN w:val="0"/>
        <w:jc w:val="left"/>
        <w:rPr>
          <w:rFonts w:ascii="宋体" w:hAnsi="宋体" w:eastAsia="宋体" w:cs="宋体"/>
          <w:kern w:val="0"/>
          <w:sz w:val="22"/>
          <w:szCs w:val="22"/>
          <w:lang w:val="zh-CN" w:bidi="zh-CN"/>
        </w:rPr>
      </w:pPr>
    </w:p>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embedRegular r:id="rId1" w:fontKey="{A2331C3C-00F4-4403-A5C9-493D26605398}"/>
  </w:font>
  <w:font w:name="方正小标宋简体">
    <w:panose1 w:val="03000509000000000000"/>
    <w:charset w:val="86"/>
    <w:family w:val="auto"/>
    <w:pitch w:val="default"/>
    <w:sig w:usb0="00000001" w:usb1="080E0000" w:usb2="00000000" w:usb3="00000000" w:csb0="00040000" w:csb1="00000000"/>
    <w:embedRegular r:id="rId2" w:fontKey="{4C9EB7CA-7AE7-44D0-B5A8-46E4C2E3F698}"/>
  </w:font>
  <w:font w:name="Wingdings 2">
    <w:panose1 w:val="05020102010507070707"/>
    <w:charset w:val="02"/>
    <w:family w:val="roman"/>
    <w:pitch w:val="default"/>
    <w:sig w:usb0="00000000" w:usb1="00000000" w:usb2="00000000" w:usb3="00000000" w:csb0="80000000" w:csb1="00000000"/>
    <w:embedRegular r:id="rId3" w:fontKey="{4D18D6AC-69E5-40C9-93B9-A17AE11C895A}"/>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iZTdkNDE3MjE5YTY5MmUyMmY5ZTFlMTQ0Y2RlYWYifQ=="/>
  </w:docVars>
  <w:rsids>
    <w:rsidRoot w:val="067F2EB8"/>
    <w:rsid w:val="00057DD9"/>
    <w:rsid w:val="000D59AA"/>
    <w:rsid w:val="000F1A64"/>
    <w:rsid w:val="001D0590"/>
    <w:rsid w:val="001D0E8C"/>
    <w:rsid w:val="001E5398"/>
    <w:rsid w:val="002C19C8"/>
    <w:rsid w:val="002F65AE"/>
    <w:rsid w:val="00322CBB"/>
    <w:rsid w:val="00350FDA"/>
    <w:rsid w:val="003A0E0C"/>
    <w:rsid w:val="003C7107"/>
    <w:rsid w:val="0047189E"/>
    <w:rsid w:val="004A21B2"/>
    <w:rsid w:val="005074AA"/>
    <w:rsid w:val="0051086F"/>
    <w:rsid w:val="005127E7"/>
    <w:rsid w:val="0059527A"/>
    <w:rsid w:val="005B5386"/>
    <w:rsid w:val="0061261C"/>
    <w:rsid w:val="006663ED"/>
    <w:rsid w:val="006D18C2"/>
    <w:rsid w:val="00717865"/>
    <w:rsid w:val="007232C6"/>
    <w:rsid w:val="00803AA2"/>
    <w:rsid w:val="00822DDC"/>
    <w:rsid w:val="00840ABE"/>
    <w:rsid w:val="00891B8D"/>
    <w:rsid w:val="008C1DDE"/>
    <w:rsid w:val="00A0690C"/>
    <w:rsid w:val="00A322E9"/>
    <w:rsid w:val="00A36A66"/>
    <w:rsid w:val="00A652E5"/>
    <w:rsid w:val="00A6788A"/>
    <w:rsid w:val="00A8052F"/>
    <w:rsid w:val="00AA2AEA"/>
    <w:rsid w:val="00AC2668"/>
    <w:rsid w:val="00AD3078"/>
    <w:rsid w:val="00AE285C"/>
    <w:rsid w:val="00B151B2"/>
    <w:rsid w:val="00B76845"/>
    <w:rsid w:val="00BC3BBC"/>
    <w:rsid w:val="00C11372"/>
    <w:rsid w:val="00C51EAA"/>
    <w:rsid w:val="00C629DC"/>
    <w:rsid w:val="00C70D12"/>
    <w:rsid w:val="00CE78A5"/>
    <w:rsid w:val="00D117DC"/>
    <w:rsid w:val="00D26802"/>
    <w:rsid w:val="00D50804"/>
    <w:rsid w:val="00D63A9E"/>
    <w:rsid w:val="00D65E27"/>
    <w:rsid w:val="00D66E4B"/>
    <w:rsid w:val="00DA24A0"/>
    <w:rsid w:val="00DC5E96"/>
    <w:rsid w:val="00DF3F05"/>
    <w:rsid w:val="00EB1073"/>
    <w:rsid w:val="00EC4DF6"/>
    <w:rsid w:val="00EF28E1"/>
    <w:rsid w:val="00F54D73"/>
    <w:rsid w:val="00FA6A5F"/>
    <w:rsid w:val="00FD3E00"/>
    <w:rsid w:val="02BA3306"/>
    <w:rsid w:val="046C34D0"/>
    <w:rsid w:val="05D46336"/>
    <w:rsid w:val="067F2EB8"/>
    <w:rsid w:val="06E32BC5"/>
    <w:rsid w:val="06E57CCD"/>
    <w:rsid w:val="07683008"/>
    <w:rsid w:val="09147BD1"/>
    <w:rsid w:val="0A101979"/>
    <w:rsid w:val="0F96177E"/>
    <w:rsid w:val="0FCD0D0C"/>
    <w:rsid w:val="11F27621"/>
    <w:rsid w:val="15603B98"/>
    <w:rsid w:val="16A21045"/>
    <w:rsid w:val="17236F1E"/>
    <w:rsid w:val="18191ECD"/>
    <w:rsid w:val="18C31FB2"/>
    <w:rsid w:val="18D51A39"/>
    <w:rsid w:val="1BEF0218"/>
    <w:rsid w:val="1C1F5442"/>
    <w:rsid w:val="1CE558A8"/>
    <w:rsid w:val="1E166F81"/>
    <w:rsid w:val="22125D09"/>
    <w:rsid w:val="23E256F7"/>
    <w:rsid w:val="244E4F36"/>
    <w:rsid w:val="2CF40171"/>
    <w:rsid w:val="3151318A"/>
    <w:rsid w:val="333431EA"/>
    <w:rsid w:val="35526158"/>
    <w:rsid w:val="379609DC"/>
    <w:rsid w:val="37C75D61"/>
    <w:rsid w:val="38F2029B"/>
    <w:rsid w:val="3A0B1E06"/>
    <w:rsid w:val="3A903116"/>
    <w:rsid w:val="3AAE74F9"/>
    <w:rsid w:val="3AFE1875"/>
    <w:rsid w:val="3B3549EE"/>
    <w:rsid w:val="3E0C3A82"/>
    <w:rsid w:val="40BF1ED5"/>
    <w:rsid w:val="425A5222"/>
    <w:rsid w:val="427020C1"/>
    <w:rsid w:val="46B336FC"/>
    <w:rsid w:val="47675366"/>
    <w:rsid w:val="498F750F"/>
    <w:rsid w:val="4A220E73"/>
    <w:rsid w:val="4A3E3505"/>
    <w:rsid w:val="4B7E10D3"/>
    <w:rsid w:val="4CD519E2"/>
    <w:rsid w:val="4DC872D1"/>
    <w:rsid w:val="54552A11"/>
    <w:rsid w:val="546141A1"/>
    <w:rsid w:val="55BE5564"/>
    <w:rsid w:val="57E072C8"/>
    <w:rsid w:val="58ED0E26"/>
    <w:rsid w:val="5D51749F"/>
    <w:rsid w:val="5EDE5F3A"/>
    <w:rsid w:val="5FF14891"/>
    <w:rsid w:val="62443C69"/>
    <w:rsid w:val="629C469B"/>
    <w:rsid w:val="631A6271"/>
    <w:rsid w:val="631C6B3A"/>
    <w:rsid w:val="63C128AF"/>
    <w:rsid w:val="641857B4"/>
    <w:rsid w:val="68202928"/>
    <w:rsid w:val="6B8B0AA6"/>
    <w:rsid w:val="6CAE1317"/>
    <w:rsid w:val="6CB30B6E"/>
    <w:rsid w:val="72151F22"/>
    <w:rsid w:val="73A2411E"/>
    <w:rsid w:val="74340667"/>
    <w:rsid w:val="7CCC6B4A"/>
    <w:rsid w:val="7D3674C0"/>
    <w:rsid w:val="7D9046C1"/>
    <w:rsid w:val="7F7C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0">
    <w:name w:val="Table Paragraph"/>
    <w:basedOn w:val="1"/>
    <w:qFormat/>
    <w:uiPriority w:val="1"/>
    <w:pPr>
      <w:ind w:left="107"/>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1460</Words>
  <Characters>1550</Characters>
  <Lines>14</Lines>
  <Paragraphs>4</Paragraphs>
  <TotalTime>5</TotalTime>
  <ScaleCrop>false</ScaleCrop>
  <LinksUpToDate>false</LinksUpToDate>
  <CharactersWithSpaces>1709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2022-06-27T10:16:00Z</dcterms:created>
  <dc:creator>王浩</dc:creator>
  <cp:lastModifiedBy>WH</cp:lastModifiedBy>
  <dcterms:modified xsi:type="dcterms:W3CDTF">2022-06-27T10:44:18Z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204C6857FC3241E382C2D00DF51600FC</vt:lpwstr>
  </property>
</Properties>
</file>