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1CFF" w14:textId="77777777" w:rsidR="003A73B0" w:rsidRDefault="008B2B1D">
      <w:pPr>
        <w:spacing w:line="360" w:lineRule="auto"/>
        <w:jc w:val="distribute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证券代码：688</w:t>
      </w:r>
      <w:r>
        <w:rPr>
          <w:rFonts w:ascii="宋体" w:eastAsia="宋体" w:hAnsi="宋体" w:cs="Arial"/>
          <w:sz w:val="24"/>
          <w:szCs w:val="24"/>
        </w:rPr>
        <w:t>109</w:t>
      </w:r>
      <w:r>
        <w:rPr>
          <w:rFonts w:ascii="宋体" w:eastAsia="宋体" w:hAnsi="宋体" w:cs="Arial" w:hint="eastAsia"/>
          <w:sz w:val="24"/>
          <w:szCs w:val="24"/>
        </w:rPr>
        <w:t xml:space="preserve">                                    证券简称：品茗股份</w:t>
      </w:r>
    </w:p>
    <w:p w14:paraId="1DF80C73" w14:textId="77777777" w:rsidR="003A73B0" w:rsidRDefault="008B2B1D">
      <w:pPr>
        <w:spacing w:beforeLines="50" w:before="156" w:line="360" w:lineRule="auto"/>
        <w:jc w:val="center"/>
        <w:rPr>
          <w:rFonts w:ascii="宋体" w:eastAsia="宋体" w:hAnsi="宋体" w:cs="Arial"/>
          <w:b/>
          <w:sz w:val="28"/>
          <w:szCs w:val="28"/>
        </w:rPr>
      </w:pPr>
      <w:r>
        <w:rPr>
          <w:rFonts w:ascii="宋体" w:eastAsia="宋体" w:hAnsi="宋体" w:cs="Arial" w:hint="eastAsia"/>
          <w:b/>
          <w:sz w:val="28"/>
          <w:szCs w:val="28"/>
        </w:rPr>
        <w:t>杭州</w:t>
      </w:r>
      <w:proofErr w:type="gramStart"/>
      <w:r>
        <w:rPr>
          <w:rFonts w:ascii="宋体" w:eastAsia="宋体" w:hAnsi="宋体" w:cs="Arial" w:hint="eastAsia"/>
          <w:b/>
          <w:sz w:val="28"/>
          <w:szCs w:val="28"/>
        </w:rPr>
        <w:t>品茗安控信息技术</w:t>
      </w:r>
      <w:proofErr w:type="gramEnd"/>
      <w:r>
        <w:rPr>
          <w:rFonts w:ascii="宋体" w:eastAsia="宋体" w:hAnsi="宋体" w:cs="Arial" w:hint="eastAsia"/>
          <w:b/>
          <w:sz w:val="28"/>
          <w:szCs w:val="28"/>
        </w:rPr>
        <w:t>股份有限公司</w:t>
      </w:r>
    </w:p>
    <w:p w14:paraId="500258E4" w14:textId="77777777" w:rsidR="003A73B0" w:rsidRDefault="008B2B1D">
      <w:pPr>
        <w:spacing w:line="360" w:lineRule="auto"/>
        <w:jc w:val="center"/>
        <w:rPr>
          <w:rFonts w:ascii="宋体" w:eastAsia="宋体" w:hAnsi="宋体" w:cs="Arial"/>
          <w:b/>
          <w:sz w:val="28"/>
          <w:szCs w:val="28"/>
        </w:rPr>
      </w:pPr>
      <w:r>
        <w:rPr>
          <w:rFonts w:ascii="宋体" w:eastAsia="宋体" w:hAnsi="宋体" w:cs="Arial" w:hint="eastAsia"/>
          <w:b/>
          <w:sz w:val="28"/>
          <w:szCs w:val="28"/>
        </w:rPr>
        <w:t>投资者关系活动记录表</w:t>
      </w:r>
    </w:p>
    <w:p w14:paraId="0518F6C0" w14:textId="208FF1B5" w:rsidR="003A73B0" w:rsidRDefault="008B2B1D">
      <w:pPr>
        <w:spacing w:line="360" w:lineRule="auto"/>
        <w:jc w:val="right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编号：2022</w:t>
      </w:r>
      <w:r w:rsidR="009018B3">
        <w:rPr>
          <w:rFonts w:ascii="宋体" w:eastAsia="宋体" w:hAnsi="宋体" w:cs="Arial"/>
          <w:sz w:val="24"/>
          <w:szCs w:val="24"/>
        </w:rPr>
        <w:t>-006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428"/>
        <w:gridCol w:w="7292"/>
      </w:tblGrid>
      <w:tr w:rsidR="003A73B0" w14:paraId="05FE58BF" w14:textId="77777777" w:rsidTr="009018B3">
        <w:trPr>
          <w:trHeight w:val="1477"/>
          <w:jc w:val="center"/>
        </w:trPr>
        <w:tc>
          <w:tcPr>
            <w:tcW w:w="1428" w:type="dxa"/>
            <w:vAlign w:val="center"/>
          </w:tcPr>
          <w:p w14:paraId="29BEE803" w14:textId="77777777" w:rsidR="003A73B0" w:rsidRDefault="008B2B1D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投资者关系活动类别</w:t>
            </w:r>
          </w:p>
        </w:tc>
        <w:tc>
          <w:tcPr>
            <w:tcW w:w="7292" w:type="dxa"/>
            <w:vAlign w:val="center"/>
          </w:tcPr>
          <w:p w14:paraId="1BD780C7" w14:textId="77777777" w:rsidR="003A73B0" w:rsidRDefault="008B2B1D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sym w:font="Wingdings 2" w:char="F052"/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特定对象调研         □分析师会议</w:t>
            </w:r>
          </w:p>
          <w:p w14:paraId="357402EC" w14:textId="77777777" w:rsidR="003A73B0" w:rsidRDefault="008B2B1D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□媒体采访             □业绩说明会</w:t>
            </w:r>
          </w:p>
          <w:p w14:paraId="3EA0ED27" w14:textId="77777777" w:rsidR="003A73B0" w:rsidRDefault="008B2B1D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□新闻发布会           □路演活动</w:t>
            </w:r>
          </w:p>
          <w:p w14:paraId="3EB6CDB4" w14:textId="77777777" w:rsidR="003A73B0" w:rsidRDefault="008B2B1D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□现场参观             □其他</w:t>
            </w:r>
          </w:p>
        </w:tc>
      </w:tr>
      <w:tr w:rsidR="003A73B0" w14:paraId="48C8C3CD" w14:textId="77777777">
        <w:trPr>
          <w:trHeight w:val="1259"/>
          <w:jc w:val="center"/>
        </w:trPr>
        <w:tc>
          <w:tcPr>
            <w:tcW w:w="1428" w:type="dxa"/>
            <w:vAlign w:val="center"/>
          </w:tcPr>
          <w:p w14:paraId="099F4F83" w14:textId="77777777" w:rsidR="003A73B0" w:rsidRDefault="008B2B1D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参与单位</w:t>
            </w:r>
          </w:p>
          <w:p w14:paraId="3FBA09F0" w14:textId="77777777" w:rsidR="003A73B0" w:rsidRDefault="008B2B1D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名称及人员</w:t>
            </w:r>
          </w:p>
        </w:tc>
        <w:tc>
          <w:tcPr>
            <w:tcW w:w="7292" w:type="dxa"/>
            <w:vAlign w:val="center"/>
          </w:tcPr>
          <w:p w14:paraId="5F1C229D" w14:textId="6D2CC5BC" w:rsidR="003A73B0" w:rsidRDefault="008B2B1D">
            <w:pPr>
              <w:spacing w:line="276" w:lineRule="auto"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现场调研参会</w:t>
            </w:r>
            <w:r w:rsidR="00000072">
              <w:rPr>
                <w:rFonts w:ascii="宋体" w:eastAsia="宋体" w:hAnsi="宋体" w:cs="Arial" w:hint="eastAsia"/>
                <w:sz w:val="24"/>
                <w:szCs w:val="24"/>
              </w:rPr>
              <w:t>共</w:t>
            </w:r>
            <w:r w:rsidR="00A56798">
              <w:rPr>
                <w:rFonts w:ascii="宋体" w:eastAsia="宋体" w:hAnsi="宋体" w:cs="Arial" w:hint="eastAsia"/>
                <w:sz w:val="24"/>
                <w:szCs w:val="24"/>
              </w:rPr>
              <w:t>5</w:t>
            </w:r>
            <w:r w:rsidR="00000072">
              <w:rPr>
                <w:rFonts w:ascii="宋体" w:eastAsia="宋体" w:hAnsi="宋体" w:cs="Arial"/>
                <w:sz w:val="24"/>
                <w:szCs w:val="24"/>
              </w:rPr>
              <w:t>家机构，</w:t>
            </w:r>
            <w:r w:rsidR="00A56798">
              <w:rPr>
                <w:rFonts w:ascii="宋体" w:eastAsia="宋体" w:hAnsi="宋体" w:cs="Arial" w:hint="eastAsia"/>
                <w:sz w:val="24"/>
                <w:szCs w:val="24"/>
              </w:rPr>
              <w:t>9</w:t>
            </w:r>
            <w:r w:rsidR="00000072">
              <w:rPr>
                <w:rFonts w:ascii="宋体" w:eastAsia="宋体" w:hAnsi="宋体" w:cs="Arial"/>
                <w:sz w:val="24"/>
                <w:szCs w:val="24"/>
              </w:rPr>
              <w:t>人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；</w:t>
            </w:r>
          </w:p>
          <w:p w14:paraId="65F25C0A" w14:textId="76089153" w:rsidR="009018B3" w:rsidRPr="009018B3" w:rsidRDefault="009018B3">
            <w:pPr>
              <w:spacing w:line="276" w:lineRule="auto"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电话调研参会共</w:t>
            </w:r>
            <w:r w:rsidR="00A56798">
              <w:rPr>
                <w:rFonts w:ascii="宋体" w:eastAsia="宋体" w:hAnsi="宋体" w:cs="Arial" w:hint="eastAsia"/>
                <w:sz w:val="24"/>
                <w:szCs w:val="24"/>
              </w:rPr>
              <w:t>2</w:t>
            </w:r>
            <w:r w:rsidR="00A56798">
              <w:rPr>
                <w:rFonts w:ascii="宋体" w:eastAsia="宋体" w:hAnsi="宋体" w:cs="Arial"/>
                <w:sz w:val="24"/>
                <w:szCs w:val="24"/>
              </w:rPr>
              <w:t>5</w:t>
            </w:r>
            <w:r>
              <w:rPr>
                <w:rFonts w:ascii="宋体" w:eastAsia="宋体" w:hAnsi="宋体" w:cs="Arial"/>
                <w:sz w:val="24"/>
                <w:szCs w:val="24"/>
              </w:rPr>
              <w:t>家机构，</w:t>
            </w:r>
            <w:r w:rsidR="00A56798">
              <w:rPr>
                <w:rFonts w:ascii="宋体" w:eastAsia="宋体" w:hAnsi="宋体" w:cs="Arial" w:hint="eastAsia"/>
                <w:sz w:val="24"/>
                <w:szCs w:val="24"/>
              </w:rPr>
              <w:t>2</w:t>
            </w:r>
            <w:r w:rsidR="00A56798">
              <w:rPr>
                <w:rFonts w:ascii="宋体" w:eastAsia="宋体" w:hAnsi="宋体" w:cs="Arial"/>
                <w:sz w:val="24"/>
                <w:szCs w:val="24"/>
              </w:rPr>
              <w:t>9</w:t>
            </w:r>
            <w:r>
              <w:rPr>
                <w:rFonts w:ascii="宋体" w:eastAsia="宋体" w:hAnsi="宋体" w:cs="Arial"/>
                <w:sz w:val="24"/>
                <w:szCs w:val="24"/>
              </w:rPr>
              <w:t>人；</w:t>
            </w:r>
          </w:p>
          <w:p w14:paraId="2F938101" w14:textId="77777777" w:rsidR="003A73B0" w:rsidRDefault="008B2B1D">
            <w:pPr>
              <w:spacing w:line="276" w:lineRule="auto"/>
              <w:jc w:val="left"/>
              <w:rPr>
                <w:rFonts w:ascii="宋体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详见附表。</w:t>
            </w:r>
          </w:p>
        </w:tc>
      </w:tr>
      <w:tr w:rsidR="003A73B0" w14:paraId="6FB054DC" w14:textId="77777777" w:rsidTr="009018B3">
        <w:trPr>
          <w:trHeight w:val="1702"/>
          <w:jc w:val="center"/>
        </w:trPr>
        <w:tc>
          <w:tcPr>
            <w:tcW w:w="1428" w:type="dxa"/>
            <w:vAlign w:val="center"/>
          </w:tcPr>
          <w:p w14:paraId="590C7167" w14:textId="77777777" w:rsidR="003A73B0" w:rsidRDefault="008B2B1D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7292" w:type="dxa"/>
            <w:vAlign w:val="center"/>
          </w:tcPr>
          <w:p w14:paraId="2F95C3B0" w14:textId="66EBC96F" w:rsidR="003A73B0" w:rsidRDefault="008B2B1D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2022年</w:t>
            </w:r>
            <w:r w:rsidR="0065349B">
              <w:rPr>
                <w:rFonts w:ascii="宋体" w:eastAsia="宋体" w:hAnsi="宋体" w:cs="Arial"/>
                <w:sz w:val="24"/>
                <w:szCs w:val="24"/>
              </w:rPr>
              <w:t>6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="009018B3">
              <w:rPr>
                <w:rFonts w:ascii="宋体" w:eastAsia="宋体" w:hAnsi="宋体" w:cs="Arial"/>
                <w:sz w:val="24"/>
                <w:szCs w:val="24"/>
              </w:rPr>
              <w:t>7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日</w:t>
            </w:r>
          </w:p>
          <w:p w14:paraId="2F243504" w14:textId="79E74F54" w:rsidR="009018B3" w:rsidRDefault="009018B3" w:rsidP="009018B3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2022年</w:t>
            </w:r>
            <w:r>
              <w:rPr>
                <w:rFonts w:ascii="宋体" w:eastAsia="宋体" w:hAnsi="宋体" w:cs="Arial"/>
                <w:sz w:val="24"/>
                <w:szCs w:val="24"/>
              </w:rPr>
              <w:t>6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Arial"/>
                <w:sz w:val="24"/>
                <w:szCs w:val="24"/>
              </w:rPr>
              <w:t>9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日</w:t>
            </w:r>
          </w:p>
          <w:p w14:paraId="1B12B0B3" w14:textId="5E396C06" w:rsidR="009018B3" w:rsidRDefault="009018B3" w:rsidP="009018B3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2022年</w:t>
            </w:r>
            <w:r>
              <w:rPr>
                <w:rFonts w:ascii="宋体" w:eastAsia="宋体" w:hAnsi="宋体" w:cs="Arial"/>
                <w:sz w:val="24"/>
                <w:szCs w:val="24"/>
              </w:rPr>
              <w:t>6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Arial"/>
                <w:sz w:val="24"/>
                <w:szCs w:val="24"/>
              </w:rPr>
              <w:t>14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日</w:t>
            </w:r>
          </w:p>
          <w:p w14:paraId="37117920" w14:textId="793065D8" w:rsidR="009018B3" w:rsidRDefault="009018B3" w:rsidP="009018B3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2022年</w:t>
            </w:r>
            <w:r>
              <w:rPr>
                <w:rFonts w:ascii="宋体" w:eastAsia="宋体" w:hAnsi="宋体" w:cs="Arial"/>
                <w:sz w:val="24"/>
                <w:szCs w:val="24"/>
              </w:rPr>
              <w:t>6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Arial"/>
                <w:sz w:val="24"/>
                <w:szCs w:val="24"/>
              </w:rPr>
              <w:t>20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日</w:t>
            </w:r>
          </w:p>
          <w:p w14:paraId="36D3A010" w14:textId="61A03FBF" w:rsidR="009018B3" w:rsidRPr="009018B3" w:rsidRDefault="009018B3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2022年</w:t>
            </w:r>
            <w:r>
              <w:rPr>
                <w:rFonts w:ascii="宋体" w:eastAsia="宋体" w:hAnsi="宋体" w:cs="Arial"/>
                <w:sz w:val="24"/>
                <w:szCs w:val="24"/>
              </w:rPr>
              <w:t>6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Arial"/>
                <w:sz w:val="24"/>
                <w:szCs w:val="24"/>
              </w:rPr>
              <w:t>2</w:t>
            </w:r>
            <w:r w:rsidR="00A56798">
              <w:rPr>
                <w:rFonts w:ascii="宋体" w:eastAsia="宋体" w:hAnsi="宋体" w:cs="Arial"/>
                <w:sz w:val="24"/>
                <w:szCs w:val="24"/>
              </w:rPr>
              <w:t>8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日</w:t>
            </w:r>
          </w:p>
        </w:tc>
      </w:tr>
      <w:tr w:rsidR="003A73B0" w14:paraId="0178247E" w14:textId="77777777" w:rsidTr="009018B3">
        <w:trPr>
          <w:trHeight w:val="1870"/>
          <w:jc w:val="center"/>
        </w:trPr>
        <w:tc>
          <w:tcPr>
            <w:tcW w:w="1428" w:type="dxa"/>
            <w:vAlign w:val="center"/>
          </w:tcPr>
          <w:p w14:paraId="5AB46DF6" w14:textId="77777777" w:rsidR="003A73B0" w:rsidRDefault="008B2B1D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7292" w:type="dxa"/>
            <w:vAlign w:val="center"/>
          </w:tcPr>
          <w:p w14:paraId="5FE26186" w14:textId="7FF9CA1F" w:rsidR="009018B3" w:rsidRDefault="009018B3" w:rsidP="009018B3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2022年</w:t>
            </w:r>
            <w:r>
              <w:rPr>
                <w:rFonts w:ascii="宋体" w:eastAsia="宋体" w:hAnsi="宋体" w:cs="Arial"/>
                <w:sz w:val="24"/>
                <w:szCs w:val="24"/>
              </w:rPr>
              <w:t>6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Arial"/>
                <w:sz w:val="24"/>
                <w:szCs w:val="24"/>
              </w:rPr>
              <w:t>7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日 现场</w:t>
            </w:r>
          </w:p>
          <w:p w14:paraId="0AC442E6" w14:textId="26178FCA" w:rsidR="009018B3" w:rsidRDefault="009018B3" w:rsidP="009018B3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2022年</w:t>
            </w:r>
            <w:r>
              <w:rPr>
                <w:rFonts w:ascii="宋体" w:eastAsia="宋体" w:hAnsi="宋体" w:cs="Arial"/>
                <w:sz w:val="24"/>
                <w:szCs w:val="24"/>
              </w:rPr>
              <w:t>6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Arial"/>
                <w:sz w:val="24"/>
                <w:szCs w:val="24"/>
              </w:rPr>
              <w:t>9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日 电话</w:t>
            </w:r>
          </w:p>
          <w:p w14:paraId="264736A4" w14:textId="595063E0" w:rsidR="009018B3" w:rsidRDefault="009018B3" w:rsidP="009018B3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2022年</w:t>
            </w:r>
            <w:r>
              <w:rPr>
                <w:rFonts w:ascii="宋体" w:eastAsia="宋体" w:hAnsi="宋体" w:cs="Arial"/>
                <w:sz w:val="24"/>
                <w:szCs w:val="24"/>
              </w:rPr>
              <w:t>6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Arial"/>
                <w:sz w:val="24"/>
                <w:szCs w:val="24"/>
              </w:rPr>
              <w:t>14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日 现场</w:t>
            </w:r>
          </w:p>
          <w:p w14:paraId="22110769" w14:textId="77777777" w:rsidR="009018B3" w:rsidRDefault="009018B3" w:rsidP="009018B3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2022年</w:t>
            </w:r>
            <w:r>
              <w:rPr>
                <w:rFonts w:ascii="宋体" w:eastAsia="宋体" w:hAnsi="宋体" w:cs="Arial"/>
                <w:sz w:val="24"/>
                <w:szCs w:val="24"/>
              </w:rPr>
              <w:t>6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Arial"/>
                <w:sz w:val="24"/>
                <w:szCs w:val="24"/>
              </w:rPr>
              <w:t>20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日 现场</w:t>
            </w:r>
          </w:p>
          <w:p w14:paraId="584245AF" w14:textId="18C41F7C" w:rsidR="009018B3" w:rsidRDefault="009018B3" w:rsidP="009018B3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2022年</w:t>
            </w:r>
            <w:r>
              <w:rPr>
                <w:rFonts w:ascii="宋体" w:eastAsia="宋体" w:hAnsi="宋体" w:cs="Arial"/>
                <w:sz w:val="24"/>
                <w:szCs w:val="24"/>
              </w:rPr>
              <w:t>6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Arial"/>
                <w:sz w:val="24"/>
                <w:szCs w:val="24"/>
              </w:rPr>
              <w:t>2</w:t>
            </w:r>
            <w:r w:rsidR="00A56798">
              <w:rPr>
                <w:rFonts w:ascii="宋体" w:eastAsia="宋体" w:hAnsi="宋体" w:cs="Arial"/>
                <w:sz w:val="24"/>
                <w:szCs w:val="24"/>
              </w:rPr>
              <w:t>8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日 电话</w:t>
            </w:r>
          </w:p>
        </w:tc>
      </w:tr>
      <w:tr w:rsidR="003A73B0" w14:paraId="38A31D6A" w14:textId="77777777" w:rsidTr="009018B3">
        <w:trPr>
          <w:trHeight w:val="848"/>
          <w:jc w:val="center"/>
        </w:trPr>
        <w:tc>
          <w:tcPr>
            <w:tcW w:w="1428" w:type="dxa"/>
            <w:vAlign w:val="center"/>
          </w:tcPr>
          <w:p w14:paraId="791CA80C" w14:textId="77777777" w:rsidR="003A73B0" w:rsidRDefault="008B2B1D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上市公司接待人员姓名</w:t>
            </w:r>
          </w:p>
        </w:tc>
        <w:tc>
          <w:tcPr>
            <w:tcW w:w="7292" w:type="dxa"/>
            <w:vAlign w:val="center"/>
          </w:tcPr>
          <w:p w14:paraId="5B67CFFE" w14:textId="403B3649" w:rsidR="003A73B0" w:rsidRDefault="008B2B1D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副总经理</w:t>
            </w:r>
            <w:proofErr w:type="gramStart"/>
            <w:r>
              <w:rPr>
                <w:rFonts w:ascii="宋体" w:eastAsia="宋体" w:hAnsi="宋体" w:cs="Arial" w:hint="eastAsia"/>
                <w:sz w:val="24"/>
                <w:szCs w:val="24"/>
              </w:rPr>
              <w:t>兼董秘</w:t>
            </w:r>
            <w:proofErr w:type="gramEnd"/>
            <w:r w:rsidR="00232B2B">
              <w:rPr>
                <w:rFonts w:ascii="宋体" w:eastAsia="宋体" w:hAnsi="宋体" w:cs="Arial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高志鹏</w:t>
            </w:r>
          </w:p>
        </w:tc>
      </w:tr>
      <w:tr w:rsidR="003A73B0" w14:paraId="5D1F1F4A" w14:textId="77777777">
        <w:trPr>
          <w:trHeight w:val="1266"/>
          <w:jc w:val="center"/>
        </w:trPr>
        <w:tc>
          <w:tcPr>
            <w:tcW w:w="1428" w:type="dxa"/>
            <w:vAlign w:val="center"/>
          </w:tcPr>
          <w:p w14:paraId="64AC32B0" w14:textId="77777777" w:rsidR="003A73B0" w:rsidRDefault="008B2B1D">
            <w:pPr>
              <w:spacing w:line="276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投资者关系活动主要内容介绍</w:t>
            </w:r>
          </w:p>
        </w:tc>
        <w:tc>
          <w:tcPr>
            <w:tcW w:w="7292" w:type="dxa"/>
            <w:vAlign w:val="center"/>
          </w:tcPr>
          <w:p w14:paraId="7653EC8F" w14:textId="77777777" w:rsidR="0065349B" w:rsidRPr="0065349B" w:rsidRDefault="0065349B" w:rsidP="0065349B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5349B">
              <w:rPr>
                <w:rFonts w:ascii="宋体" w:eastAsia="宋体" w:hAnsi="宋体" w:cs="宋体" w:hint="eastAsia"/>
                <w:sz w:val="24"/>
                <w:szCs w:val="24"/>
              </w:rPr>
              <w:t>问题</w:t>
            </w:r>
            <w:r w:rsidRPr="0065349B">
              <w:rPr>
                <w:rFonts w:ascii="宋体" w:eastAsia="宋体" w:hAnsi="宋体" w:cs="宋体"/>
                <w:sz w:val="24"/>
                <w:szCs w:val="24"/>
              </w:rPr>
              <w:t>1：公司</w:t>
            </w:r>
            <w:proofErr w:type="gramStart"/>
            <w:r w:rsidRPr="0065349B">
              <w:rPr>
                <w:rFonts w:ascii="宋体" w:eastAsia="宋体" w:hAnsi="宋体" w:cs="宋体"/>
                <w:sz w:val="24"/>
                <w:szCs w:val="24"/>
              </w:rPr>
              <w:t>对欧特克</w:t>
            </w:r>
            <w:proofErr w:type="gramEnd"/>
            <w:r w:rsidRPr="0065349B">
              <w:rPr>
                <w:rFonts w:ascii="宋体" w:eastAsia="宋体" w:hAnsi="宋体" w:cs="宋体"/>
                <w:sz w:val="24"/>
                <w:szCs w:val="24"/>
              </w:rPr>
              <w:t xml:space="preserve">（Autodesk）的依赖程度如何？ </w:t>
            </w:r>
          </w:p>
          <w:p w14:paraId="23E55387" w14:textId="77777777" w:rsidR="0050782B" w:rsidRDefault="0065349B" w:rsidP="0065349B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5349B">
              <w:rPr>
                <w:rFonts w:ascii="宋体" w:eastAsia="宋体" w:hAnsi="宋体" w:cs="宋体" w:hint="eastAsia"/>
                <w:sz w:val="24"/>
                <w:szCs w:val="24"/>
              </w:rPr>
              <w:t>回答：公司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部分</w:t>
            </w:r>
            <w:r w:rsidRPr="0065349B">
              <w:rPr>
                <w:rFonts w:ascii="宋体" w:eastAsia="宋体" w:hAnsi="宋体" w:cs="宋体" w:hint="eastAsia"/>
                <w:sz w:val="24"/>
                <w:szCs w:val="24"/>
              </w:rPr>
              <w:t>产品</w:t>
            </w:r>
            <w:proofErr w:type="gramStart"/>
            <w:r w:rsidRPr="0065349B">
              <w:rPr>
                <w:rFonts w:ascii="宋体" w:eastAsia="宋体" w:hAnsi="宋体" w:cs="宋体" w:hint="eastAsia"/>
                <w:sz w:val="24"/>
                <w:szCs w:val="24"/>
              </w:rPr>
              <w:t>对欧特克</w:t>
            </w:r>
            <w:proofErr w:type="gramEnd"/>
            <w:r w:rsidRPr="0065349B"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 w:rsidRPr="0065349B">
              <w:rPr>
                <w:rFonts w:ascii="宋体" w:eastAsia="宋体" w:hAnsi="宋体" w:cs="宋体"/>
                <w:sz w:val="24"/>
                <w:szCs w:val="24"/>
              </w:rPr>
              <w:t>Autodesk）的AutoCAD、Revit两款产品的建模功能存在一定依赖，但依赖程度逐步降低。公司在图形平台的选择上实行多平台策略，</w:t>
            </w:r>
            <w:r w:rsidR="00260202">
              <w:rPr>
                <w:rFonts w:ascii="宋体" w:eastAsia="宋体" w:hAnsi="宋体" w:cs="宋体" w:hint="eastAsia"/>
                <w:sz w:val="24"/>
                <w:szCs w:val="24"/>
              </w:rPr>
              <w:t>除支持</w:t>
            </w:r>
            <w:r w:rsidRPr="0065349B">
              <w:rPr>
                <w:rFonts w:ascii="宋体" w:eastAsia="宋体" w:hAnsi="宋体" w:cs="宋体"/>
                <w:sz w:val="24"/>
                <w:szCs w:val="24"/>
              </w:rPr>
              <w:t>Autodesk图形平台</w:t>
            </w:r>
            <w:r w:rsidR="00260202">
              <w:rPr>
                <w:rFonts w:ascii="宋体" w:eastAsia="宋体" w:hAnsi="宋体" w:cs="宋体" w:hint="eastAsia"/>
                <w:sz w:val="24"/>
                <w:szCs w:val="24"/>
              </w:rPr>
              <w:t>外，还</w:t>
            </w:r>
            <w:r w:rsidRPr="0065349B">
              <w:rPr>
                <w:rFonts w:ascii="宋体" w:eastAsia="宋体" w:hAnsi="宋体" w:cs="宋体"/>
                <w:sz w:val="24"/>
                <w:szCs w:val="24"/>
              </w:rPr>
              <w:t>支持中望</w:t>
            </w:r>
            <w:r w:rsidR="00260202">
              <w:rPr>
                <w:rFonts w:ascii="宋体" w:eastAsia="宋体" w:hAnsi="宋体" w:cs="宋体" w:hint="eastAsia"/>
                <w:sz w:val="24"/>
                <w:szCs w:val="24"/>
              </w:rPr>
              <w:t>C</w:t>
            </w:r>
            <w:r w:rsidR="00260202">
              <w:rPr>
                <w:rFonts w:ascii="宋体" w:eastAsia="宋体" w:hAnsi="宋体" w:cs="宋体"/>
                <w:sz w:val="24"/>
                <w:szCs w:val="24"/>
              </w:rPr>
              <w:t>AD</w:t>
            </w:r>
            <w:r w:rsidRPr="0065349B">
              <w:rPr>
                <w:rFonts w:ascii="宋体" w:eastAsia="宋体" w:hAnsi="宋体" w:cs="宋体"/>
                <w:sz w:val="24"/>
                <w:szCs w:val="24"/>
              </w:rPr>
              <w:t>图形</w:t>
            </w:r>
            <w:r w:rsidR="00260202">
              <w:rPr>
                <w:rFonts w:ascii="宋体" w:eastAsia="宋体" w:hAnsi="宋体" w:cs="宋体" w:hint="eastAsia"/>
                <w:sz w:val="24"/>
                <w:szCs w:val="24"/>
              </w:rPr>
              <w:t>平台</w:t>
            </w:r>
            <w:r w:rsidRPr="0065349B">
              <w:rPr>
                <w:rFonts w:ascii="宋体" w:eastAsia="宋体" w:hAnsi="宋体" w:cs="宋体"/>
                <w:sz w:val="24"/>
                <w:szCs w:val="24"/>
              </w:rPr>
              <w:t>，</w:t>
            </w:r>
            <w:r w:rsidR="00260202">
              <w:rPr>
                <w:rFonts w:ascii="宋体" w:eastAsia="宋体" w:hAnsi="宋体" w:cs="宋体" w:hint="eastAsia"/>
                <w:sz w:val="24"/>
                <w:szCs w:val="24"/>
              </w:rPr>
              <w:t>产品适配度和应用广度不断提高</w:t>
            </w:r>
            <w:r w:rsidRPr="0065349B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14:paraId="0CA72B34" w14:textId="1999E8E3" w:rsidR="0065349B" w:rsidRPr="0065349B" w:rsidRDefault="00144AD3" w:rsidP="000B08F6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公司</w:t>
            </w:r>
            <w:r w:rsidR="0065349B" w:rsidRPr="0065349B">
              <w:rPr>
                <w:rFonts w:ascii="宋体" w:eastAsia="宋体" w:hAnsi="宋体" w:cs="宋体"/>
                <w:sz w:val="24"/>
                <w:szCs w:val="24"/>
              </w:rPr>
              <w:t>2021年正式立项</w:t>
            </w:r>
            <w:r w:rsidR="0050782B">
              <w:rPr>
                <w:rFonts w:ascii="宋体" w:eastAsia="宋体" w:hAnsi="宋体" w:cs="宋体" w:hint="eastAsia"/>
                <w:sz w:val="24"/>
                <w:szCs w:val="24"/>
              </w:rPr>
              <w:t>开发具有</w:t>
            </w:r>
            <w:r w:rsidR="0065349B" w:rsidRPr="0065349B">
              <w:rPr>
                <w:rFonts w:ascii="宋体" w:eastAsia="宋体" w:hAnsi="宋体" w:cs="宋体"/>
                <w:sz w:val="24"/>
                <w:szCs w:val="24"/>
              </w:rPr>
              <w:t>自主知识产权的BIM基础图形平台，</w:t>
            </w:r>
            <w:r w:rsidR="00260202">
              <w:rPr>
                <w:rFonts w:ascii="宋体" w:eastAsia="宋体" w:hAnsi="宋体" w:cs="宋体" w:hint="eastAsia"/>
                <w:sz w:val="24"/>
                <w:szCs w:val="24"/>
              </w:rPr>
              <w:t>已</w:t>
            </w:r>
            <w:r w:rsidR="0065349B" w:rsidRPr="0065349B">
              <w:rPr>
                <w:rFonts w:ascii="宋体" w:eastAsia="宋体" w:hAnsi="宋体" w:cs="宋体"/>
                <w:sz w:val="24"/>
                <w:szCs w:val="24"/>
              </w:rPr>
              <w:t>取得阶段性成果，</w:t>
            </w:r>
            <w:r w:rsidR="0050782B" w:rsidRPr="0050782B">
              <w:rPr>
                <w:rFonts w:ascii="宋体" w:eastAsia="宋体" w:hAnsi="宋体" w:cs="宋体" w:hint="eastAsia"/>
                <w:sz w:val="24"/>
                <w:szCs w:val="24"/>
              </w:rPr>
              <w:t>并基于该项成果同步研发相关 BIM 应用类产品，有望在为用户提供更好性能和交互体验的同时</w:t>
            </w:r>
            <w:r w:rsidR="0050782B">
              <w:rPr>
                <w:rFonts w:ascii="宋体" w:eastAsia="宋体" w:hAnsi="宋体" w:cs="宋体" w:hint="eastAsia"/>
                <w:sz w:val="24"/>
                <w:szCs w:val="24"/>
              </w:rPr>
              <w:t>降低</w:t>
            </w:r>
            <w:r w:rsidR="0050782B" w:rsidRPr="0050782B">
              <w:rPr>
                <w:rFonts w:ascii="宋体" w:eastAsia="宋体" w:hAnsi="宋体" w:cs="宋体" w:hint="eastAsia"/>
                <w:sz w:val="24"/>
                <w:szCs w:val="24"/>
              </w:rPr>
              <w:t>对国外厂商的依赖，实现国产化替代</w:t>
            </w:r>
            <w:r w:rsidR="0065349B" w:rsidRPr="0065349B">
              <w:rPr>
                <w:rFonts w:ascii="宋体" w:eastAsia="宋体" w:hAnsi="宋体" w:cs="宋体"/>
                <w:sz w:val="24"/>
                <w:szCs w:val="24"/>
              </w:rPr>
              <w:t>。平台现阶段定位满足内部BIM应用</w:t>
            </w:r>
            <w:r w:rsidR="0065349B" w:rsidRPr="0065349B">
              <w:rPr>
                <w:rFonts w:ascii="宋体" w:eastAsia="宋体" w:hAnsi="宋体" w:cs="宋体" w:hint="eastAsia"/>
                <w:sz w:val="24"/>
                <w:szCs w:val="24"/>
              </w:rPr>
              <w:t>软件</w:t>
            </w:r>
            <w:r w:rsidR="0065349B" w:rsidRPr="0065349B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的研发需求，未来基于自主图形平台的</w:t>
            </w:r>
            <w:r w:rsidR="0065349B" w:rsidRPr="0065349B">
              <w:rPr>
                <w:rFonts w:ascii="宋体" w:eastAsia="宋体" w:hAnsi="宋体" w:cs="宋体"/>
                <w:sz w:val="24"/>
                <w:szCs w:val="24"/>
              </w:rPr>
              <w:t>BIM应用软件将与公司现有基于AutoCAD、Revit、中望CAD等基础平台研发的BIM应用软件一起适用不同</w:t>
            </w:r>
            <w:r w:rsidR="0050782B" w:rsidRPr="0065349B">
              <w:rPr>
                <w:rFonts w:ascii="宋体" w:eastAsia="宋体" w:hAnsi="宋体" w:cs="宋体"/>
                <w:sz w:val="24"/>
                <w:szCs w:val="24"/>
              </w:rPr>
              <w:t>的</w:t>
            </w:r>
            <w:r w:rsidR="0065349B" w:rsidRPr="0065349B">
              <w:rPr>
                <w:rFonts w:ascii="宋体" w:eastAsia="宋体" w:hAnsi="宋体" w:cs="宋体"/>
                <w:sz w:val="24"/>
                <w:szCs w:val="24"/>
              </w:rPr>
              <w:t>用户需求。</w:t>
            </w:r>
          </w:p>
          <w:p w14:paraId="656530E2" w14:textId="77777777" w:rsidR="0065349B" w:rsidRPr="0065349B" w:rsidRDefault="0065349B" w:rsidP="0065349B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6114469" w14:textId="526EF5D1" w:rsidR="0065349B" w:rsidRPr="0065349B" w:rsidRDefault="0065349B" w:rsidP="0065349B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5349B">
              <w:rPr>
                <w:rFonts w:ascii="宋体" w:eastAsia="宋体" w:hAnsi="宋体" w:cs="宋体" w:hint="eastAsia"/>
                <w:sz w:val="24"/>
                <w:szCs w:val="24"/>
              </w:rPr>
              <w:t>问题</w:t>
            </w:r>
            <w:r w:rsidR="00CF0177">
              <w:rPr>
                <w:rFonts w:ascii="宋体" w:eastAsia="宋体" w:hAnsi="宋体" w:cs="宋体"/>
                <w:sz w:val="24"/>
                <w:szCs w:val="24"/>
              </w:rPr>
              <w:t>2</w:t>
            </w:r>
            <w:r w:rsidRPr="0065349B">
              <w:rPr>
                <w:rFonts w:ascii="宋体" w:eastAsia="宋体" w:hAnsi="宋体" w:cs="宋体"/>
                <w:sz w:val="24"/>
                <w:szCs w:val="24"/>
              </w:rPr>
              <w:t>：公司在水利、交通运输等领域有哪些产品应用？</w:t>
            </w:r>
          </w:p>
          <w:p w14:paraId="7D3A75F0" w14:textId="2D62152F" w:rsidR="003A73B0" w:rsidRDefault="0065349B" w:rsidP="0065349B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5349B">
              <w:rPr>
                <w:rFonts w:ascii="宋体" w:eastAsia="宋体" w:hAnsi="宋体" w:cs="宋体" w:hint="eastAsia"/>
                <w:sz w:val="24"/>
                <w:szCs w:val="24"/>
              </w:rPr>
              <w:t>回答：公司目前业务主要以房建类项目为主，包括公共建筑、市政类工程项目等，交通运输、水利等项目与房建类项目相比有其行业特点及应用场景差异，如两场联动、人员定位、远程对讲、机械监控（盾构机、架桥机等）等，对产品专业性有较高要求，公司重视向该类领域进行业务延伸，深化公司产品在基建项目的应用，提高基建行业数字化水平。公司在水利、交通运输领域现有涌金水利工程计价软件、交通工程计价软件、工地大脑（线性工程版）</w:t>
            </w:r>
            <w:r w:rsidR="0050782B">
              <w:rPr>
                <w:rFonts w:ascii="宋体" w:eastAsia="宋体" w:hAnsi="宋体" w:cs="宋体" w:hint="eastAsia"/>
                <w:sz w:val="24"/>
                <w:szCs w:val="24"/>
              </w:rPr>
              <w:t>以及基础设施类智能终端</w:t>
            </w:r>
            <w:r w:rsidRPr="0065349B">
              <w:rPr>
                <w:rFonts w:ascii="宋体" w:eastAsia="宋体" w:hAnsi="宋体" w:cs="宋体" w:hint="eastAsia"/>
                <w:sz w:val="24"/>
                <w:szCs w:val="24"/>
              </w:rPr>
              <w:t>等产品。</w:t>
            </w:r>
          </w:p>
          <w:p w14:paraId="5DB9C675" w14:textId="77777777" w:rsidR="00CF0177" w:rsidRPr="0065349B" w:rsidRDefault="00CF0177" w:rsidP="00CF017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AFF4D92" w14:textId="77777777" w:rsidR="00CF0177" w:rsidRPr="0065349B" w:rsidRDefault="00CF0177" w:rsidP="00CF017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5349B">
              <w:rPr>
                <w:rFonts w:ascii="宋体" w:eastAsia="宋体" w:hAnsi="宋体" w:cs="宋体" w:hint="eastAsia"/>
                <w:sz w:val="24"/>
                <w:szCs w:val="24"/>
              </w:rPr>
              <w:t>问题</w:t>
            </w:r>
            <w:r w:rsidRPr="0065349B">
              <w:rPr>
                <w:rFonts w:ascii="宋体" w:eastAsia="宋体" w:hAnsi="宋体" w:cs="宋体"/>
                <w:sz w:val="24"/>
                <w:szCs w:val="24"/>
              </w:rPr>
              <w:t>3：公司造价软件业务分布情况？</w:t>
            </w:r>
          </w:p>
          <w:p w14:paraId="6F4FB66C" w14:textId="77777777" w:rsidR="00CF0177" w:rsidRPr="0065349B" w:rsidRDefault="00CF0177" w:rsidP="00CF017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5349B">
              <w:rPr>
                <w:rFonts w:ascii="宋体" w:eastAsia="宋体" w:hAnsi="宋体" w:cs="宋体" w:hint="eastAsia"/>
                <w:sz w:val="24"/>
                <w:szCs w:val="24"/>
              </w:rPr>
              <w:t>回答：公司造价业务主要在浙江省，占比在</w:t>
            </w:r>
            <w:r w:rsidRPr="0065349B">
              <w:rPr>
                <w:rFonts w:ascii="宋体" w:eastAsia="宋体" w:hAnsi="宋体" w:cs="宋体"/>
                <w:sz w:val="24"/>
                <w:szCs w:val="24"/>
              </w:rPr>
              <w:t>90%左右，浙江周边省份，主要是鄂、豫、皖、</w:t>
            </w:r>
            <w:proofErr w:type="gramStart"/>
            <w:r w:rsidRPr="0065349B">
              <w:rPr>
                <w:rFonts w:ascii="宋体" w:eastAsia="宋体" w:hAnsi="宋体" w:cs="宋体"/>
                <w:sz w:val="24"/>
                <w:szCs w:val="24"/>
              </w:rPr>
              <w:t>赣有少量</w:t>
            </w:r>
            <w:proofErr w:type="gramEnd"/>
            <w:r w:rsidRPr="0065349B">
              <w:rPr>
                <w:rFonts w:ascii="宋体" w:eastAsia="宋体" w:hAnsi="宋体" w:cs="宋体"/>
                <w:sz w:val="24"/>
                <w:szCs w:val="24"/>
              </w:rPr>
              <w:t>业务分布。公司在不断优化现有业务的同时，积极响应造价市场化改革，在浙江、湖北等地和行管部门紧密合作，深度参与改革试点工作，提供相应的技术和产品支持，助力造价市场化改革。</w:t>
            </w:r>
          </w:p>
          <w:p w14:paraId="338321ED" w14:textId="77777777" w:rsidR="00CF0177" w:rsidRDefault="00CF0177" w:rsidP="00CF017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3C19B1F" w14:textId="08C8C789" w:rsidR="00CF0177" w:rsidRPr="0065349B" w:rsidRDefault="00CF0177" w:rsidP="00CF017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5349B">
              <w:rPr>
                <w:rFonts w:ascii="宋体" w:eastAsia="宋体" w:hAnsi="宋体" w:cs="宋体" w:hint="eastAsia"/>
                <w:sz w:val="24"/>
                <w:szCs w:val="24"/>
              </w:rPr>
              <w:t>问题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  <w:r w:rsidRPr="0065349B">
              <w:rPr>
                <w:rFonts w:ascii="宋体" w:eastAsia="宋体" w:hAnsi="宋体" w:cs="宋体"/>
                <w:sz w:val="24"/>
                <w:szCs w:val="24"/>
              </w:rPr>
              <w:t>：一季度业绩下滑对全年业绩的影响？</w:t>
            </w:r>
          </w:p>
          <w:p w14:paraId="394D14AE" w14:textId="26D36D7D" w:rsidR="009018B3" w:rsidRDefault="00CF0177" w:rsidP="0065349B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5349B">
              <w:rPr>
                <w:rFonts w:ascii="宋体" w:eastAsia="宋体" w:hAnsi="宋体" w:cs="宋体" w:hint="eastAsia"/>
                <w:sz w:val="24"/>
                <w:szCs w:val="24"/>
              </w:rPr>
              <w:t>回答：一季度受疫情及行业季节性特征等因素影响，经营业绩产生小幅波动，</w:t>
            </w:r>
            <w:proofErr w:type="gramStart"/>
            <w:r w:rsidRPr="0065349B">
              <w:rPr>
                <w:rFonts w:ascii="宋体" w:eastAsia="宋体" w:hAnsi="宋体" w:cs="宋体" w:hint="eastAsia"/>
                <w:sz w:val="24"/>
                <w:szCs w:val="24"/>
              </w:rPr>
              <w:t>营收较同期</w:t>
            </w:r>
            <w:proofErr w:type="gramEnd"/>
            <w:r w:rsidRPr="0065349B">
              <w:rPr>
                <w:rFonts w:ascii="宋体" w:eastAsia="宋体" w:hAnsi="宋体" w:cs="宋体" w:hint="eastAsia"/>
                <w:sz w:val="24"/>
                <w:szCs w:val="24"/>
              </w:rPr>
              <w:t>下降</w:t>
            </w:r>
            <w:r w:rsidRPr="0065349B">
              <w:rPr>
                <w:rFonts w:ascii="宋体" w:eastAsia="宋体" w:hAnsi="宋体" w:cs="宋体"/>
                <w:sz w:val="24"/>
                <w:szCs w:val="24"/>
              </w:rPr>
              <w:t>7.09%。公司所属建筑信息化行业依托于建筑行业，基于建筑行业特性，施工企业预算、立项和采购有一定的季节性特征，年初通常是企业预算、规划期，加之春节假期停工等，行业的一季度产值在全年占比相对较低。公司一季度营收占比历来占全年的10%~15%左右，也导致一季度总体业绩容易受外界因素影响而产生波动。一季度业绩下滑对公司全年业绩影响较小。</w:t>
            </w:r>
          </w:p>
        </w:tc>
      </w:tr>
      <w:tr w:rsidR="003A73B0" w14:paraId="022C18CD" w14:textId="77777777" w:rsidTr="009018B3">
        <w:trPr>
          <w:trHeight w:val="839"/>
          <w:jc w:val="center"/>
        </w:trPr>
        <w:tc>
          <w:tcPr>
            <w:tcW w:w="1428" w:type="dxa"/>
            <w:vAlign w:val="center"/>
          </w:tcPr>
          <w:p w14:paraId="0E00500C" w14:textId="77777777" w:rsidR="003A73B0" w:rsidRDefault="008B2B1D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292" w:type="dxa"/>
            <w:vAlign w:val="center"/>
          </w:tcPr>
          <w:p w14:paraId="3D0BA0FF" w14:textId="77777777" w:rsidR="003A73B0" w:rsidRDefault="008B2B1D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附件</w:t>
            </w:r>
            <w:r>
              <w:rPr>
                <w:rFonts w:ascii="宋体" w:eastAsia="宋体" w:hAnsi="宋体" w:cs="Arial"/>
                <w:sz w:val="24"/>
                <w:szCs w:val="24"/>
              </w:rPr>
              <w:t>：参会机构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及人员</w:t>
            </w:r>
            <w:r>
              <w:rPr>
                <w:rFonts w:ascii="宋体" w:eastAsia="宋体" w:hAnsi="宋体" w:cs="Arial"/>
                <w:sz w:val="24"/>
                <w:szCs w:val="24"/>
              </w:rPr>
              <w:t>清单</w:t>
            </w:r>
          </w:p>
        </w:tc>
      </w:tr>
      <w:tr w:rsidR="003A73B0" w14:paraId="014494EA" w14:textId="77777777" w:rsidTr="009018B3">
        <w:trPr>
          <w:trHeight w:val="694"/>
          <w:jc w:val="center"/>
        </w:trPr>
        <w:tc>
          <w:tcPr>
            <w:tcW w:w="1428" w:type="dxa"/>
            <w:vAlign w:val="center"/>
          </w:tcPr>
          <w:p w14:paraId="70C032DB" w14:textId="77777777" w:rsidR="003A73B0" w:rsidRDefault="008B2B1D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292" w:type="dxa"/>
            <w:vAlign w:val="center"/>
          </w:tcPr>
          <w:p w14:paraId="186BF938" w14:textId="376B8FCD" w:rsidR="003A73B0" w:rsidRDefault="008B2B1D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2022年</w:t>
            </w:r>
            <w:r w:rsidR="0065349B">
              <w:rPr>
                <w:rFonts w:ascii="宋体" w:eastAsia="宋体" w:hAnsi="宋体" w:cs="Arial"/>
                <w:sz w:val="24"/>
                <w:szCs w:val="24"/>
              </w:rPr>
              <w:t>6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="009018B3">
              <w:rPr>
                <w:rFonts w:ascii="宋体" w:eastAsia="宋体" w:hAnsi="宋体" w:cs="Arial"/>
                <w:sz w:val="24"/>
                <w:szCs w:val="24"/>
              </w:rPr>
              <w:t>30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日</w:t>
            </w:r>
          </w:p>
        </w:tc>
      </w:tr>
    </w:tbl>
    <w:p w14:paraId="3F1197FE" w14:textId="77777777" w:rsidR="003A73B0" w:rsidRDefault="003A73B0">
      <w:pPr>
        <w:spacing w:line="360" w:lineRule="auto"/>
        <w:rPr>
          <w:rFonts w:ascii="宋体" w:eastAsia="宋体" w:hAnsi="宋体" w:cs="Arial"/>
          <w:sz w:val="24"/>
          <w:szCs w:val="24"/>
        </w:rPr>
      </w:pPr>
    </w:p>
    <w:p w14:paraId="2100D3F4" w14:textId="77777777" w:rsidR="003A73B0" w:rsidRDefault="008B2B1D">
      <w:pPr>
        <w:widowControl/>
        <w:jc w:val="left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eastAsia="宋体" w:hAnsi="宋体" w:cs="Arial"/>
          <w:b/>
          <w:bCs/>
          <w:sz w:val="24"/>
          <w:szCs w:val="24"/>
        </w:rPr>
        <w:br w:type="page"/>
      </w:r>
    </w:p>
    <w:p w14:paraId="37CFED11" w14:textId="77777777" w:rsidR="003A73B0" w:rsidRDefault="008B2B1D">
      <w:pPr>
        <w:widowControl/>
        <w:jc w:val="left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eastAsia="宋体" w:hAnsi="宋体" w:cs="Arial" w:hint="eastAsia"/>
          <w:b/>
          <w:bCs/>
          <w:sz w:val="24"/>
          <w:szCs w:val="24"/>
        </w:rPr>
        <w:lastRenderedPageBreak/>
        <w:t>附件</w:t>
      </w:r>
      <w:r>
        <w:rPr>
          <w:rFonts w:ascii="宋体" w:eastAsia="宋体" w:hAnsi="宋体" w:cs="Arial"/>
          <w:b/>
          <w:bCs/>
          <w:sz w:val="24"/>
          <w:szCs w:val="24"/>
        </w:rPr>
        <w:t>：参会机构</w:t>
      </w:r>
      <w:r>
        <w:rPr>
          <w:rFonts w:ascii="宋体" w:eastAsia="宋体" w:hAnsi="宋体" w:cs="Arial" w:hint="eastAsia"/>
          <w:b/>
          <w:bCs/>
          <w:sz w:val="24"/>
          <w:szCs w:val="24"/>
        </w:rPr>
        <w:t>及人员</w:t>
      </w:r>
      <w:r>
        <w:rPr>
          <w:rFonts w:ascii="宋体" w:eastAsia="宋体" w:hAnsi="宋体" w:cs="Arial"/>
          <w:b/>
          <w:bCs/>
          <w:sz w:val="24"/>
          <w:szCs w:val="24"/>
        </w:rPr>
        <w:t>清单（按拼音字母排序，排名不分先后）</w:t>
      </w:r>
    </w:p>
    <w:tbl>
      <w:tblPr>
        <w:tblW w:w="641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126"/>
        <w:gridCol w:w="2268"/>
      </w:tblGrid>
      <w:tr w:rsidR="003A73B0" w:rsidRPr="00000072" w14:paraId="47C233C9" w14:textId="77777777" w:rsidTr="000F44D7">
        <w:trPr>
          <w:trHeight w:val="386"/>
        </w:trPr>
        <w:tc>
          <w:tcPr>
            <w:tcW w:w="2024" w:type="dxa"/>
            <w:shd w:val="clear" w:color="auto" w:fill="D0CECE"/>
            <w:noWrap/>
            <w:vAlign w:val="center"/>
          </w:tcPr>
          <w:p w14:paraId="3EC66C35" w14:textId="77777777" w:rsidR="003A73B0" w:rsidRPr="00000072" w:rsidRDefault="008B2B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0000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调研方式</w:t>
            </w:r>
          </w:p>
        </w:tc>
        <w:tc>
          <w:tcPr>
            <w:tcW w:w="2126" w:type="dxa"/>
            <w:shd w:val="clear" w:color="auto" w:fill="D0CECE"/>
            <w:noWrap/>
            <w:vAlign w:val="center"/>
          </w:tcPr>
          <w:p w14:paraId="5D320E96" w14:textId="77777777" w:rsidR="003A73B0" w:rsidRPr="00000072" w:rsidRDefault="008B2B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0000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机构名称</w:t>
            </w:r>
          </w:p>
        </w:tc>
        <w:tc>
          <w:tcPr>
            <w:tcW w:w="2268" w:type="dxa"/>
            <w:shd w:val="clear" w:color="auto" w:fill="D0CECE"/>
            <w:noWrap/>
            <w:vAlign w:val="center"/>
          </w:tcPr>
          <w:p w14:paraId="64666875" w14:textId="77777777" w:rsidR="003A73B0" w:rsidRPr="00000072" w:rsidRDefault="008B2B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0000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人员</w:t>
            </w:r>
          </w:p>
        </w:tc>
      </w:tr>
      <w:tr w:rsidR="00A54B24" w:rsidRPr="00A54B24" w14:paraId="04866CD6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34B0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现场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3289" w14:textId="356E98D6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杭州城</w:t>
            </w:r>
            <w:proofErr w:type="gramStart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投富鼎</w:t>
            </w:r>
            <w:proofErr w:type="gramEnd"/>
            <w:r w:rsidR="0017258D">
              <w:rPr>
                <w:rFonts w:ascii="宋体" w:eastAsia="宋体" w:hAnsi="宋体" w:cs="宋体" w:hint="eastAsia"/>
                <w:color w:val="000000"/>
                <w:szCs w:val="21"/>
              </w:rPr>
              <w:t>投资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86924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李洪杰</w:t>
            </w:r>
          </w:p>
        </w:tc>
      </w:tr>
      <w:tr w:rsidR="00A54B24" w:rsidRPr="00A54B24" w14:paraId="73E38B76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A10A7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现场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DB861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杭州城投资管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0F52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高阳</w:t>
            </w:r>
          </w:p>
        </w:tc>
      </w:tr>
      <w:tr w:rsidR="00A54B24" w:rsidRPr="00A54B24" w14:paraId="04EB57D7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2EE4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现场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D8F0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杭州城投资管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4FA0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何春城</w:t>
            </w:r>
          </w:p>
        </w:tc>
      </w:tr>
      <w:tr w:rsidR="00A54B24" w:rsidRPr="00A54B24" w14:paraId="2119B441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74BF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现场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CB295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杭州城投资管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BC6E3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姜俊</w:t>
            </w:r>
          </w:p>
        </w:tc>
      </w:tr>
      <w:tr w:rsidR="00A54B24" w:rsidRPr="00A54B24" w14:paraId="38A96EEE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4E785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现场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C537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杭州城投资管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4980A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王晓东</w:t>
            </w:r>
          </w:p>
        </w:tc>
      </w:tr>
      <w:tr w:rsidR="00A54B24" w:rsidRPr="00A54B24" w14:paraId="7047EC60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17C3F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现场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6A48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和谐汇</w:t>
            </w:r>
            <w:proofErr w:type="gramStart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一资管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2D7E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章溢漫</w:t>
            </w:r>
            <w:proofErr w:type="gramEnd"/>
          </w:p>
        </w:tc>
      </w:tr>
      <w:tr w:rsidR="00A54B24" w:rsidRPr="00A54B24" w14:paraId="6C7AF29C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0228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现场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385EE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信</w:t>
            </w:r>
            <w:proofErr w:type="gramStart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达证券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5EDA7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郑祥</w:t>
            </w:r>
          </w:p>
        </w:tc>
      </w:tr>
      <w:tr w:rsidR="00A54B24" w:rsidRPr="00A54B24" w14:paraId="471CBDAA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4DCC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现场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6027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中银证券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983B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刘桐彤</w:t>
            </w:r>
          </w:p>
        </w:tc>
      </w:tr>
      <w:tr w:rsidR="00A54B24" w:rsidRPr="00A54B24" w14:paraId="1AE04A18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4FF5F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现场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A678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中银证券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23F5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王晓莲</w:t>
            </w:r>
          </w:p>
        </w:tc>
      </w:tr>
      <w:tr w:rsidR="00A54B24" w:rsidRPr="00A54B24" w14:paraId="3C301B1D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3743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D630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安信证券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C8E7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杨楠</w:t>
            </w:r>
          </w:p>
        </w:tc>
      </w:tr>
      <w:tr w:rsidR="00A54B24" w:rsidRPr="00A54B24" w14:paraId="0EB12135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EF2B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010F9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博益</w:t>
            </w:r>
            <w:proofErr w:type="gramStart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安盈资管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7FDD2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邹伟</w:t>
            </w:r>
          </w:p>
        </w:tc>
      </w:tr>
      <w:tr w:rsidR="00A54B24" w:rsidRPr="00A54B24" w14:paraId="050CC61F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9F68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7389D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财通基金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C516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苗瑜</w:t>
            </w:r>
            <w:proofErr w:type="gramEnd"/>
          </w:p>
        </w:tc>
      </w:tr>
      <w:tr w:rsidR="00A54B24" w:rsidRPr="00A54B24" w14:paraId="6290E4DE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940AB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2BCCF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淳厚基金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21F20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陈基明</w:t>
            </w:r>
          </w:p>
        </w:tc>
      </w:tr>
      <w:tr w:rsidR="00A54B24" w:rsidRPr="00A54B24" w14:paraId="1A647703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F51C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128E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德</w:t>
            </w:r>
            <w:proofErr w:type="gramStart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邦</w:t>
            </w:r>
            <w:proofErr w:type="gramEnd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证券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B445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黄小玉</w:t>
            </w:r>
          </w:p>
        </w:tc>
      </w:tr>
      <w:tr w:rsidR="00A54B24" w:rsidRPr="00A54B24" w14:paraId="20AB8BE1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6D8F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B4A9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德</w:t>
            </w:r>
            <w:proofErr w:type="gramStart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邦</w:t>
            </w:r>
            <w:proofErr w:type="gramEnd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证券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0633A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刘琦</w:t>
            </w:r>
          </w:p>
        </w:tc>
      </w:tr>
      <w:tr w:rsidR="00A54B24" w:rsidRPr="00A54B24" w14:paraId="48D3C0BD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1E81D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9546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德</w:t>
            </w:r>
            <w:proofErr w:type="gramStart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邦</w:t>
            </w:r>
            <w:proofErr w:type="gramEnd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证券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57845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赵琦</w:t>
            </w:r>
          </w:p>
        </w:tc>
      </w:tr>
      <w:tr w:rsidR="00A54B24" w:rsidRPr="00A54B24" w14:paraId="4994F8E2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EC0C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7CF2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德</w:t>
            </w:r>
            <w:proofErr w:type="gramStart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邦</w:t>
            </w:r>
            <w:proofErr w:type="gramEnd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证券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4208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赵伟博</w:t>
            </w:r>
          </w:p>
        </w:tc>
      </w:tr>
      <w:tr w:rsidR="00A54B24" w:rsidRPr="00A54B24" w14:paraId="7DDA065D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D6FB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05611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德</w:t>
            </w:r>
            <w:proofErr w:type="gramStart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睿</w:t>
            </w:r>
            <w:proofErr w:type="gramEnd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恒</w:t>
            </w:r>
            <w:proofErr w:type="gramStart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丰资管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29FD1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江昕</w:t>
            </w:r>
          </w:p>
        </w:tc>
      </w:tr>
      <w:tr w:rsidR="00A54B24" w:rsidRPr="00A54B24" w14:paraId="3F0083D7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31E23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0466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东北证券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952C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吴雨萌</w:t>
            </w:r>
            <w:proofErr w:type="gramEnd"/>
          </w:p>
        </w:tc>
      </w:tr>
      <w:tr w:rsidR="00A54B24" w:rsidRPr="00A54B24" w14:paraId="2916D02A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9431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7E169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东方证券自营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492B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李峰</w:t>
            </w:r>
          </w:p>
        </w:tc>
      </w:tr>
      <w:tr w:rsidR="00A54B24" w:rsidRPr="00A54B24" w14:paraId="19137B6E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910E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5AFF7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东方证券自营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3D2B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张开元</w:t>
            </w:r>
          </w:p>
        </w:tc>
      </w:tr>
      <w:tr w:rsidR="00A54B24" w:rsidRPr="00A54B24" w14:paraId="2F401A5A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2F884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935B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敦</w:t>
            </w:r>
            <w:proofErr w:type="gramEnd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和</w:t>
            </w:r>
            <w:proofErr w:type="gramStart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资管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D4C3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诸文洁</w:t>
            </w:r>
          </w:p>
        </w:tc>
      </w:tr>
      <w:tr w:rsidR="00A54B24" w:rsidRPr="00A54B24" w14:paraId="3E500DD5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FBC8C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11623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光大资管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AF6EF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李行杰</w:t>
            </w:r>
            <w:proofErr w:type="gramEnd"/>
          </w:p>
        </w:tc>
      </w:tr>
      <w:tr w:rsidR="00A54B24" w:rsidRPr="00A54B24" w14:paraId="56C1D3F2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8A82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66CE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国</w:t>
            </w:r>
            <w:proofErr w:type="gramStart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投瑞银基金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D4EA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朴虹睿</w:t>
            </w:r>
          </w:p>
        </w:tc>
      </w:tr>
      <w:tr w:rsidR="00A54B24" w:rsidRPr="00A54B24" w14:paraId="4FD39776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CDAEE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CB81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和谐汇</w:t>
            </w:r>
            <w:proofErr w:type="gramStart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一资管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6F50B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章溢漫</w:t>
            </w:r>
            <w:proofErr w:type="gramEnd"/>
          </w:p>
        </w:tc>
      </w:tr>
      <w:tr w:rsidR="00A54B24" w:rsidRPr="00A54B24" w14:paraId="4FA0F90C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67C70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7DC0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鸿</w:t>
            </w:r>
            <w:proofErr w:type="gramStart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道投资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F6E8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方云龙</w:t>
            </w:r>
          </w:p>
        </w:tc>
      </w:tr>
      <w:tr w:rsidR="00A54B24" w:rsidRPr="00A54B24" w14:paraId="53D01EE0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283C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6EB2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华美国际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E87E4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王书伟</w:t>
            </w:r>
          </w:p>
        </w:tc>
      </w:tr>
      <w:tr w:rsidR="00A54B24" w:rsidRPr="00A54B24" w14:paraId="57E9AE35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D6A89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10F1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嘉</w:t>
            </w:r>
            <w:proofErr w:type="gramStart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实基金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BB1B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何鸣晓</w:t>
            </w:r>
            <w:proofErr w:type="gramEnd"/>
          </w:p>
        </w:tc>
      </w:tr>
      <w:tr w:rsidR="00A54B24" w:rsidRPr="00A54B24" w14:paraId="2A3A1FEE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D1852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DF4C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理</w:t>
            </w:r>
            <w:proofErr w:type="gramStart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成资管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55AD3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徐杰超</w:t>
            </w:r>
            <w:proofErr w:type="gramEnd"/>
          </w:p>
        </w:tc>
      </w:tr>
      <w:tr w:rsidR="00A54B24" w:rsidRPr="00A54B24" w14:paraId="3913128A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A7AF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9D38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南方基金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5379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孙伟仓</w:t>
            </w:r>
            <w:proofErr w:type="gramEnd"/>
          </w:p>
        </w:tc>
      </w:tr>
      <w:tr w:rsidR="00A54B24" w:rsidRPr="00A54B24" w14:paraId="2D1D3C2D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AF9D9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FB8C6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千合资管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04D95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邵珠印</w:t>
            </w:r>
          </w:p>
        </w:tc>
      </w:tr>
      <w:tr w:rsidR="00A54B24" w:rsidRPr="00A54B24" w14:paraId="1E9CFC98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A452A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C4CA7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彤</w:t>
            </w:r>
            <w:proofErr w:type="gramEnd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源投资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67D3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郭磊</w:t>
            </w:r>
          </w:p>
        </w:tc>
      </w:tr>
      <w:tr w:rsidR="00A54B24" w:rsidRPr="00A54B24" w14:paraId="692B8F2D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1F20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DC22D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新华资管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F10FD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李明生</w:t>
            </w:r>
          </w:p>
        </w:tc>
      </w:tr>
      <w:tr w:rsidR="00A54B24" w:rsidRPr="00A54B24" w14:paraId="4906DCF0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0A650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134B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兴华基金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601FB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高纬绚</w:t>
            </w:r>
          </w:p>
        </w:tc>
      </w:tr>
      <w:tr w:rsidR="00A54B24" w:rsidRPr="00A54B24" w14:paraId="2D528EEA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CC9D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6C51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玄卜投资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2BA2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夏</w:t>
            </w:r>
            <w:proofErr w:type="gramStart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一</w:t>
            </w:r>
            <w:proofErr w:type="gramEnd"/>
          </w:p>
        </w:tc>
      </w:tr>
      <w:tr w:rsidR="00A54B24" w:rsidRPr="00A54B24" w14:paraId="779F57FC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6F2A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27507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怡</w:t>
            </w:r>
            <w:proofErr w:type="gramEnd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广投资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04E0E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金晨</w:t>
            </w:r>
            <w:proofErr w:type="gramEnd"/>
          </w:p>
        </w:tc>
      </w:tr>
      <w:tr w:rsidR="00A54B24" w:rsidRPr="00A54B24" w14:paraId="4E65B665" w14:textId="77777777" w:rsidTr="000F44D7">
        <w:trPr>
          <w:trHeight w:val="27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43C7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7EC0D" w14:textId="77777777" w:rsidR="00A54B24" w:rsidRPr="00A54B24" w:rsidRDefault="00A54B24" w:rsidP="00A54B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中欧基金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7A8DA" w14:textId="77777777" w:rsidR="00A54B24" w:rsidRPr="00A54B24" w:rsidRDefault="00A54B24" w:rsidP="00A54B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4B24">
              <w:rPr>
                <w:rFonts w:ascii="宋体" w:eastAsia="宋体" w:hAnsi="宋体" w:cs="宋体" w:hint="eastAsia"/>
                <w:color w:val="000000"/>
                <w:szCs w:val="21"/>
              </w:rPr>
              <w:t>张晔</w:t>
            </w:r>
          </w:p>
        </w:tc>
      </w:tr>
    </w:tbl>
    <w:p w14:paraId="77F01BE6" w14:textId="77777777" w:rsidR="003A73B0" w:rsidRDefault="003A73B0">
      <w:pPr>
        <w:widowControl/>
        <w:jc w:val="left"/>
        <w:rPr>
          <w:rFonts w:ascii="宋体" w:eastAsia="宋体" w:hAnsi="宋体" w:cs="Arial"/>
          <w:b/>
          <w:bCs/>
          <w:sz w:val="24"/>
          <w:szCs w:val="24"/>
        </w:rPr>
      </w:pPr>
    </w:p>
    <w:sectPr w:rsidR="003A73B0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1DB3" w14:textId="77777777" w:rsidR="003B5BA9" w:rsidRDefault="003B5BA9" w:rsidP="0065349B">
      <w:r>
        <w:separator/>
      </w:r>
    </w:p>
  </w:endnote>
  <w:endnote w:type="continuationSeparator" w:id="0">
    <w:p w14:paraId="5B6817FB" w14:textId="77777777" w:rsidR="003B5BA9" w:rsidRDefault="003B5BA9" w:rsidP="0065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148D" w14:textId="77777777" w:rsidR="003B5BA9" w:rsidRDefault="003B5BA9" w:rsidP="0065349B">
      <w:r>
        <w:separator/>
      </w:r>
    </w:p>
  </w:footnote>
  <w:footnote w:type="continuationSeparator" w:id="0">
    <w:p w14:paraId="59E45363" w14:textId="77777777" w:rsidR="003B5BA9" w:rsidRDefault="003B5BA9" w:rsidP="00653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B30"/>
    <w:rsid w:val="00000072"/>
    <w:rsid w:val="00000C13"/>
    <w:rsid w:val="00012390"/>
    <w:rsid w:val="00021D71"/>
    <w:rsid w:val="0004613C"/>
    <w:rsid w:val="0005538A"/>
    <w:rsid w:val="00056FC0"/>
    <w:rsid w:val="00057DAE"/>
    <w:rsid w:val="00071C33"/>
    <w:rsid w:val="00090B9E"/>
    <w:rsid w:val="000927FA"/>
    <w:rsid w:val="00093B8C"/>
    <w:rsid w:val="00096AED"/>
    <w:rsid w:val="00096C4F"/>
    <w:rsid w:val="000A107B"/>
    <w:rsid w:val="000A5F55"/>
    <w:rsid w:val="000B08F6"/>
    <w:rsid w:val="000C1C97"/>
    <w:rsid w:val="000C5EFF"/>
    <w:rsid w:val="000D141D"/>
    <w:rsid w:val="000D51DC"/>
    <w:rsid w:val="000E26B7"/>
    <w:rsid w:val="000E5E84"/>
    <w:rsid w:val="000F44D7"/>
    <w:rsid w:val="00104D59"/>
    <w:rsid w:val="00105268"/>
    <w:rsid w:val="00105C72"/>
    <w:rsid w:val="00110C72"/>
    <w:rsid w:val="0012054E"/>
    <w:rsid w:val="001228F6"/>
    <w:rsid w:val="00144AD3"/>
    <w:rsid w:val="001657B3"/>
    <w:rsid w:val="001659C9"/>
    <w:rsid w:val="0017258D"/>
    <w:rsid w:val="00175B76"/>
    <w:rsid w:val="00180EAF"/>
    <w:rsid w:val="001B31AE"/>
    <w:rsid w:val="001C24E8"/>
    <w:rsid w:val="001C27CA"/>
    <w:rsid w:val="001D29E7"/>
    <w:rsid w:val="001E4BF4"/>
    <w:rsid w:val="001E679F"/>
    <w:rsid w:val="00207544"/>
    <w:rsid w:val="00211FCB"/>
    <w:rsid w:val="0021534A"/>
    <w:rsid w:val="00221572"/>
    <w:rsid w:val="00221F39"/>
    <w:rsid w:val="00224EE0"/>
    <w:rsid w:val="00231640"/>
    <w:rsid w:val="00232B2B"/>
    <w:rsid w:val="00241701"/>
    <w:rsid w:val="00253D69"/>
    <w:rsid w:val="00260202"/>
    <w:rsid w:val="002639E3"/>
    <w:rsid w:val="002641D8"/>
    <w:rsid w:val="002670A4"/>
    <w:rsid w:val="00276C73"/>
    <w:rsid w:val="0028017E"/>
    <w:rsid w:val="0028109A"/>
    <w:rsid w:val="002819AC"/>
    <w:rsid w:val="00287C34"/>
    <w:rsid w:val="0029469E"/>
    <w:rsid w:val="002A0B2C"/>
    <w:rsid w:val="002A1223"/>
    <w:rsid w:val="002A2FDC"/>
    <w:rsid w:val="002A388F"/>
    <w:rsid w:val="002B286A"/>
    <w:rsid w:val="002B2DE9"/>
    <w:rsid w:val="002D1AAD"/>
    <w:rsid w:val="002D79A4"/>
    <w:rsid w:val="002E20BA"/>
    <w:rsid w:val="002E5AEB"/>
    <w:rsid w:val="002F1992"/>
    <w:rsid w:val="002F5E8B"/>
    <w:rsid w:val="002F79B8"/>
    <w:rsid w:val="00301BF7"/>
    <w:rsid w:val="003054BA"/>
    <w:rsid w:val="00331F2A"/>
    <w:rsid w:val="00334CC7"/>
    <w:rsid w:val="00341C94"/>
    <w:rsid w:val="00342EAB"/>
    <w:rsid w:val="0035234B"/>
    <w:rsid w:val="00391C87"/>
    <w:rsid w:val="003923FA"/>
    <w:rsid w:val="003A0249"/>
    <w:rsid w:val="003A3B5C"/>
    <w:rsid w:val="003A708F"/>
    <w:rsid w:val="003A73B0"/>
    <w:rsid w:val="003B2735"/>
    <w:rsid w:val="003B5BA9"/>
    <w:rsid w:val="003B6295"/>
    <w:rsid w:val="003D255C"/>
    <w:rsid w:val="003E7896"/>
    <w:rsid w:val="003F7360"/>
    <w:rsid w:val="003F7E1F"/>
    <w:rsid w:val="004014DA"/>
    <w:rsid w:val="00403184"/>
    <w:rsid w:val="0040427D"/>
    <w:rsid w:val="00415D4D"/>
    <w:rsid w:val="00416646"/>
    <w:rsid w:val="00425D7D"/>
    <w:rsid w:val="00432093"/>
    <w:rsid w:val="00452B7C"/>
    <w:rsid w:val="00456167"/>
    <w:rsid w:val="00472010"/>
    <w:rsid w:val="0047244D"/>
    <w:rsid w:val="0048159B"/>
    <w:rsid w:val="004943AC"/>
    <w:rsid w:val="004B2598"/>
    <w:rsid w:val="004B2E70"/>
    <w:rsid w:val="004B7D47"/>
    <w:rsid w:val="004C5FE5"/>
    <w:rsid w:val="004D3F05"/>
    <w:rsid w:val="004F63C9"/>
    <w:rsid w:val="00502C7F"/>
    <w:rsid w:val="00502F94"/>
    <w:rsid w:val="00503019"/>
    <w:rsid w:val="00506488"/>
    <w:rsid w:val="0050782B"/>
    <w:rsid w:val="00515630"/>
    <w:rsid w:val="00516DA8"/>
    <w:rsid w:val="0052343D"/>
    <w:rsid w:val="0053171F"/>
    <w:rsid w:val="00533801"/>
    <w:rsid w:val="0053422F"/>
    <w:rsid w:val="005430A9"/>
    <w:rsid w:val="00545CDE"/>
    <w:rsid w:val="0054764C"/>
    <w:rsid w:val="00551499"/>
    <w:rsid w:val="00555B57"/>
    <w:rsid w:val="00564A09"/>
    <w:rsid w:val="005700C5"/>
    <w:rsid w:val="00573356"/>
    <w:rsid w:val="00573843"/>
    <w:rsid w:val="005763AB"/>
    <w:rsid w:val="005768EA"/>
    <w:rsid w:val="005806FC"/>
    <w:rsid w:val="005831FE"/>
    <w:rsid w:val="00590C5E"/>
    <w:rsid w:val="005B7100"/>
    <w:rsid w:val="005C3819"/>
    <w:rsid w:val="005C3A70"/>
    <w:rsid w:val="005C51AE"/>
    <w:rsid w:val="005D119A"/>
    <w:rsid w:val="005D2C92"/>
    <w:rsid w:val="005D6C4B"/>
    <w:rsid w:val="005F4E19"/>
    <w:rsid w:val="005F5FDE"/>
    <w:rsid w:val="0060515E"/>
    <w:rsid w:val="0061517B"/>
    <w:rsid w:val="006312A6"/>
    <w:rsid w:val="006418AF"/>
    <w:rsid w:val="00643FDA"/>
    <w:rsid w:val="0065349B"/>
    <w:rsid w:val="00661D81"/>
    <w:rsid w:val="006656AB"/>
    <w:rsid w:val="006736D3"/>
    <w:rsid w:val="006822F0"/>
    <w:rsid w:val="00692F53"/>
    <w:rsid w:val="00697887"/>
    <w:rsid w:val="006A3930"/>
    <w:rsid w:val="006A4B18"/>
    <w:rsid w:val="006A5605"/>
    <w:rsid w:val="006B490A"/>
    <w:rsid w:val="006B78F3"/>
    <w:rsid w:val="006C0108"/>
    <w:rsid w:val="006C50CA"/>
    <w:rsid w:val="006C5300"/>
    <w:rsid w:val="006D0AE1"/>
    <w:rsid w:val="006D0B30"/>
    <w:rsid w:val="006D3563"/>
    <w:rsid w:val="006D4897"/>
    <w:rsid w:val="006D615B"/>
    <w:rsid w:val="006E26CA"/>
    <w:rsid w:val="006F2352"/>
    <w:rsid w:val="006F4893"/>
    <w:rsid w:val="006F4DEE"/>
    <w:rsid w:val="006F5399"/>
    <w:rsid w:val="006F6C22"/>
    <w:rsid w:val="007014AF"/>
    <w:rsid w:val="00703415"/>
    <w:rsid w:val="00703B77"/>
    <w:rsid w:val="00711313"/>
    <w:rsid w:val="007167B4"/>
    <w:rsid w:val="0071694B"/>
    <w:rsid w:val="007177E7"/>
    <w:rsid w:val="00731DBE"/>
    <w:rsid w:val="00732B7D"/>
    <w:rsid w:val="0073484F"/>
    <w:rsid w:val="00734ED5"/>
    <w:rsid w:val="00735743"/>
    <w:rsid w:val="00764574"/>
    <w:rsid w:val="00771205"/>
    <w:rsid w:val="007715DC"/>
    <w:rsid w:val="00792815"/>
    <w:rsid w:val="007A28E7"/>
    <w:rsid w:val="007A61F4"/>
    <w:rsid w:val="007C05AF"/>
    <w:rsid w:val="007C7F4C"/>
    <w:rsid w:val="007D6026"/>
    <w:rsid w:val="007E1D07"/>
    <w:rsid w:val="007E7799"/>
    <w:rsid w:val="008005A4"/>
    <w:rsid w:val="00806496"/>
    <w:rsid w:val="00810C08"/>
    <w:rsid w:val="00816EAE"/>
    <w:rsid w:val="00823223"/>
    <w:rsid w:val="0082731F"/>
    <w:rsid w:val="00837357"/>
    <w:rsid w:val="00840FAE"/>
    <w:rsid w:val="00841419"/>
    <w:rsid w:val="0084251E"/>
    <w:rsid w:val="00850845"/>
    <w:rsid w:val="00852455"/>
    <w:rsid w:val="0085781B"/>
    <w:rsid w:val="00857DFB"/>
    <w:rsid w:val="0086382B"/>
    <w:rsid w:val="00871635"/>
    <w:rsid w:val="008749AC"/>
    <w:rsid w:val="00877EE8"/>
    <w:rsid w:val="00886EE3"/>
    <w:rsid w:val="00892810"/>
    <w:rsid w:val="00896FAB"/>
    <w:rsid w:val="008A0ADF"/>
    <w:rsid w:val="008B2B1D"/>
    <w:rsid w:val="008B68FB"/>
    <w:rsid w:val="008C4FD3"/>
    <w:rsid w:val="008E427A"/>
    <w:rsid w:val="008E6F17"/>
    <w:rsid w:val="008F0151"/>
    <w:rsid w:val="008F302A"/>
    <w:rsid w:val="0090119F"/>
    <w:rsid w:val="009018B3"/>
    <w:rsid w:val="00901A54"/>
    <w:rsid w:val="00903135"/>
    <w:rsid w:val="00906531"/>
    <w:rsid w:val="009076B4"/>
    <w:rsid w:val="0092026E"/>
    <w:rsid w:val="0092053B"/>
    <w:rsid w:val="00924DCA"/>
    <w:rsid w:val="00925247"/>
    <w:rsid w:val="00937F69"/>
    <w:rsid w:val="0094056B"/>
    <w:rsid w:val="00942835"/>
    <w:rsid w:val="00947850"/>
    <w:rsid w:val="00950EA9"/>
    <w:rsid w:val="009712A8"/>
    <w:rsid w:val="00972FFC"/>
    <w:rsid w:val="00973F94"/>
    <w:rsid w:val="00976E6E"/>
    <w:rsid w:val="00984D66"/>
    <w:rsid w:val="00991B7D"/>
    <w:rsid w:val="009A48C7"/>
    <w:rsid w:val="009A4B59"/>
    <w:rsid w:val="009B0424"/>
    <w:rsid w:val="009B4E56"/>
    <w:rsid w:val="009B5555"/>
    <w:rsid w:val="009B7041"/>
    <w:rsid w:val="009D2E00"/>
    <w:rsid w:val="009D6111"/>
    <w:rsid w:val="009E0FC3"/>
    <w:rsid w:val="009E2789"/>
    <w:rsid w:val="009E4B9C"/>
    <w:rsid w:val="009E614A"/>
    <w:rsid w:val="009F507D"/>
    <w:rsid w:val="00A014E0"/>
    <w:rsid w:val="00A12343"/>
    <w:rsid w:val="00A1642A"/>
    <w:rsid w:val="00A1789F"/>
    <w:rsid w:val="00A20762"/>
    <w:rsid w:val="00A251B6"/>
    <w:rsid w:val="00A27864"/>
    <w:rsid w:val="00A36160"/>
    <w:rsid w:val="00A54B24"/>
    <w:rsid w:val="00A56798"/>
    <w:rsid w:val="00A67AE4"/>
    <w:rsid w:val="00A775C8"/>
    <w:rsid w:val="00A85A31"/>
    <w:rsid w:val="00A87DE2"/>
    <w:rsid w:val="00A9339D"/>
    <w:rsid w:val="00AB0FEF"/>
    <w:rsid w:val="00AC5390"/>
    <w:rsid w:val="00AC5EA0"/>
    <w:rsid w:val="00AC6E0C"/>
    <w:rsid w:val="00AC73AA"/>
    <w:rsid w:val="00AC7768"/>
    <w:rsid w:val="00AD5300"/>
    <w:rsid w:val="00AD62A1"/>
    <w:rsid w:val="00AF0D2A"/>
    <w:rsid w:val="00B06DDF"/>
    <w:rsid w:val="00B103E1"/>
    <w:rsid w:val="00B211A8"/>
    <w:rsid w:val="00B42B99"/>
    <w:rsid w:val="00B51B5F"/>
    <w:rsid w:val="00B5303F"/>
    <w:rsid w:val="00B560B2"/>
    <w:rsid w:val="00B57EAE"/>
    <w:rsid w:val="00B61466"/>
    <w:rsid w:val="00B67B67"/>
    <w:rsid w:val="00B72498"/>
    <w:rsid w:val="00B77C6A"/>
    <w:rsid w:val="00BC033C"/>
    <w:rsid w:val="00BC5E30"/>
    <w:rsid w:val="00BD1A7F"/>
    <w:rsid w:val="00BD26B5"/>
    <w:rsid w:val="00BE10C8"/>
    <w:rsid w:val="00BE1F6C"/>
    <w:rsid w:val="00BE38D1"/>
    <w:rsid w:val="00BE4F9E"/>
    <w:rsid w:val="00BE6918"/>
    <w:rsid w:val="00BF6D8A"/>
    <w:rsid w:val="00C02B49"/>
    <w:rsid w:val="00C045D4"/>
    <w:rsid w:val="00C07FC2"/>
    <w:rsid w:val="00C15A2F"/>
    <w:rsid w:val="00C15E82"/>
    <w:rsid w:val="00C45850"/>
    <w:rsid w:val="00C655F7"/>
    <w:rsid w:val="00C6637D"/>
    <w:rsid w:val="00C66764"/>
    <w:rsid w:val="00C7016B"/>
    <w:rsid w:val="00C717B3"/>
    <w:rsid w:val="00C83598"/>
    <w:rsid w:val="00C838B0"/>
    <w:rsid w:val="00C86CB5"/>
    <w:rsid w:val="00C908FA"/>
    <w:rsid w:val="00C90ABF"/>
    <w:rsid w:val="00C90BE7"/>
    <w:rsid w:val="00C928D5"/>
    <w:rsid w:val="00CA2A02"/>
    <w:rsid w:val="00CD602C"/>
    <w:rsid w:val="00CE238E"/>
    <w:rsid w:val="00CF0177"/>
    <w:rsid w:val="00CF577A"/>
    <w:rsid w:val="00D00D6C"/>
    <w:rsid w:val="00D071AF"/>
    <w:rsid w:val="00D1008E"/>
    <w:rsid w:val="00D14A70"/>
    <w:rsid w:val="00D218E3"/>
    <w:rsid w:val="00D24629"/>
    <w:rsid w:val="00D45D2C"/>
    <w:rsid w:val="00D51B49"/>
    <w:rsid w:val="00D522C1"/>
    <w:rsid w:val="00D64F1B"/>
    <w:rsid w:val="00D7473C"/>
    <w:rsid w:val="00D766B1"/>
    <w:rsid w:val="00D77A66"/>
    <w:rsid w:val="00D84DF3"/>
    <w:rsid w:val="00D850E7"/>
    <w:rsid w:val="00D91033"/>
    <w:rsid w:val="00D95320"/>
    <w:rsid w:val="00DA2731"/>
    <w:rsid w:val="00DA63E6"/>
    <w:rsid w:val="00DA7841"/>
    <w:rsid w:val="00DB1675"/>
    <w:rsid w:val="00DD4F98"/>
    <w:rsid w:val="00DD5C5C"/>
    <w:rsid w:val="00DE7900"/>
    <w:rsid w:val="00DF3D7F"/>
    <w:rsid w:val="00E00601"/>
    <w:rsid w:val="00E02FF0"/>
    <w:rsid w:val="00E047E8"/>
    <w:rsid w:val="00E069C5"/>
    <w:rsid w:val="00E1344F"/>
    <w:rsid w:val="00E246EF"/>
    <w:rsid w:val="00E371D7"/>
    <w:rsid w:val="00E41307"/>
    <w:rsid w:val="00E46B0E"/>
    <w:rsid w:val="00E53C89"/>
    <w:rsid w:val="00E60411"/>
    <w:rsid w:val="00E65DAA"/>
    <w:rsid w:val="00E73207"/>
    <w:rsid w:val="00E7338C"/>
    <w:rsid w:val="00E76330"/>
    <w:rsid w:val="00E76E69"/>
    <w:rsid w:val="00E83FA1"/>
    <w:rsid w:val="00E8490C"/>
    <w:rsid w:val="00E949A0"/>
    <w:rsid w:val="00EA2781"/>
    <w:rsid w:val="00ED02BB"/>
    <w:rsid w:val="00EF6045"/>
    <w:rsid w:val="00EF7602"/>
    <w:rsid w:val="00F0060B"/>
    <w:rsid w:val="00F03E17"/>
    <w:rsid w:val="00F058E9"/>
    <w:rsid w:val="00F20F94"/>
    <w:rsid w:val="00F510CE"/>
    <w:rsid w:val="00F53155"/>
    <w:rsid w:val="00F7195C"/>
    <w:rsid w:val="00F77D79"/>
    <w:rsid w:val="00F8578B"/>
    <w:rsid w:val="00F9203F"/>
    <w:rsid w:val="00F93D15"/>
    <w:rsid w:val="00F96E26"/>
    <w:rsid w:val="00FB661B"/>
    <w:rsid w:val="00FB6C3D"/>
    <w:rsid w:val="00FC3182"/>
    <w:rsid w:val="00FE23DC"/>
    <w:rsid w:val="00FE3381"/>
    <w:rsid w:val="00FE6E48"/>
    <w:rsid w:val="00FF3A48"/>
    <w:rsid w:val="02053318"/>
    <w:rsid w:val="05AD056F"/>
    <w:rsid w:val="0FE90E3E"/>
    <w:rsid w:val="1017069A"/>
    <w:rsid w:val="153724F2"/>
    <w:rsid w:val="1A232B19"/>
    <w:rsid w:val="1A7E33EB"/>
    <w:rsid w:val="1BDF5317"/>
    <w:rsid w:val="1BFA21E2"/>
    <w:rsid w:val="1C7F2BE9"/>
    <w:rsid w:val="269F01BF"/>
    <w:rsid w:val="32920C72"/>
    <w:rsid w:val="3B08274C"/>
    <w:rsid w:val="3CD11AE7"/>
    <w:rsid w:val="3F495AD1"/>
    <w:rsid w:val="4906149B"/>
    <w:rsid w:val="4D0F0844"/>
    <w:rsid w:val="4FC114D1"/>
    <w:rsid w:val="522B4220"/>
    <w:rsid w:val="54E513CF"/>
    <w:rsid w:val="5D306039"/>
    <w:rsid w:val="5FFA4AB1"/>
    <w:rsid w:val="64164D4E"/>
    <w:rsid w:val="662B3598"/>
    <w:rsid w:val="769300E1"/>
    <w:rsid w:val="76A32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471512"/>
  <w15:docId w15:val="{E91920AA-CA1D-428E-957A-CA7BEB18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Normal (Web)"/>
    <w:basedOn w:val="a"/>
    <w:uiPriority w:val="99"/>
    <w:semiHidden/>
    <w:unhideWhenUsed/>
    <w:rsid w:val="00507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4A36C6-1347-4BD6-AEE2-1EF1A593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77 7</dc:creator>
  <cp:lastModifiedBy>wang qian</cp:lastModifiedBy>
  <cp:revision>22</cp:revision>
  <dcterms:created xsi:type="dcterms:W3CDTF">2021-11-05T01:29:00Z</dcterms:created>
  <dcterms:modified xsi:type="dcterms:W3CDTF">2022-06-30T06:56:00Z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893E6BC5732A4CE0818AD05FCAFBA868</vt:lpwstr>
  </property>
</Properties>
</file>