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435" w:rsidRPr="00E739A2" w:rsidRDefault="00C06435" w:rsidP="00C06435">
      <w:pPr>
        <w:spacing w:line="360" w:lineRule="auto"/>
        <w:jc w:val="center"/>
        <w:rPr>
          <w:rFonts w:ascii="宋体" w:hAnsi="宋体"/>
          <w:b/>
          <w:sz w:val="30"/>
          <w:szCs w:val="30"/>
        </w:rPr>
      </w:pPr>
      <w:r w:rsidRPr="00E739A2">
        <w:rPr>
          <w:rFonts w:ascii="宋体" w:hAnsi="宋体" w:hint="eastAsia"/>
          <w:b/>
          <w:sz w:val="30"/>
          <w:szCs w:val="30"/>
        </w:rPr>
        <w:t>上海水星家用纺织品股份有限公司</w:t>
      </w:r>
    </w:p>
    <w:p w:rsidR="00C06435" w:rsidRPr="00E739A2" w:rsidRDefault="00C06435" w:rsidP="00C06435">
      <w:pPr>
        <w:spacing w:line="360" w:lineRule="auto"/>
        <w:jc w:val="center"/>
        <w:rPr>
          <w:rFonts w:ascii="宋体" w:hAnsi="宋体"/>
          <w:b/>
          <w:sz w:val="30"/>
          <w:szCs w:val="30"/>
        </w:rPr>
      </w:pPr>
      <w:r w:rsidRPr="00E739A2">
        <w:rPr>
          <w:rFonts w:ascii="宋体" w:hAnsi="宋体" w:hint="eastAsia"/>
          <w:b/>
          <w:sz w:val="30"/>
          <w:szCs w:val="30"/>
        </w:rPr>
        <w:t>投资者关系活动记录表</w:t>
      </w:r>
      <w:r w:rsidR="0000536D" w:rsidRPr="00E739A2">
        <w:rPr>
          <w:rFonts w:ascii="宋体" w:hAnsi="宋体" w:hint="eastAsia"/>
          <w:b/>
          <w:sz w:val="30"/>
          <w:szCs w:val="30"/>
        </w:rPr>
        <w:t>（2</w:t>
      </w:r>
      <w:r w:rsidR="0000536D" w:rsidRPr="00E739A2">
        <w:rPr>
          <w:rFonts w:ascii="宋体" w:hAnsi="宋体"/>
          <w:b/>
          <w:sz w:val="30"/>
          <w:szCs w:val="30"/>
        </w:rPr>
        <w:t>022年</w:t>
      </w:r>
      <w:r w:rsidR="002B34CC">
        <w:rPr>
          <w:rFonts w:ascii="宋体" w:hAnsi="宋体" w:hint="eastAsia"/>
          <w:b/>
          <w:sz w:val="30"/>
          <w:szCs w:val="30"/>
        </w:rPr>
        <w:t>二季度</w:t>
      </w:r>
      <w:r w:rsidR="0000536D" w:rsidRPr="00E739A2">
        <w:rPr>
          <w:rFonts w:ascii="宋体" w:hAnsi="宋体" w:hint="eastAsia"/>
          <w:b/>
          <w:sz w:val="30"/>
          <w:szCs w:val="30"/>
        </w:rPr>
        <w:t>）</w:t>
      </w:r>
    </w:p>
    <w:p w:rsidR="00C06435" w:rsidRPr="00E739A2" w:rsidRDefault="00C06435" w:rsidP="00C97E47">
      <w:pPr>
        <w:spacing w:beforeLines="50" w:before="156" w:line="400" w:lineRule="atLeast"/>
        <w:jc w:val="left"/>
        <w:rPr>
          <w:rFonts w:ascii="宋体" w:hAnsi="宋体"/>
          <w:sz w:val="24"/>
          <w:szCs w:val="24"/>
        </w:rPr>
      </w:pPr>
      <w:r w:rsidRPr="00E739A2">
        <w:rPr>
          <w:rFonts w:ascii="宋体" w:hAnsi="宋体" w:hint="eastAsia"/>
          <w:sz w:val="24"/>
          <w:szCs w:val="24"/>
        </w:rPr>
        <w:t xml:space="preserve">证券简称：水星家纺       </w:t>
      </w:r>
      <w:r w:rsidR="00032C41" w:rsidRPr="00E739A2">
        <w:rPr>
          <w:rFonts w:ascii="宋体" w:hAnsi="宋体"/>
          <w:sz w:val="24"/>
          <w:szCs w:val="24"/>
        </w:rPr>
        <w:t xml:space="preserve">        </w:t>
      </w:r>
      <w:r w:rsidR="00225D51">
        <w:rPr>
          <w:rFonts w:ascii="宋体" w:hAnsi="宋体"/>
          <w:sz w:val="24"/>
          <w:szCs w:val="24"/>
        </w:rPr>
        <w:t xml:space="preserve">     </w:t>
      </w:r>
      <w:r w:rsidR="00032C41" w:rsidRPr="00E739A2">
        <w:rPr>
          <w:rFonts w:ascii="宋体" w:hAnsi="宋体"/>
          <w:sz w:val="24"/>
          <w:szCs w:val="24"/>
        </w:rPr>
        <w:t xml:space="preserve">              </w:t>
      </w:r>
      <w:r w:rsidRPr="00E739A2">
        <w:rPr>
          <w:rFonts w:ascii="宋体" w:hAnsi="宋体" w:hint="eastAsia"/>
          <w:sz w:val="24"/>
          <w:szCs w:val="24"/>
        </w:rPr>
        <w:t>证券代码：603365</w:t>
      </w:r>
      <w:r w:rsidRPr="00E739A2">
        <w:rPr>
          <w:rFonts w:ascii="宋体" w:hAnsi="宋体"/>
          <w:sz w:val="24"/>
          <w:szCs w:val="24"/>
        </w:rPr>
        <w:t xml:space="preserve"> </w:t>
      </w:r>
    </w:p>
    <w:tbl>
      <w:tblPr>
        <w:tblW w:w="9781" w:type="dxa"/>
        <w:tblInd w:w="-601" w:type="dxa"/>
        <w:tblLook w:val="04A0" w:firstRow="1" w:lastRow="0" w:firstColumn="1" w:lastColumn="0" w:noHBand="0" w:noVBand="1"/>
      </w:tblPr>
      <w:tblGrid>
        <w:gridCol w:w="2269"/>
        <w:gridCol w:w="7512"/>
      </w:tblGrid>
      <w:tr w:rsidR="00E739A2" w:rsidRPr="00C12D83" w:rsidTr="00F07191">
        <w:trPr>
          <w:trHeight w:val="130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3D1" w:rsidRPr="00C12D83" w:rsidRDefault="00C06435" w:rsidP="00766110">
            <w:pPr>
              <w:spacing w:line="400" w:lineRule="atLeast"/>
              <w:jc w:val="center"/>
              <w:rPr>
                <w:rFonts w:ascii="宋体" w:hAnsi="宋体"/>
                <w:szCs w:val="21"/>
              </w:rPr>
            </w:pPr>
            <w:r w:rsidRPr="00C12D83">
              <w:rPr>
                <w:rFonts w:ascii="宋体" w:hAnsi="宋体" w:hint="eastAsia"/>
                <w:szCs w:val="21"/>
              </w:rPr>
              <w:t>投资者关系</w:t>
            </w:r>
          </w:p>
          <w:p w:rsidR="00C06435" w:rsidRPr="00C12D83" w:rsidRDefault="00C06435" w:rsidP="00766110">
            <w:pPr>
              <w:spacing w:line="400" w:lineRule="atLeast"/>
              <w:jc w:val="center"/>
              <w:rPr>
                <w:rFonts w:ascii="宋体" w:hAnsi="宋体"/>
                <w:szCs w:val="21"/>
              </w:rPr>
            </w:pPr>
            <w:r w:rsidRPr="00C12D83">
              <w:rPr>
                <w:rFonts w:ascii="宋体" w:hAnsi="宋体" w:hint="eastAsia"/>
                <w:szCs w:val="21"/>
              </w:rPr>
              <w:t>活动类别</w:t>
            </w:r>
          </w:p>
        </w:tc>
        <w:tc>
          <w:tcPr>
            <w:tcW w:w="7512" w:type="dxa"/>
            <w:tcBorders>
              <w:top w:val="single" w:sz="4" w:space="0" w:color="auto"/>
              <w:left w:val="single" w:sz="4" w:space="0" w:color="auto"/>
              <w:right w:val="single" w:sz="4" w:space="0" w:color="auto"/>
            </w:tcBorders>
            <w:shd w:val="clear" w:color="auto" w:fill="auto"/>
            <w:vAlign w:val="center"/>
            <w:hideMark/>
          </w:tcPr>
          <w:p w:rsidR="00C06435" w:rsidRPr="00C12D83" w:rsidRDefault="00204FA9" w:rsidP="004540B8">
            <w:pPr>
              <w:spacing w:line="400" w:lineRule="atLeast"/>
              <w:rPr>
                <w:rFonts w:ascii="宋体" w:hAnsi="宋体"/>
                <w:szCs w:val="21"/>
              </w:rPr>
            </w:pPr>
            <w:r w:rsidRPr="00C12D83">
              <w:rPr>
                <w:rFonts w:ascii="宋体" w:hAnsi="宋体" w:hint="eastAsia"/>
                <w:szCs w:val="21"/>
              </w:rPr>
              <w:t>■</w:t>
            </w:r>
            <w:r w:rsidR="00C06435" w:rsidRPr="00C12D83">
              <w:rPr>
                <w:rFonts w:ascii="宋体" w:hAnsi="宋体" w:hint="eastAsia"/>
                <w:szCs w:val="21"/>
              </w:rPr>
              <w:t xml:space="preserve">特定对象调研  </w:t>
            </w:r>
            <w:r w:rsidR="00C06435" w:rsidRPr="00C12D83">
              <w:rPr>
                <w:rFonts w:ascii="宋体" w:hAnsi="宋体"/>
                <w:szCs w:val="21"/>
              </w:rPr>
              <w:t xml:space="preserve"> </w:t>
            </w:r>
            <w:r w:rsidR="00032C41" w:rsidRPr="00C12D83">
              <w:rPr>
                <w:rFonts w:ascii="宋体" w:hAnsi="宋体" w:hint="eastAsia"/>
                <w:szCs w:val="21"/>
              </w:rPr>
              <w:t>□</w:t>
            </w:r>
            <w:r w:rsidR="00C06435" w:rsidRPr="00C12D83">
              <w:rPr>
                <w:rFonts w:ascii="宋体" w:hAnsi="宋体" w:hint="eastAsia"/>
                <w:szCs w:val="21"/>
              </w:rPr>
              <w:t>分析师会议</w:t>
            </w:r>
            <w:r w:rsidR="00C06435" w:rsidRPr="00C12D83">
              <w:rPr>
                <w:rFonts w:ascii="宋体" w:hAnsi="宋体"/>
                <w:szCs w:val="21"/>
              </w:rPr>
              <w:t xml:space="preserve"> </w:t>
            </w:r>
            <w:r w:rsidR="00C06435" w:rsidRPr="00C12D83">
              <w:rPr>
                <w:rFonts w:ascii="宋体" w:hAnsi="宋体" w:hint="eastAsia"/>
                <w:szCs w:val="21"/>
              </w:rPr>
              <w:t xml:space="preserve">   □媒体采访</w:t>
            </w:r>
          </w:p>
          <w:p w:rsidR="00C06435" w:rsidRPr="00C12D83" w:rsidRDefault="0065700E" w:rsidP="004540B8">
            <w:pPr>
              <w:spacing w:line="400" w:lineRule="atLeast"/>
              <w:rPr>
                <w:rFonts w:ascii="宋体" w:hAnsi="宋体"/>
                <w:szCs w:val="21"/>
              </w:rPr>
            </w:pPr>
            <w:r w:rsidRPr="00C12D83">
              <w:rPr>
                <w:rFonts w:ascii="宋体" w:hAnsi="宋体" w:hint="eastAsia"/>
                <w:szCs w:val="21"/>
              </w:rPr>
              <w:t>■</w:t>
            </w:r>
            <w:r w:rsidR="00C06435" w:rsidRPr="00C12D83">
              <w:rPr>
                <w:rFonts w:ascii="宋体" w:hAnsi="宋体" w:hint="eastAsia"/>
                <w:szCs w:val="21"/>
              </w:rPr>
              <w:t>业绩说明会</w:t>
            </w:r>
            <w:r w:rsidR="00C06435" w:rsidRPr="00C12D83">
              <w:rPr>
                <w:rFonts w:ascii="宋体" w:hAnsi="宋体"/>
                <w:szCs w:val="21"/>
              </w:rPr>
              <w:t xml:space="preserve"> </w:t>
            </w:r>
            <w:r w:rsidR="00C06435" w:rsidRPr="00C12D83">
              <w:rPr>
                <w:rFonts w:ascii="宋体" w:hAnsi="宋体" w:hint="eastAsia"/>
                <w:szCs w:val="21"/>
              </w:rPr>
              <w:t xml:space="preserve">    □新闻发布会</w:t>
            </w:r>
            <w:r w:rsidR="00C06435" w:rsidRPr="00C12D83">
              <w:rPr>
                <w:rFonts w:ascii="宋体" w:hAnsi="宋体"/>
                <w:szCs w:val="21"/>
              </w:rPr>
              <w:t xml:space="preserve"> </w:t>
            </w:r>
            <w:r w:rsidR="00C06435" w:rsidRPr="00C12D83">
              <w:rPr>
                <w:rFonts w:ascii="宋体" w:hAnsi="宋体" w:hint="eastAsia"/>
                <w:szCs w:val="21"/>
              </w:rPr>
              <w:t xml:space="preserve">   □路演活动</w:t>
            </w:r>
          </w:p>
          <w:p w:rsidR="00C06435" w:rsidRPr="00C12D83" w:rsidRDefault="00C06435" w:rsidP="00A503D1">
            <w:pPr>
              <w:spacing w:line="400" w:lineRule="atLeast"/>
              <w:rPr>
                <w:rFonts w:ascii="宋体" w:hAnsi="宋体"/>
                <w:szCs w:val="21"/>
              </w:rPr>
            </w:pPr>
            <w:r w:rsidRPr="00C12D83">
              <w:rPr>
                <w:rFonts w:ascii="宋体" w:hAnsi="宋体" w:hint="eastAsia"/>
                <w:szCs w:val="21"/>
              </w:rPr>
              <w:t>□现场参观</w:t>
            </w:r>
            <w:r w:rsidRPr="00C12D83">
              <w:rPr>
                <w:rFonts w:ascii="宋体" w:hAnsi="宋体"/>
                <w:szCs w:val="21"/>
              </w:rPr>
              <w:t xml:space="preserve"> </w:t>
            </w:r>
            <w:r w:rsidRPr="00C12D83">
              <w:rPr>
                <w:rFonts w:ascii="宋体" w:hAnsi="宋体" w:hint="eastAsia"/>
                <w:szCs w:val="21"/>
              </w:rPr>
              <w:t xml:space="preserve">      </w:t>
            </w:r>
            <w:r w:rsidR="00A503D1" w:rsidRPr="00C12D83">
              <w:rPr>
                <w:rFonts w:ascii="宋体" w:hAnsi="宋体" w:hint="eastAsia"/>
                <w:szCs w:val="21"/>
              </w:rPr>
              <w:t>■</w:t>
            </w:r>
            <w:r w:rsidRPr="00C12D83">
              <w:rPr>
                <w:rFonts w:ascii="宋体" w:hAnsi="宋体" w:hint="eastAsia"/>
                <w:szCs w:val="21"/>
              </w:rPr>
              <w:t>其他（</w:t>
            </w:r>
            <w:r w:rsidR="00A503D1" w:rsidRPr="00C12D83">
              <w:rPr>
                <w:rFonts w:ascii="宋体" w:hAnsi="宋体" w:hint="eastAsia"/>
                <w:szCs w:val="21"/>
              </w:rPr>
              <w:t>电话会议</w:t>
            </w:r>
            <w:r w:rsidRPr="00C12D83">
              <w:rPr>
                <w:rFonts w:ascii="宋体" w:hAnsi="宋体" w:hint="eastAsia"/>
                <w:szCs w:val="21"/>
              </w:rPr>
              <w:t>）</w:t>
            </w:r>
          </w:p>
        </w:tc>
      </w:tr>
      <w:tr w:rsidR="00E739A2" w:rsidRPr="00C12D83" w:rsidTr="00F07191">
        <w:trPr>
          <w:trHeight w:val="5661"/>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C50C6B" w:rsidRPr="00C12D83" w:rsidRDefault="00C50C6B" w:rsidP="00766110">
            <w:pPr>
              <w:spacing w:line="400" w:lineRule="atLeast"/>
              <w:jc w:val="center"/>
              <w:rPr>
                <w:rFonts w:ascii="宋体" w:hAnsi="宋体"/>
                <w:szCs w:val="21"/>
              </w:rPr>
            </w:pPr>
            <w:r w:rsidRPr="00C12D83">
              <w:rPr>
                <w:rFonts w:ascii="宋体" w:hAnsi="宋体" w:hint="eastAsia"/>
                <w:szCs w:val="21"/>
              </w:rPr>
              <w:t>参会时间</w:t>
            </w:r>
          </w:p>
          <w:p w:rsidR="00F07191" w:rsidRDefault="002B34CC" w:rsidP="00766110">
            <w:pPr>
              <w:spacing w:line="400" w:lineRule="atLeast"/>
              <w:jc w:val="center"/>
              <w:rPr>
                <w:rFonts w:ascii="宋体" w:hAnsi="宋体"/>
                <w:szCs w:val="21"/>
              </w:rPr>
            </w:pPr>
            <w:r w:rsidRPr="00C12D83">
              <w:rPr>
                <w:rFonts w:ascii="宋体" w:hAnsi="宋体" w:hint="eastAsia"/>
                <w:szCs w:val="21"/>
              </w:rPr>
              <w:t>参会单位</w:t>
            </w:r>
          </w:p>
          <w:p w:rsidR="00C06435" w:rsidRPr="00C12D83" w:rsidRDefault="00F07191" w:rsidP="00766110">
            <w:pPr>
              <w:spacing w:line="400" w:lineRule="atLeast"/>
              <w:jc w:val="center"/>
              <w:rPr>
                <w:rFonts w:ascii="宋体" w:hAnsi="宋体"/>
                <w:szCs w:val="21"/>
              </w:rPr>
            </w:pPr>
            <w:r>
              <w:rPr>
                <w:rFonts w:ascii="宋体" w:hAnsi="宋体" w:hint="eastAsia"/>
                <w:szCs w:val="21"/>
              </w:rPr>
              <w:t>（排名</w:t>
            </w:r>
            <w:r>
              <w:rPr>
                <w:rFonts w:ascii="宋体" w:hAnsi="宋体"/>
                <w:szCs w:val="21"/>
              </w:rPr>
              <w:t>不分先后</w:t>
            </w:r>
            <w:r>
              <w:rPr>
                <w:rFonts w:ascii="宋体" w:hAnsi="宋体" w:hint="eastAsia"/>
                <w:szCs w:val="21"/>
              </w:rPr>
              <w:t>）</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04FA9" w:rsidRPr="00C12D83" w:rsidRDefault="00C86D11" w:rsidP="00CE26CA">
            <w:pPr>
              <w:jc w:val="left"/>
              <w:rPr>
                <w:rFonts w:ascii="宋体" w:hAnsi="宋体"/>
                <w:b/>
                <w:szCs w:val="21"/>
              </w:rPr>
            </w:pPr>
            <w:r w:rsidRPr="00C12D83">
              <w:rPr>
                <w:rFonts w:ascii="宋体" w:hAnsi="宋体" w:hint="eastAsia"/>
                <w:b/>
                <w:szCs w:val="21"/>
              </w:rPr>
              <w:t>1</w:t>
            </w:r>
            <w:r w:rsidR="00C50C6B" w:rsidRPr="00C12D83">
              <w:rPr>
                <w:rFonts w:ascii="宋体" w:hAnsi="宋体" w:hint="eastAsia"/>
                <w:b/>
                <w:szCs w:val="21"/>
              </w:rPr>
              <w:t>、</w:t>
            </w:r>
            <w:r w:rsidR="00204FA9" w:rsidRPr="00C12D83">
              <w:rPr>
                <w:rFonts w:ascii="宋体" w:hAnsi="宋体" w:hint="eastAsia"/>
                <w:b/>
                <w:szCs w:val="21"/>
              </w:rPr>
              <w:t>2</w:t>
            </w:r>
            <w:r w:rsidR="00204FA9" w:rsidRPr="00C12D83">
              <w:rPr>
                <w:rFonts w:ascii="宋体" w:hAnsi="宋体"/>
                <w:b/>
                <w:szCs w:val="21"/>
              </w:rPr>
              <w:t>022</w:t>
            </w:r>
            <w:r w:rsidR="00204FA9" w:rsidRPr="00C12D83">
              <w:rPr>
                <w:rFonts w:ascii="宋体" w:hAnsi="宋体" w:hint="eastAsia"/>
                <w:b/>
                <w:szCs w:val="21"/>
              </w:rPr>
              <w:t>年</w:t>
            </w:r>
            <w:r w:rsidR="00204FA9" w:rsidRPr="00C12D83">
              <w:rPr>
                <w:rFonts w:ascii="宋体" w:hAnsi="宋体"/>
                <w:b/>
                <w:szCs w:val="21"/>
              </w:rPr>
              <w:t>0</w:t>
            </w:r>
            <w:r w:rsidR="00472539" w:rsidRPr="00C12D83">
              <w:rPr>
                <w:rFonts w:ascii="宋体" w:hAnsi="宋体"/>
                <w:b/>
                <w:szCs w:val="21"/>
              </w:rPr>
              <w:t>4</w:t>
            </w:r>
            <w:r w:rsidR="00204FA9" w:rsidRPr="00C12D83">
              <w:rPr>
                <w:rFonts w:ascii="宋体" w:hAnsi="宋体" w:hint="eastAsia"/>
                <w:b/>
                <w:szCs w:val="21"/>
              </w:rPr>
              <w:t>月</w:t>
            </w:r>
            <w:r w:rsidR="00472539" w:rsidRPr="00C12D83">
              <w:rPr>
                <w:rFonts w:ascii="宋体" w:hAnsi="宋体"/>
                <w:b/>
                <w:szCs w:val="21"/>
              </w:rPr>
              <w:t>26</w:t>
            </w:r>
            <w:r w:rsidR="00204FA9" w:rsidRPr="00C12D83">
              <w:rPr>
                <w:rFonts w:ascii="宋体" w:hAnsi="宋体" w:hint="eastAsia"/>
                <w:b/>
                <w:szCs w:val="21"/>
              </w:rPr>
              <w:t>日</w:t>
            </w:r>
            <w:r w:rsidR="00472539" w:rsidRPr="00C12D83">
              <w:rPr>
                <w:rFonts w:ascii="宋体" w:hAnsi="宋体"/>
                <w:b/>
                <w:szCs w:val="21"/>
              </w:rPr>
              <w:t>15</w:t>
            </w:r>
            <w:r w:rsidR="00472539" w:rsidRPr="00C12D83">
              <w:rPr>
                <w:rFonts w:ascii="宋体" w:hAnsi="宋体" w:hint="eastAsia"/>
                <w:b/>
                <w:szCs w:val="21"/>
              </w:rPr>
              <w:t>:0</w:t>
            </w:r>
            <w:r w:rsidR="00472539" w:rsidRPr="00C12D83">
              <w:rPr>
                <w:rFonts w:ascii="宋体" w:hAnsi="宋体"/>
                <w:b/>
                <w:szCs w:val="21"/>
              </w:rPr>
              <w:t>0</w:t>
            </w:r>
            <w:r w:rsidR="00204FA9" w:rsidRPr="00C12D83">
              <w:rPr>
                <w:rFonts w:ascii="宋体" w:hAnsi="宋体" w:hint="eastAsia"/>
                <w:b/>
                <w:szCs w:val="21"/>
              </w:rPr>
              <w:t>，</w:t>
            </w:r>
            <w:r w:rsidR="00472539" w:rsidRPr="00C12D83">
              <w:rPr>
                <w:rFonts w:ascii="宋体" w:hAnsi="宋体" w:hint="eastAsia"/>
                <w:b/>
                <w:szCs w:val="21"/>
              </w:rPr>
              <w:t>电话会议</w:t>
            </w:r>
          </w:p>
          <w:p w:rsidR="00C86D11" w:rsidRPr="00C12D83" w:rsidRDefault="00C86D11" w:rsidP="00CE26CA">
            <w:pPr>
              <w:widowControl/>
              <w:jc w:val="left"/>
              <w:rPr>
                <w:rFonts w:ascii="宋体" w:hAnsi="宋体"/>
                <w:szCs w:val="21"/>
              </w:rPr>
            </w:pPr>
            <w:r w:rsidRPr="00C86D11">
              <w:rPr>
                <w:rFonts w:ascii="Arial" w:hAnsi="Arial" w:cs="Arial"/>
                <w:kern w:val="0"/>
                <w:szCs w:val="21"/>
              </w:rPr>
              <w:t>北京知未私募基金</w:t>
            </w:r>
            <w:r w:rsidRPr="00C12D83">
              <w:rPr>
                <w:rFonts w:ascii="Arial" w:hAnsi="Arial" w:cs="Arial" w:hint="eastAsia"/>
                <w:kern w:val="0"/>
                <w:szCs w:val="21"/>
              </w:rPr>
              <w:t>、</w:t>
            </w:r>
            <w:r w:rsidRPr="00C86D11">
              <w:rPr>
                <w:rFonts w:ascii="Arial" w:hAnsi="Arial" w:cs="Arial"/>
                <w:kern w:val="0"/>
                <w:szCs w:val="21"/>
              </w:rPr>
              <w:t>博裕投资</w:t>
            </w:r>
            <w:r w:rsidRPr="00C12D83">
              <w:rPr>
                <w:rFonts w:ascii="Arial" w:hAnsi="Arial" w:cs="Arial" w:hint="eastAsia"/>
                <w:kern w:val="0"/>
                <w:szCs w:val="21"/>
              </w:rPr>
              <w:t>、</w:t>
            </w:r>
            <w:r w:rsidRPr="00C86D11">
              <w:rPr>
                <w:rFonts w:ascii="Arial" w:hAnsi="Arial" w:cs="Arial"/>
                <w:kern w:val="0"/>
                <w:szCs w:val="21"/>
              </w:rPr>
              <w:t>大藏资产</w:t>
            </w:r>
            <w:r w:rsidRPr="00C12D83">
              <w:rPr>
                <w:rFonts w:ascii="Arial" w:hAnsi="Arial" w:cs="Arial" w:hint="eastAsia"/>
                <w:kern w:val="0"/>
                <w:szCs w:val="21"/>
              </w:rPr>
              <w:t>、</w:t>
            </w:r>
            <w:r w:rsidRPr="00C86D11">
              <w:rPr>
                <w:rFonts w:ascii="Arial" w:hAnsi="Arial" w:cs="Arial"/>
                <w:kern w:val="0"/>
                <w:szCs w:val="21"/>
              </w:rPr>
              <w:t>东方证券</w:t>
            </w:r>
            <w:r w:rsidRPr="00C12D83">
              <w:rPr>
                <w:rFonts w:ascii="Arial" w:hAnsi="Arial" w:cs="Arial" w:hint="eastAsia"/>
                <w:kern w:val="0"/>
                <w:szCs w:val="21"/>
              </w:rPr>
              <w:t>、</w:t>
            </w:r>
            <w:r w:rsidRPr="00C86D11">
              <w:rPr>
                <w:rFonts w:ascii="Arial" w:hAnsi="Arial" w:cs="Arial"/>
                <w:kern w:val="0"/>
                <w:szCs w:val="21"/>
              </w:rPr>
              <w:t>东吴证券</w:t>
            </w:r>
            <w:r w:rsidRPr="00C12D83">
              <w:rPr>
                <w:rFonts w:ascii="Arial" w:hAnsi="Arial" w:cs="Arial" w:hint="eastAsia"/>
                <w:kern w:val="0"/>
                <w:szCs w:val="21"/>
              </w:rPr>
              <w:t>、</w:t>
            </w:r>
            <w:r w:rsidRPr="00C86D11">
              <w:rPr>
                <w:rFonts w:ascii="Arial" w:hAnsi="Arial" w:cs="Arial"/>
                <w:kern w:val="0"/>
                <w:szCs w:val="21"/>
              </w:rPr>
              <w:t>东兴证券</w:t>
            </w:r>
            <w:r w:rsidRPr="00C12D83">
              <w:rPr>
                <w:rFonts w:ascii="Arial" w:hAnsi="Arial" w:cs="Arial" w:hint="eastAsia"/>
                <w:kern w:val="0"/>
                <w:szCs w:val="21"/>
              </w:rPr>
              <w:t>、</w:t>
            </w:r>
            <w:r w:rsidRPr="00C86D11">
              <w:rPr>
                <w:rFonts w:ascii="Arial" w:hAnsi="Arial" w:cs="Arial"/>
                <w:kern w:val="0"/>
                <w:szCs w:val="21"/>
              </w:rPr>
              <w:t>光大保德信基金</w:t>
            </w:r>
            <w:r w:rsidRPr="00C12D83">
              <w:rPr>
                <w:rFonts w:ascii="Arial" w:hAnsi="Arial" w:cs="Arial" w:hint="eastAsia"/>
                <w:kern w:val="0"/>
                <w:szCs w:val="21"/>
              </w:rPr>
              <w:t>、</w:t>
            </w:r>
            <w:r w:rsidRPr="00C86D11">
              <w:rPr>
                <w:rFonts w:ascii="Arial" w:hAnsi="Arial" w:cs="Arial"/>
                <w:kern w:val="0"/>
                <w:szCs w:val="21"/>
              </w:rPr>
              <w:t>广发证券</w:t>
            </w:r>
            <w:r w:rsidRPr="00C12D83">
              <w:rPr>
                <w:rFonts w:ascii="Arial" w:hAnsi="Arial" w:cs="Arial" w:hint="eastAsia"/>
                <w:kern w:val="0"/>
                <w:szCs w:val="21"/>
              </w:rPr>
              <w:t>、</w:t>
            </w:r>
            <w:r w:rsidRPr="00C86D11">
              <w:rPr>
                <w:rFonts w:ascii="Arial" w:hAnsi="Arial" w:cs="Arial"/>
                <w:kern w:val="0"/>
                <w:szCs w:val="21"/>
              </w:rPr>
              <w:t>国金基金</w:t>
            </w:r>
            <w:r w:rsidRPr="00C12D83">
              <w:rPr>
                <w:rFonts w:ascii="Arial" w:hAnsi="Arial" w:cs="Arial" w:hint="eastAsia"/>
                <w:kern w:val="0"/>
                <w:szCs w:val="21"/>
              </w:rPr>
              <w:t>、</w:t>
            </w:r>
            <w:r w:rsidRPr="00C86D11">
              <w:rPr>
                <w:rFonts w:ascii="Arial" w:hAnsi="Arial" w:cs="Arial"/>
                <w:kern w:val="0"/>
                <w:szCs w:val="21"/>
              </w:rPr>
              <w:t>国金证券</w:t>
            </w:r>
            <w:r w:rsidRPr="00C12D83">
              <w:rPr>
                <w:rFonts w:ascii="Arial" w:hAnsi="Arial" w:cs="Arial" w:hint="eastAsia"/>
                <w:kern w:val="0"/>
                <w:szCs w:val="21"/>
              </w:rPr>
              <w:t>、</w:t>
            </w:r>
            <w:r w:rsidRPr="00C86D11">
              <w:rPr>
                <w:rFonts w:ascii="Arial" w:hAnsi="Arial" w:cs="Arial"/>
                <w:kern w:val="0"/>
                <w:szCs w:val="21"/>
              </w:rPr>
              <w:t>国盛证券</w:t>
            </w:r>
            <w:r w:rsidRPr="00C12D83">
              <w:rPr>
                <w:rFonts w:ascii="Arial" w:hAnsi="Arial" w:cs="Arial" w:hint="eastAsia"/>
                <w:kern w:val="0"/>
                <w:szCs w:val="21"/>
              </w:rPr>
              <w:t>、</w:t>
            </w:r>
            <w:r w:rsidRPr="00C86D11">
              <w:rPr>
                <w:rFonts w:ascii="Arial" w:hAnsi="Arial" w:cs="Arial"/>
                <w:kern w:val="0"/>
                <w:szCs w:val="21"/>
              </w:rPr>
              <w:t>杭州众钰投资</w:t>
            </w:r>
            <w:r w:rsidRPr="00C12D83">
              <w:rPr>
                <w:rFonts w:ascii="Arial" w:hAnsi="Arial" w:cs="Arial" w:hint="eastAsia"/>
                <w:kern w:val="0"/>
                <w:szCs w:val="21"/>
              </w:rPr>
              <w:t>、</w:t>
            </w:r>
            <w:r w:rsidRPr="00C86D11">
              <w:rPr>
                <w:rFonts w:ascii="Arial" w:hAnsi="Arial" w:cs="Arial"/>
                <w:kern w:val="0"/>
                <w:szCs w:val="21"/>
              </w:rPr>
              <w:t>华商基金</w:t>
            </w:r>
            <w:r w:rsidRPr="00C12D83">
              <w:rPr>
                <w:rFonts w:ascii="Arial" w:hAnsi="Arial" w:cs="Arial" w:hint="eastAsia"/>
                <w:kern w:val="0"/>
                <w:szCs w:val="21"/>
              </w:rPr>
              <w:t>、</w:t>
            </w:r>
            <w:r w:rsidRPr="00C86D11">
              <w:rPr>
                <w:rFonts w:ascii="Arial" w:hAnsi="Arial" w:cs="Arial"/>
                <w:kern w:val="0"/>
                <w:szCs w:val="21"/>
              </w:rPr>
              <w:t>汇添富基金</w:t>
            </w:r>
            <w:r w:rsidRPr="00C12D83">
              <w:rPr>
                <w:rFonts w:ascii="Arial" w:hAnsi="Arial" w:cs="Arial" w:hint="eastAsia"/>
                <w:kern w:val="0"/>
                <w:szCs w:val="21"/>
              </w:rPr>
              <w:t>、</w:t>
            </w:r>
            <w:r w:rsidRPr="00C86D11">
              <w:rPr>
                <w:rFonts w:ascii="Arial" w:hAnsi="Arial" w:cs="Arial"/>
                <w:kern w:val="0"/>
                <w:szCs w:val="21"/>
              </w:rPr>
              <w:t>开源证券</w:t>
            </w:r>
            <w:r w:rsidRPr="00C12D83">
              <w:rPr>
                <w:rFonts w:ascii="Arial" w:hAnsi="Arial" w:cs="Arial" w:hint="eastAsia"/>
                <w:kern w:val="0"/>
                <w:szCs w:val="21"/>
              </w:rPr>
              <w:t>、</w:t>
            </w:r>
            <w:r w:rsidRPr="00C86D11">
              <w:rPr>
                <w:rFonts w:ascii="Arial" w:hAnsi="Arial" w:cs="Arial"/>
                <w:kern w:val="0"/>
                <w:szCs w:val="21"/>
              </w:rPr>
              <w:t>申万研究所</w:t>
            </w:r>
            <w:r w:rsidRPr="00C12D83">
              <w:rPr>
                <w:rFonts w:ascii="Arial" w:hAnsi="Arial" w:cs="Arial" w:hint="eastAsia"/>
                <w:kern w:val="0"/>
                <w:szCs w:val="21"/>
              </w:rPr>
              <w:t>、</w:t>
            </w:r>
            <w:r w:rsidRPr="00C86D11">
              <w:rPr>
                <w:rFonts w:ascii="Arial" w:hAnsi="Arial" w:cs="Arial"/>
                <w:kern w:val="0"/>
                <w:szCs w:val="21"/>
              </w:rPr>
              <w:t>首创证券</w:t>
            </w:r>
            <w:r w:rsidRPr="00C12D83">
              <w:rPr>
                <w:rFonts w:ascii="Arial" w:hAnsi="Arial" w:cs="Arial" w:hint="eastAsia"/>
                <w:kern w:val="0"/>
                <w:szCs w:val="21"/>
              </w:rPr>
              <w:t>、</w:t>
            </w:r>
            <w:r w:rsidRPr="00C86D11">
              <w:rPr>
                <w:rFonts w:ascii="Arial" w:hAnsi="Arial" w:cs="Arial"/>
                <w:kern w:val="0"/>
                <w:szCs w:val="21"/>
              </w:rPr>
              <w:t>太平洋证券</w:t>
            </w:r>
            <w:r w:rsidRPr="00C12D83">
              <w:rPr>
                <w:rFonts w:ascii="Arial" w:hAnsi="Arial" w:cs="Arial" w:hint="eastAsia"/>
                <w:kern w:val="0"/>
                <w:szCs w:val="21"/>
              </w:rPr>
              <w:t>、</w:t>
            </w:r>
            <w:r w:rsidRPr="00C86D11">
              <w:rPr>
                <w:rFonts w:ascii="Arial" w:hAnsi="Arial" w:cs="Arial"/>
                <w:kern w:val="0"/>
                <w:szCs w:val="21"/>
              </w:rPr>
              <w:t>文多资产</w:t>
            </w:r>
            <w:r w:rsidRPr="00C12D83">
              <w:rPr>
                <w:rFonts w:ascii="Arial" w:hAnsi="Arial" w:cs="Arial" w:hint="eastAsia"/>
                <w:kern w:val="0"/>
                <w:szCs w:val="21"/>
              </w:rPr>
              <w:t>、</w:t>
            </w:r>
            <w:r w:rsidRPr="00C86D11">
              <w:rPr>
                <w:rFonts w:ascii="Arial" w:hAnsi="Arial" w:cs="Arial"/>
                <w:kern w:val="0"/>
                <w:szCs w:val="21"/>
              </w:rPr>
              <w:t>兴业基金</w:t>
            </w:r>
            <w:r w:rsidRPr="00C12D83">
              <w:rPr>
                <w:rFonts w:ascii="Arial" w:hAnsi="Arial" w:cs="Arial" w:hint="eastAsia"/>
                <w:kern w:val="0"/>
                <w:szCs w:val="21"/>
              </w:rPr>
              <w:t>、</w:t>
            </w:r>
            <w:r w:rsidRPr="00C86D11">
              <w:rPr>
                <w:rFonts w:ascii="Arial" w:hAnsi="Arial" w:cs="Arial"/>
                <w:kern w:val="0"/>
                <w:szCs w:val="21"/>
              </w:rPr>
              <w:t>兴业证券</w:t>
            </w:r>
            <w:r w:rsidRPr="00C12D83">
              <w:rPr>
                <w:rFonts w:ascii="Arial" w:hAnsi="Arial" w:cs="Arial" w:hint="eastAsia"/>
                <w:kern w:val="0"/>
                <w:szCs w:val="21"/>
              </w:rPr>
              <w:t>、</w:t>
            </w:r>
            <w:r w:rsidRPr="00C86D11">
              <w:rPr>
                <w:rFonts w:ascii="Arial" w:hAnsi="Arial" w:cs="Arial"/>
                <w:kern w:val="0"/>
                <w:szCs w:val="21"/>
              </w:rPr>
              <w:t>兴银基金</w:t>
            </w:r>
            <w:r w:rsidRPr="00C12D83">
              <w:rPr>
                <w:rFonts w:ascii="Arial" w:hAnsi="Arial" w:cs="Arial" w:hint="eastAsia"/>
                <w:kern w:val="0"/>
                <w:szCs w:val="21"/>
              </w:rPr>
              <w:t>、</w:t>
            </w:r>
            <w:r w:rsidRPr="00C86D11">
              <w:rPr>
                <w:rFonts w:ascii="Arial" w:hAnsi="Arial" w:cs="Arial"/>
                <w:kern w:val="0"/>
                <w:szCs w:val="21"/>
              </w:rPr>
              <w:t>雪石资产</w:t>
            </w:r>
            <w:r w:rsidRPr="00C12D83">
              <w:rPr>
                <w:rFonts w:ascii="Arial" w:hAnsi="Arial" w:cs="Arial" w:hint="eastAsia"/>
                <w:kern w:val="0"/>
                <w:szCs w:val="21"/>
              </w:rPr>
              <w:t>、</w:t>
            </w:r>
            <w:r w:rsidRPr="00C86D11">
              <w:rPr>
                <w:rFonts w:ascii="Arial" w:hAnsi="Arial" w:cs="Arial"/>
                <w:kern w:val="0"/>
                <w:szCs w:val="21"/>
              </w:rPr>
              <w:t>宇实投资</w:t>
            </w:r>
            <w:r w:rsidRPr="00C12D83">
              <w:rPr>
                <w:rFonts w:ascii="Arial" w:hAnsi="Arial" w:cs="Arial" w:hint="eastAsia"/>
                <w:kern w:val="0"/>
                <w:szCs w:val="21"/>
              </w:rPr>
              <w:t>、</w:t>
            </w:r>
            <w:r w:rsidRPr="00C86D11">
              <w:rPr>
                <w:rFonts w:ascii="Arial" w:hAnsi="Arial" w:cs="Arial"/>
                <w:kern w:val="0"/>
                <w:szCs w:val="21"/>
              </w:rPr>
              <w:t>长江证券</w:t>
            </w:r>
            <w:r w:rsidRPr="00C12D83">
              <w:rPr>
                <w:rFonts w:ascii="Arial" w:hAnsi="Arial" w:cs="Arial" w:hint="eastAsia"/>
                <w:kern w:val="0"/>
                <w:szCs w:val="21"/>
              </w:rPr>
              <w:t>、</w:t>
            </w:r>
            <w:r w:rsidRPr="00C86D11">
              <w:rPr>
                <w:rFonts w:ascii="Arial" w:hAnsi="Arial" w:cs="Arial"/>
                <w:kern w:val="0"/>
                <w:szCs w:val="21"/>
              </w:rPr>
              <w:t>长盛基金</w:t>
            </w:r>
            <w:r w:rsidRPr="00C12D83">
              <w:rPr>
                <w:rFonts w:ascii="Arial" w:hAnsi="Arial" w:cs="Arial" w:hint="eastAsia"/>
                <w:kern w:val="0"/>
                <w:szCs w:val="21"/>
              </w:rPr>
              <w:t>、</w:t>
            </w:r>
            <w:r w:rsidRPr="00C86D11">
              <w:rPr>
                <w:rFonts w:ascii="Arial" w:hAnsi="Arial" w:cs="Arial"/>
                <w:kern w:val="0"/>
                <w:szCs w:val="21"/>
              </w:rPr>
              <w:t>浙商证券</w:t>
            </w:r>
            <w:r w:rsidRPr="00C12D83">
              <w:rPr>
                <w:rFonts w:ascii="Arial" w:hAnsi="Arial" w:cs="Arial" w:hint="eastAsia"/>
                <w:kern w:val="0"/>
                <w:szCs w:val="21"/>
              </w:rPr>
              <w:t>、</w:t>
            </w:r>
            <w:r w:rsidRPr="00C86D11">
              <w:rPr>
                <w:rFonts w:ascii="Arial" w:hAnsi="Arial" w:cs="Arial"/>
                <w:kern w:val="0"/>
                <w:szCs w:val="21"/>
              </w:rPr>
              <w:t>中兵财富</w:t>
            </w:r>
            <w:r w:rsidRPr="00C12D83">
              <w:rPr>
                <w:rFonts w:ascii="Arial" w:hAnsi="Arial" w:cs="Arial" w:hint="eastAsia"/>
                <w:kern w:val="0"/>
                <w:szCs w:val="21"/>
              </w:rPr>
              <w:t>、</w:t>
            </w:r>
            <w:r w:rsidRPr="00C86D11">
              <w:rPr>
                <w:rFonts w:ascii="Arial" w:hAnsi="Arial" w:cs="Arial"/>
                <w:kern w:val="0"/>
                <w:szCs w:val="21"/>
              </w:rPr>
              <w:t>中金公司</w:t>
            </w:r>
            <w:r w:rsidRPr="00C12D83">
              <w:rPr>
                <w:rFonts w:ascii="Arial" w:hAnsi="Arial" w:cs="Arial" w:hint="eastAsia"/>
                <w:kern w:val="0"/>
                <w:szCs w:val="21"/>
              </w:rPr>
              <w:t>、</w:t>
            </w:r>
            <w:r w:rsidRPr="00C86D11">
              <w:rPr>
                <w:rFonts w:ascii="Arial" w:hAnsi="Arial" w:cs="Arial"/>
                <w:kern w:val="0"/>
                <w:szCs w:val="21"/>
              </w:rPr>
              <w:t>中金资管</w:t>
            </w:r>
            <w:r w:rsidRPr="00C12D83">
              <w:rPr>
                <w:rFonts w:ascii="Arial" w:hAnsi="Arial" w:cs="Arial" w:hint="eastAsia"/>
                <w:kern w:val="0"/>
                <w:szCs w:val="21"/>
              </w:rPr>
              <w:t>、</w:t>
            </w:r>
            <w:r w:rsidRPr="00C86D11">
              <w:rPr>
                <w:rFonts w:ascii="Arial" w:hAnsi="Arial" w:cs="Arial"/>
                <w:kern w:val="0"/>
                <w:szCs w:val="21"/>
              </w:rPr>
              <w:t>中泰证券</w:t>
            </w:r>
            <w:r w:rsidRPr="00C12D83">
              <w:rPr>
                <w:rFonts w:ascii="Arial" w:hAnsi="Arial" w:cs="Arial" w:hint="eastAsia"/>
                <w:kern w:val="0"/>
                <w:szCs w:val="21"/>
              </w:rPr>
              <w:t>、</w:t>
            </w:r>
            <w:r w:rsidRPr="00C86D11">
              <w:rPr>
                <w:rFonts w:ascii="Arial" w:hAnsi="Arial" w:cs="Arial"/>
                <w:kern w:val="0"/>
                <w:szCs w:val="21"/>
              </w:rPr>
              <w:t>中银证券</w:t>
            </w:r>
            <w:r w:rsidR="00225D51">
              <w:rPr>
                <w:rFonts w:ascii="Arial" w:hAnsi="Arial" w:cs="Arial" w:hint="eastAsia"/>
                <w:kern w:val="0"/>
                <w:szCs w:val="21"/>
              </w:rPr>
              <w:t>及</w:t>
            </w:r>
            <w:r w:rsidR="00225D51" w:rsidRPr="00C86D11">
              <w:rPr>
                <w:rFonts w:ascii="Arial" w:hAnsi="Arial" w:cs="Arial"/>
                <w:kern w:val="0"/>
                <w:szCs w:val="21"/>
              </w:rPr>
              <w:t>个人投资者</w:t>
            </w:r>
            <w:r w:rsidRPr="00C12D83">
              <w:rPr>
                <w:rFonts w:ascii="Arial" w:hAnsi="Arial" w:cs="Arial" w:hint="eastAsia"/>
                <w:kern w:val="0"/>
                <w:szCs w:val="21"/>
              </w:rPr>
              <w:t>。</w:t>
            </w:r>
          </w:p>
          <w:p w:rsidR="00206638" w:rsidRPr="00C12D83" w:rsidRDefault="00C86D11" w:rsidP="00CE26CA">
            <w:pPr>
              <w:jc w:val="left"/>
              <w:rPr>
                <w:rFonts w:ascii="宋体" w:hAnsi="宋体"/>
                <w:b/>
                <w:szCs w:val="21"/>
              </w:rPr>
            </w:pPr>
            <w:r w:rsidRPr="00C12D83">
              <w:rPr>
                <w:rFonts w:ascii="宋体" w:hAnsi="宋体" w:hint="eastAsia"/>
                <w:b/>
                <w:szCs w:val="21"/>
              </w:rPr>
              <w:t>2</w:t>
            </w:r>
            <w:r w:rsidR="0065700E" w:rsidRPr="00C12D83">
              <w:rPr>
                <w:rFonts w:ascii="宋体" w:hAnsi="宋体" w:hint="eastAsia"/>
                <w:b/>
                <w:szCs w:val="21"/>
              </w:rPr>
              <w:t>、2</w:t>
            </w:r>
            <w:r w:rsidR="0065700E" w:rsidRPr="00C12D83">
              <w:rPr>
                <w:rFonts w:ascii="宋体" w:hAnsi="宋体"/>
                <w:b/>
                <w:szCs w:val="21"/>
              </w:rPr>
              <w:t>022</w:t>
            </w:r>
            <w:r w:rsidR="0065700E" w:rsidRPr="00C12D83">
              <w:rPr>
                <w:rFonts w:ascii="宋体" w:hAnsi="宋体" w:hint="eastAsia"/>
                <w:b/>
                <w:szCs w:val="21"/>
              </w:rPr>
              <w:t>年</w:t>
            </w:r>
            <w:r w:rsidR="0065700E" w:rsidRPr="00C12D83">
              <w:rPr>
                <w:rFonts w:ascii="宋体" w:hAnsi="宋体"/>
                <w:b/>
                <w:szCs w:val="21"/>
              </w:rPr>
              <w:t>05</w:t>
            </w:r>
            <w:r w:rsidR="0065700E" w:rsidRPr="00C12D83">
              <w:rPr>
                <w:rFonts w:ascii="宋体" w:hAnsi="宋体" w:hint="eastAsia"/>
                <w:b/>
                <w:szCs w:val="21"/>
              </w:rPr>
              <w:t>月</w:t>
            </w:r>
            <w:r w:rsidR="0065700E" w:rsidRPr="00C12D83">
              <w:rPr>
                <w:rFonts w:ascii="宋体" w:hAnsi="宋体"/>
                <w:b/>
                <w:szCs w:val="21"/>
              </w:rPr>
              <w:t>06</w:t>
            </w:r>
            <w:r w:rsidR="0065700E" w:rsidRPr="00C12D83">
              <w:rPr>
                <w:rFonts w:ascii="宋体" w:hAnsi="宋体" w:hint="eastAsia"/>
                <w:b/>
                <w:szCs w:val="21"/>
              </w:rPr>
              <w:t>日</w:t>
            </w:r>
            <w:r w:rsidR="0065700E" w:rsidRPr="00C12D83">
              <w:rPr>
                <w:rFonts w:ascii="宋体" w:hAnsi="宋体"/>
                <w:b/>
                <w:szCs w:val="21"/>
              </w:rPr>
              <w:t>1</w:t>
            </w:r>
            <w:r w:rsidR="00307ECF" w:rsidRPr="00C12D83">
              <w:rPr>
                <w:rFonts w:ascii="宋体" w:hAnsi="宋体"/>
                <w:b/>
                <w:szCs w:val="21"/>
              </w:rPr>
              <w:t>1</w:t>
            </w:r>
            <w:r w:rsidR="0065700E" w:rsidRPr="00C12D83">
              <w:rPr>
                <w:rFonts w:ascii="宋体" w:hAnsi="宋体" w:hint="eastAsia"/>
                <w:b/>
                <w:szCs w:val="21"/>
              </w:rPr>
              <w:t>:0</w:t>
            </w:r>
            <w:r w:rsidR="0065700E" w:rsidRPr="00C12D83">
              <w:rPr>
                <w:rFonts w:ascii="宋体" w:hAnsi="宋体"/>
                <w:b/>
                <w:szCs w:val="21"/>
              </w:rPr>
              <w:t>0</w:t>
            </w:r>
            <w:r w:rsidR="0065700E" w:rsidRPr="00C12D83">
              <w:rPr>
                <w:rFonts w:ascii="宋体" w:hAnsi="宋体" w:hint="eastAsia"/>
                <w:b/>
                <w:szCs w:val="21"/>
              </w:rPr>
              <w:t>，线上业绩说明会</w:t>
            </w:r>
          </w:p>
          <w:p w:rsidR="00472539" w:rsidRPr="00C12D83" w:rsidRDefault="00C86D11" w:rsidP="00CE26CA">
            <w:pPr>
              <w:jc w:val="left"/>
              <w:rPr>
                <w:rFonts w:ascii="宋体" w:hAnsi="宋体"/>
                <w:b/>
                <w:szCs w:val="21"/>
              </w:rPr>
            </w:pPr>
            <w:r w:rsidRPr="00C12D83">
              <w:rPr>
                <w:rFonts w:ascii="宋体" w:hAnsi="宋体" w:hint="eastAsia"/>
                <w:b/>
                <w:szCs w:val="21"/>
              </w:rPr>
              <w:t>3</w:t>
            </w:r>
            <w:r w:rsidR="00472539" w:rsidRPr="00C12D83">
              <w:rPr>
                <w:rFonts w:ascii="宋体" w:hAnsi="宋体" w:hint="eastAsia"/>
                <w:b/>
                <w:szCs w:val="21"/>
              </w:rPr>
              <w:t>、2</w:t>
            </w:r>
            <w:r w:rsidR="00472539" w:rsidRPr="00C12D83">
              <w:rPr>
                <w:rFonts w:ascii="宋体" w:hAnsi="宋体"/>
                <w:b/>
                <w:szCs w:val="21"/>
              </w:rPr>
              <w:t>022</w:t>
            </w:r>
            <w:r w:rsidR="00472539" w:rsidRPr="00C12D83">
              <w:rPr>
                <w:rFonts w:ascii="宋体" w:hAnsi="宋体" w:hint="eastAsia"/>
                <w:b/>
                <w:szCs w:val="21"/>
              </w:rPr>
              <w:t>年</w:t>
            </w:r>
            <w:r w:rsidR="00472539" w:rsidRPr="00C12D83">
              <w:rPr>
                <w:rFonts w:ascii="宋体" w:hAnsi="宋体"/>
                <w:b/>
                <w:szCs w:val="21"/>
              </w:rPr>
              <w:t>06</w:t>
            </w:r>
            <w:r w:rsidR="00472539" w:rsidRPr="00C12D83">
              <w:rPr>
                <w:rFonts w:ascii="宋体" w:hAnsi="宋体" w:hint="eastAsia"/>
                <w:b/>
                <w:szCs w:val="21"/>
              </w:rPr>
              <w:t>月</w:t>
            </w:r>
            <w:r w:rsidR="00472539" w:rsidRPr="00C12D83">
              <w:rPr>
                <w:rFonts w:ascii="宋体" w:hAnsi="宋体"/>
                <w:b/>
                <w:szCs w:val="21"/>
              </w:rPr>
              <w:t>15</w:t>
            </w:r>
            <w:r w:rsidR="00472539" w:rsidRPr="00C12D83">
              <w:rPr>
                <w:rFonts w:ascii="宋体" w:hAnsi="宋体" w:hint="eastAsia"/>
                <w:b/>
                <w:szCs w:val="21"/>
              </w:rPr>
              <w:t>日1</w:t>
            </w:r>
            <w:r w:rsidR="00307ECF" w:rsidRPr="00C12D83">
              <w:rPr>
                <w:rFonts w:ascii="宋体" w:hAnsi="宋体"/>
                <w:b/>
                <w:szCs w:val="21"/>
              </w:rPr>
              <w:t>4</w:t>
            </w:r>
            <w:r w:rsidR="00472539" w:rsidRPr="00C12D83">
              <w:rPr>
                <w:rFonts w:ascii="宋体" w:hAnsi="宋体" w:hint="eastAsia"/>
                <w:b/>
                <w:szCs w:val="21"/>
              </w:rPr>
              <w:t>:</w:t>
            </w:r>
            <w:r w:rsidR="00307ECF" w:rsidRPr="00C12D83">
              <w:rPr>
                <w:rFonts w:ascii="宋体" w:hAnsi="宋体"/>
                <w:b/>
                <w:szCs w:val="21"/>
              </w:rPr>
              <w:t>0</w:t>
            </w:r>
            <w:r w:rsidR="00472539" w:rsidRPr="00C12D83">
              <w:rPr>
                <w:rFonts w:ascii="宋体" w:hAnsi="宋体"/>
                <w:b/>
                <w:szCs w:val="21"/>
              </w:rPr>
              <w:t>0</w:t>
            </w:r>
            <w:r w:rsidR="00472539" w:rsidRPr="00C12D83">
              <w:rPr>
                <w:rFonts w:ascii="宋体" w:hAnsi="宋体" w:hint="eastAsia"/>
                <w:b/>
                <w:szCs w:val="21"/>
              </w:rPr>
              <w:t>，特定对象调研</w:t>
            </w:r>
          </w:p>
          <w:p w:rsidR="00472539" w:rsidRPr="00C12D83" w:rsidRDefault="00472539" w:rsidP="00CE26CA">
            <w:pPr>
              <w:widowControl/>
              <w:jc w:val="left"/>
              <w:rPr>
                <w:rFonts w:ascii="宋体" w:hAnsi="宋体"/>
                <w:szCs w:val="21"/>
              </w:rPr>
            </w:pPr>
            <w:r w:rsidRPr="00C12D83">
              <w:rPr>
                <w:rFonts w:ascii="宋体" w:hAnsi="宋体" w:cs="宋体"/>
                <w:kern w:val="0"/>
                <w:szCs w:val="21"/>
              </w:rPr>
              <w:t>中证鹏元</w:t>
            </w:r>
            <w:r w:rsidRPr="00C12D83">
              <w:rPr>
                <w:rFonts w:ascii="宋体" w:hAnsi="宋体" w:cs="宋体" w:hint="eastAsia"/>
                <w:kern w:val="0"/>
                <w:szCs w:val="21"/>
              </w:rPr>
              <w:t>、</w:t>
            </w:r>
            <w:r w:rsidRPr="00C12D83">
              <w:rPr>
                <w:rFonts w:ascii="宋体" w:hAnsi="宋体" w:cs="宋体"/>
                <w:kern w:val="0"/>
                <w:szCs w:val="21"/>
              </w:rPr>
              <w:t>上银基金</w:t>
            </w:r>
            <w:r w:rsidRPr="00C12D83">
              <w:rPr>
                <w:rFonts w:ascii="宋体" w:hAnsi="宋体" w:cs="宋体" w:hint="eastAsia"/>
                <w:kern w:val="0"/>
                <w:szCs w:val="21"/>
              </w:rPr>
              <w:t>、</w:t>
            </w:r>
            <w:r w:rsidRPr="00C12D83">
              <w:rPr>
                <w:rFonts w:ascii="宋体" w:hAnsi="宋体" w:cs="宋体"/>
                <w:kern w:val="0"/>
                <w:szCs w:val="21"/>
              </w:rPr>
              <w:t>兴全基金</w:t>
            </w:r>
            <w:r w:rsidRPr="00C12D83">
              <w:rPr>
                <w:rFonts w:ascii="宋体" w:hAnsi="宋体" w:cs="宋体" w:hint="eastAsia"/>
                <w:kern w:val="0"/>
                <w:szCs w:val="21"/>
              </w:rPr>
              <w:t>、</w:t>
            </w:r>
            <w:r w:rsidRPr="00C12D83">
              <w:rPr>
                <w:rFonts w:ascii="宋体" w:hAnsi="宋体" w:cs="宋体"/>
                <w:kern w:val="0"/>
                <w:szCs w:val="21"/>
              </w:rPr>
              <w:t>磐厚动量</w:t>
            </w:r>
            <w:r w:rsidRPr="00C12D83">
              <w:rPr>
                <w:rFonts w:ascii="宋体" w:hAnsi="宋体" w:cs="宋体" w:hint="eastAsia"/>
                <w:kern w:val="0"/>
                <w:szCs w:val="21"/>
              </w:rPr>
              <w:t>、</w:t>
            </w:r>
            <w:r w:rsidRPr="00C12D83">
              <w:rPr>
                <w:rFonts w:ascii="宋体" w:hAnsi="宋体" w:cs="宋体"/>
                <w:kern w:val="0"/>
                <w:szCs w:val="21"/>
              </w:rPr>
              <w:t>招银理财</w:t>
            </w:r>
            <w:r w:rsidRPr="00C12D83">
              <w:rPr>
                <w:rFonts w:ascii="宋体" w:hAnsi="宋体" w:cs="宋体" w:hint="eastAsia"/>
                <w:kern w:val="0"/>
                <w:szCs w:val="21"/>
              </w:rPr>
              <w:t>、</w:t>
            </w:r>
            <w:r w:rsidRPr="00C12D83">
              <w:rPr>
                <w:rFonts w:ascii="宋体" w:hAnsi="宋体" w:cs="宋体"/>
                <w:kern w:val="0"/>
                <w:szCs w:val="21"/>
              </w:rPr>
              <w:t>山西证券</w:t>
            </w:r>
            <w:r w:rsidR="007B07D1" w:rsidRPr="00C12D83">
              <w:rPr>
                <w:rFonts w:ascii="宋体" w:hAnsi="宋体" w:cs="宋体" w:hint="eastAsia"/>
                <w:kern w:val="0"/>
                <w:szCs w:val="21"/>
              </w:rPr>
              <w:t>。</w:t>
            </w:r>
          </w:p>
          <w:p w:rsidR="00C06435" w:rsidRPr="00C12D83" w:rsidRDefault="00C86D11" w:rsidP="00CE26CA">
            <w:pPr>
              <w:jc w:val="left"/>
              <w:rPr>
                <w:rFonts w:ascii="宋体" w:hAnsi="宋体"/>
                <w:b/>
                <w:szCs w:val="21"/>
              </w:rPr>
            </w:pPr>
            <w:r w:rsidRPr="00C12D83">
              <w:rPr>
                <w:rFonts w:ascii="宋体" w:hAnsi="宋体" w:hint="eastAsia"/>
                <w:b/>
                <w:szCs w:val="21"/>
              </w:rPr>
              <w:t>4</w:t>
            </w:r>
            <w:r w:rsidR="00204FA9" w:rsidRPr="00C12D83">
              <w:rPr>
                <w:rFonts w:ascii="宋体" w:hAnsi="宋体"/>
                <w:b/>
                <w:szCs w:val="21"/>
              </w:rPr>
              <w:t>、</w:t>
            </w:r>
            <w:r w:rsidR="00C50C6B" w:rsidRPr="00C12D83">
              <w:rPr>
                <w:rFonts w:ascii="宋体" w:hAnsi="宋体" w:hint="eastAsia"/>
                <w:b/>
                <w:szCs w:val="21"/>
              </w:rPr>
              <w:t>2</w:t>
            </w:r>
            <w:r w:rsidR="00C50C6B" w:rsidRPr="00C12D83">
              <w:rPr>
                <w:rFonts w:ascii="宋体" w:hAnsi="宋体"/>
                <w:b/>
                <w:szCs w:val="21"/>
              </w:rPr>
              <w:t>022</w:t>
            </w:r>
            <w:r w:rsidR="00C50C6B" w:rsidRPr="00C12D83">
              <w:rPr>
                <w:rFonts w:ascii="宋体" w:hAnsi="宋体" w:hint="eastAsia"/>
                <w:b/>
                <w:szCs w:val="21"/>
              </w:rPr>
              <w:t>年</w:t>
            </w:r>
            <w:r w:rsidR="00C50C6B" w:rsidRPr="00C12D83">
              <w:rPr>
                <w:rFonts w:ascii="宋体" w:hAnsi="宋体"/>
                <w:b/>
                <w:szCs w:val="21"/>
              </w:rPr>
              <w:t>0</w:t>
            </w:r>
            <w:r w:rsidR="00D365B7" w:rsidRPr="00C12D83">
              <w:rPr>
                <w:rFonts w:ascii="宋体" w:hAnsi="宋体"/>
                <w:b/>
                <w:szCs w:val="21"/>
              </w:rPr>
              <w:t>6</w:t>
            </w:r>
            <w:r w:rsidR="00C50C6B" w:rsidRPr="00C12D83">
              <w:rPr>
                <w:rFonts w:ascii="宋体" w:hAnsi="宋体" w:hint="eastAsia"/>
                <w:b/>
                <w:szCs w:val="21"/>
              </w:rPr>
              <w:t>月</w:t>
            </w:r>
            <w:r w:rsidR="00D365B7" w:rsidRPr="00C12D83">
              <w:rPr>
                <w:rFonts w:ascii="宋体" w:hAnsi="宋体"/>
                <w:b/>
                <w:szCs w:val="21"/>
              </w:rPr>
              <w:t>23</w:t>
            </w:r>
            <w:r w:rsidR="00C50C6B" w:rsidRPr="00C12D83">
              <w:rPr>
                <w:rFonts w:ascii="宋体" w:hAnsi="宋体" w:hint="eastAsia"/>
                <w:b/>
                <w:szCs w:val="21"/>
              </w:rPr>
              <w:t>日1</w:t>
            </w:r>
            <w:r w:rsidR="00D365B7" w:rsidRPr="00C12D83">
              <w:rPr>
                <w:rFonts w:ascii="宋体" w:hAnsi="宋体"/>
                <w:b/>
                <w:szCs w:val="21"/>
              </w:rPr>
              <w:t>3</w:t>
            </w:r>
            <w:r w:rsidR="00C50C6B" w:rsidRPr="00C12D83">
              <w:rPr>
                <w:rFonts w:ascii="宋体" w:hAnsi="宋体" w:hint="eastAsia"/>
                <w:b/>
                <w:szCs w:val="21"/>
              </w:rPr>
              <w:t>:</w:t>
            </w:r>
            <w:r w:rsidR="00D365B7" w:rsidRPr="00C12D83">
              <w:rPr>
                <w:rFonts w:ascii="宋体" w:hAnsi="宋体"/>
                <w:b/>
                <w:szCs w:val="21"/>
              </w:rPr>
              <w:t>3</w:t>
            </w:r>
            <w:r w:rsidR="00C50C6B" w:rsidRPr="00C12D83">
              <w:rPr>
                <w:rFonts w:ascii="宋体" w:hAnsi="宋体"/>
                <w:b/>
                <w:szCs w:val="21"/>
              </w:rPr>
              <w:t>0</w:t>
            </w:r>
            <w:r w:rsidR="00533A25" w:rsidRPr="00C12D83">
              <w:rPr>
                <w:rFonts w:ascii="宋体" w:hAnsi="宋体" w:hint="eastAsia"/>
                <w:b/>
                <w:szCs w:val="21"/>
              </w:rPr>
              <w:t>，</w:t>
            </w:r>
            <w:r w:rsidR="00D365B7" w:rsidRPr="00C12D83">
              <w:rPr>
                <w:rFonts w:ascii="宋体" w:hAnsi="宋体" w:hint="eastAsia"/>
                <w:b/>
                <w:szCs w:val="21"/>
              </w:rPr>
              <w:t>电话会议</w:t>
            </w:r>
          </w:p>
          <w:p w:rsidR="006D6758" w:rsidRPr="00C12D83" w:rsidRDefault="006D6758" w:rsidP="00CE26CA">
            <w:pPr>
              <w:widowControl/>
              <w:jc w:val="left"/>
              <w:rPr>
                <w:rFonts w:ascii="宋体" w:hAnsi="宋体"/>
                <w:b/>
                <w:szCs w:val="21"/>
              </w:rPr>
            </w:pPr>
            <w:r w:rsidRPr="00C12D83">
              <w:rPr>
                <w:rFonts w:ascii="宋体" w:hAnsi="宋体" w:cs="宋体" w:hint="eastAsia"/>
                <w:kern w:val="0"/>
                <w:szCs w:val="21"/>
              </w:rPr>
              <w:t>摩根华鑫、长江养老、万家基金、中银证券、农银汇理基金、中银理财、建信人寿、中信建投资管、华安基金、华宝信托、汇华理财</w:t>
            </w:r>
            <w:r w:rsidR="007B07D1" w:rsidRPr="00C12D83">
              <w:rPr>
                <w:rFonts w:ascii="宋体" w:hAnsi="宋体" w:cs="宋体" w:hint="eastAsia"/>
                <w:kern w:val="0"/>
                <w:szCs w:val="21"/>
              </w:rPr>
              <w:t>。</w:t>
            </w:r>
          </w:p>
          <w:p w:rsidR="00C50C6B" w:rsidRPr="00C12D83" w:rsidRDefault="00C86D11" w:rsidP="00CE26CA">
            <w:pPr>
              <w:jc w:val="left"/>
              <w:rPr>
                <w:rFonts w:ascii="宋体" w:hAnsi="宋体"/>
                <w:b/>
                <w:szCs w:val="21"/>
              </w:rPr>
            </w:pPr>
            <w:r w:rsidRPr="00C12D83">
              <w:rPr>
                <w:rFonts w:ascii="宋体" w:hAnsi="宋体" w:hint="eastAsia"/>
                <w:b/>
                <w:szCs w:val="21"/>
              </w:rPr>
              <w:t>5</w:t>
            </w:r>
            <w:r w:rsidR="00C50C6B" w:rsidRPr="00C12D83">
              <w:rPr>
                <w:rFonts w:ascii="宋体" w:hAnsi="宋体" w:hint="eastAsia"/>
                <w:b/>
                <w:szCs w:val="21"/>
              </w:rPr>
              <w:t>、</w:t>
            </w:r>
            <w:r w:rsidR="00947692" w:rsidRPr="00C12D83">
              <w:rPr>
                <w:rFonts w:ascii="宋体" w:hAnsi="宋体" w:hint="eastAsia"/>
                <w:b/>
                <w:szCs w:val="21"/>
              </w:rPr>
              <w:t>2</w:t>
            </w:r>
            <w:r w:rsidR="00947692" w:rsidRPr="00C12D83">
              <w:rPr>
                <w:rFonts w:ascii="宋体" w:hAnsi="宋体"/>
                <w:b/>
                <w:szCs w:val="21"/>
              </w:rPr>
              <w:t>022</w:t>
            </w:r>
            <w:r w:rsidR="00947692" w:rsidRPr="00C12D83">
              <w:rPr>
                <w:rFonts w:ascii="宋体" w:hAnsi="宋体" w:hint="eastAsia"/>
                <w:b/>
                <w:szCs w:val="21"/>
              </w:rPr>
              <w:t>年0</w:t>
            </w:r>
            <w:r w:rsidR="00D365B7" w:rsidRPr="00C12D83">
              <w:rPr>
                <w:rFonts w:ascii="宋体" w:hAnsi="宋体"/>
                <w:b/>
                <w:szCs w:val="21"/>
              </w:rPr>
              <w:t>6</w:t>
            </w:r>
            <w:r w:rsidR="00947692" w:rsidRPr="00C12D83">
              <w:rPr>
                <w:rFonts w:ascii="宋体" w:hAnsi="宋体" w:hint="eastAsia"/>
                <w:b/>
                <w:szCs w:val="21"/>
              </w:rPr>
              <w:t>月</w:t>
            </w:r>
            <w:r w:rsidR="00D365B7" w:rsidRPr="00C12D83">
              <w:rPr>
                <w:rFonts w:ascii="宋体" w:hAnsi="宋体"/>
                <w:b/>
                <w:szCs w:val="21"/>
              </w:rPr>
              <w:t>24</w:t>
            </w:r>
            <w:r w:rsidR="00947692" w:rsidRPr="00C12D83">
              <w:rPr>
                <w:rFonts w:ascii="宋体" w:hAnsi="宋体" w:hint="eastAsia"/>
                <w:b/>
                <w:szCs w:val="21"/>
              </w:rPr>
              <w:t xml:space="preserve">日 </w:t>
            </w:r>
            <w:r w:rsidR="00947692" w:rsidRPr="00C12D83">
              <w:rPr>
                <w:rFonts w:ascii="宋体" w:hAnsi="宋体"/>
                <w:b/>
                <w:szCs w:val="21"/>
              </w:rPr>
              <w:t>15</w:t>
            </w:r>
            <w:r w:rsidR="00947692" w:rsidRPr="00C12D83">
              <w:rPr>
                <w:rFonts w:ascii="宋体" w:hAnsi="宋体" w:hint="eastAsia"/>
                <w:b/>
                <w:szCs w:val="21"/>
              </w:rPr>
              <w:t>:</w:t>
            </w:r>
            <w:r w:rsidR="00D365B7" w:rsidRPr="00C12D83">
              <w:rPr>
                <w:rFonts w:ascii="宋体" w:hAnsi="宋体"/>
                <w:b/>
                <w:szCs w:val="21"/>
              </w:rPr>
              <w:t>0</w:t>
            </w:r>
            <w:r w:rsidR="00947692" w:rsidRPr="00C12D83">
              <w:rPr>
                <w:rFonts w:ascii="宋体" w:hAnsi="宋体"/>
                <w:b/>
                <w:szCs w:val="21"/>
              </w:rPr>
              <w:t>0</w:t>
            </w:r>
            <w:r w:rsidR="00533A25" w:rsidRPr="00C12D83">
              <w:rPr>
                <w:rFonts w:ascii="宋体" w:hAnsi="宋体" w:hint="eastAsia"/>
                <w:b/>
                <w:szCs w:val="21"/>
              </w:rPr>
              <w:t>，</w:t>
            </w:r>
            <w:r w:rsidR="00D365B7" w:rsidRPr="00C12D83">
              <w:rPr>
                <w:rFonts w:ascii="宋体" w:hAnsi="宋体" w:hint="eastAsia"/>
                <w:b/>
                <w:szCs w:val="21"/>
              </w:rPr>
              <w:t>电话会议</w:t>
            </w:r>
          </w:p>
          <w:p w:rsidR="008A5897" w:rsidRPr="00C12D83" w:rsidRDefault="00355991" w:rsidP="00CE26CA">
            <w:pPr>
              <w:widowControl/>
              <w:jc w:val="left"/>
              <w:rPr>
                <w:rFonts w:ascii="宋体" w:hAnsi="宋体"/>
                <w:szCs w:val="21"/>
              </w:rPr>
            </w:pPr>
            <w:r w:rsidRPr="00C12D83">
              <w:rPr>
                <w:rFonts w:ascii="宋体" w:hAnsi="宋体" w:cs="宋体" w:hint="eastAsia"/>
                <w:kern w:val="0"/>
                <w:szCs w:val="21"/>
              </w:rPr>
              <w:t>首创证券、首创证券、华商基金、长城财富、鑫宇投资、尚近投资、玖龙资产、知未私募、重阳投资、长谋投资、招商证券、中域投资、山西证券、谢诺投资、睿泰基金、北港金融</w:t>
            </w:r>
            <w:r w:rsidR="008D7825">
              <w:rPr>
                <w:rFonts w:ascii="宋体" w:hAnsi="宋体" w:cs="宋体" w:hint="eastAsia"/>
                <w:kern w:val="0"/>
                <w:szCs w:val="21"/>
              </w:rPr>
              <w:t>、进门财经。</w:t>
            </w:r>
          </w:p>
        </w:tc>
      </w:tr>
      <w:tr w:rsidR="00E739A2" w:rsidRPr="00C12D83" w:rsidTr="00F07191">
        <w:trPr>
          <w:trHeight w:val="97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C06435" w:rsidRPr="00C12D83" w:rsidRDefault="00C06435" w:rsidP="00766110">
            <w:pPr>
              <w:spacing w:line="400" w:lineRule="atLeast"/>
              <w:jc w:val="center"/>
              <w:rPr>
                <w:rFonts w:ascii="宋体" w:hAnsi="宋体"/>
                <w:szCs w:val="21"/>
              </w:rPr>
            </w:pPr>
            <w:r w:rsidRPr="00C12D83">
              <w:rPr>
                <w:rFonts w:ascii="宋体" w:hAnsi="宋体" w:hint="eastAsia"/>
                <w:szCs w:val="21"/>
              </w:rPr>
              <w:t>公司接待人员姓名</w:t>
            </w:r>
          </w:p>
        </w:tc>
        <w:tc>
          <w:tcPr>
            <w:tcW w:w="7512" w:type="dxa"/>
            <w:tcBorders>
              <w:top w:val="single" w:sz="4" w:space="0" w:color="auto"/>
              <w:left w:val="nil"/>
              <w:bottom w:val="single" w:sz="4" w:space="0" w:color="auto"/>
              <w:right w:val="single" w:sz="4" w:space="0" w:color="000000"/>
            </w:tcBorders>
            <w:shd w:val="clear" w:color="auto" w:fill="auto"/>
            <w:vAlign w:val="center"/>
            <w:hideMark/>
          </w:tcPr>
          <w:p w:rsidR="00CA4614" w:rsidRPr="00C12D83" w:rsidRDefault="00472539" w:rsidP="00CE26CA">
            <w:pPr>
              <w:spacing w:line="400" w:lineRule="atLeast"/>
              <w:jc w:val="left"/>
              <w:rPr>
                <w:rFonts w:ascii="宋体" w:hAnsi="宋体"/>
                <w:szCs w:val="21"/>
              </w:rPr>
            </w:pPr>
            <w:r w:rsidRPr="00C12D83">
              <w:rPr>
                <w:rFonts w:ascii="宋体" w:hAnsi="宋体"/>
                <w:szCs w:val="21"/>
              </w:rPr>
              <w:t>董事长</w:t>
            </w:r>
            <w:r w:rsidR="002805B4">
              <w:rPr>
                <w:rFonts w:ascii="宋体" w:hAnsi="宋体" w:hint="eastAsia"/>
                <w:szCs w:val="21"/>
              </w:rPr>
              <w:t>兼</w:t>
            </w:r>
            <w:r w:rsidR="002805B4">
              <w:rPr>
                <w:rFonts w:ascii="宋体" w:hAnsi="宋体"/>
                <w:szCs w:val="21"/>
              </w:rPr>
              <w:t>总裁</w:t>
            </w:r>
            <w:r w:rsidRPr="00C12D83">
              <w:rPr>
                <w:rFonts w:ascii="宋体" w:hAnsi="宋体"/>
                <w:szCs w:val="21"/>
              </w:rPr>
              <w:t>李裕陆</w:t>
            </w:r>
            <w:r w:rsidR="00CE26CA">
              <w:rPr>
                <w:rFonts w:ascii="宋体" w:hAnsi="宋体" w:hint="eastAsia"/>
                <w:szCs w:val="21"/>
              </w:rPr>
              <w:t>、</w:t>
            </w:r>
            <w:r w:rsidR="000807B4" w:rsidRPr="00C12D83">
              <w:rPr>
                <w:rFonts w:ascii="宋体" w:hAnsi="宋体" w:hint="eastAsia"/>
                <w:szCs w:val="21"/>
              </w:rPr>
              <w:t>副董事长</w:t>
            </w:r>
            <w:r w:rsidR="002805B4">
              <w:rPr>
                <w:rFonts w:ascii="宋体" w:hAnsi="宋体" w:hint="eastAsia"/>
                <w:szCs w:val="21"/>
              </w:rPr>
              <w:t>兼</w:t>
            </w:r>
            <w:r w:rsidR="002805B4">
              <w:rPr>
                <w:rFonts w:ascii="宋体" w:hAnsi="宋体"/>
                <w:szCs w:val="21"/>
              </w:rPr>
              <w:t>常务副总裁</w:t>
            </w:r>
            <w:bookmarkStart w:id="0" w:name="_GoBack"/>
            <w:bookmarkEnd w:id="0"/>
            <w:r w:rsidR="000807B4" w:rsidRPr="00C12D83">
              <w:rPr>
                <w:rFonts w:ascii="宋体" w:hAnsi="宋体" w:hint="eastAsia"/>
                <w:szCs w:val="21"/>
              </w:rPr>
              <w:t>李来斌</w:t>
            </w:r>
            <w:r w:rsidR="00CE26CA">
              <w:rPr>
                <w:rFonts w:ascii="宋体" w:hAnsi="宋体" w:hint="eastAsia"/>
                <w:szCs w:val="21"/>
              </w:rPr>
              <w:t>、</w:t>
            </w:r>
            <w:r w:rsidR="0065700E" w:rsidRPr="00C12D83">
              <w:rPr>
                <w:rFonts w:ascii="宋体" w:hAnsi="宋体" w:hint="eastAsia"/>
                <w:szCs w:val="21"/>
              </w:rPr>
              <w:t>独立董事潘敏</w:t>
            </w:r>
            <w:r w:rsidR="00CE26CA">
              <w:rPr>
                <w:rFonts w:ascii="宋体" w:hAnsi="宋体" w:hint="eastAsia"/>
                <w:szCs w:val="21"/>
              </w:rPr>
              <w:t>、</w:t>
            </w:r>
            <w:r w:rsidR="00CA4614" w:rsidRPr="00C12D83">
              <w:rPr>
                <w:rFonts w:ascii="宋体" w:hAnsi="宋体"/>
                <w:szCs w:val="21"/>
              </w:rPr>
              <w:t>董事会秘书王娟</w:t>
            </w:r>
            <w:r w:rsidR="00CE26CA">
              <w:rPr>
                <w:rFonts w:ascii="宋体" w:hAnsi="宋体" w:hint="eastAsia"/>
                <w:szCs w:val="21"/>
              </w:rPr>
              <w:t>、</w:t>
            </w:r>
            <w:r w:rsidR="0065700E" w:rsidRPr="00C12D83">
              <w:rPr>
                <w:rFonts w:ascii="宋体" w:hAnsi="宋体"/>
                <w:szCs w:val="21"/>
              </w:rPr>
              <w:t>财务总监孙子刚</w:t>
            </w:r>
          </w:p>
        </w:tc>
      </w:tr>
      <w:tr w:rsidR="00E739A2" w:rsidRPr="00C12D83" w:rsidTr="00F07191">
        <w:trPr>
          <w:trHeight w:val="416"/>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9F2" w:rsidRPr="00C12D83" w:rsidRDefault="00C06435" w:rsidP="00766110">
            <w:pPr>
              <w:spacing w:line="400" w:lineRule="atLeast"/>
              <w:jc w:val="center"/>
              <w:rPr>
                <w:rFonts w:ascii="宋体" w:hAnsi="宋体"/>
                <w:szCs w:val="21"/>
              </w:rPr>
            </w:pPr>
            <w:r w:rsidRPr="00C12D83">
              <w:rPr>
                <w:rFonts w:ascii="宋体" w:hAnsi="宋体" w:hint="eastAsia"/>
                <w:szCs w:val="21"/>
              </w:rPr>
              <w:t>投资者关系活动</w:t>
            </w:r>
          </w:p>
          <w:p w:rsidR="00C06435" w:rsidRPr="00C12D83" w:rsidRDefault="00C06435" w:rsidP="00766110">
            <w:pPr>
              <w:spacing w:line="400" w:lineRule="atLeast"/>
              <w:jc w:val="center"/>
              <w:rPr>
                <w:rFonts w:ascii="宋体" w:hAnsi="宋体"/>
                <w:szCs w:val="21"/>
              </w:rPr>
            </w:pPr>
            <w:r w:rsidRPr="00C12D83">
              <w:rPr>
                <w:rFonts w:ascii="宋体" w:hAnsi="宋体" w:hint="eastAsia"/>
                <w:szCs w:val="21"/>
              </w:rPr>
              <w:t>主要内容介绍</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D719D" w:rsidRPr="00C12D83" w:rsidRDefault="006D719D" w:rsidP="006D719D">
            <w:pPr>
              <w:spacing w:line="360" w:lineRule="auto"/>
              <w:ind w:firstLineChars="200" w:firstLine="422"/>
              <w:rPr>
                <w:rFonts w:asciiTheme="minorEastAsia" w:eastAsiaTheme="minorEastAsia" w:hAnsiTheme="minorEastAsia"/>
                <w:b/>
                <w:szCs w:val="21"/>
              </w:rPr>
            </w:pPr>
            <w:r w:rsidRPr="00C12D83">
              <w:rPr>
                <w:rFonts w:asciiTheme="minorEastAsia" w:eastAsiaTheme="minorEastAsia" w:hAnsiTheme="minorEastAsia" w:hint="eastAsia"/>
                <w:b/>
                <w:szCs w:val="21"/>
              </w:rPr>
              <w:t>Part</w:t>
            </w:r>
            <w:r w:rsidRPr="00C12D83">
              <w:rPr>
                <w:rFonts w:asciiTheme="minorEastAsia" w:eastAsiaTheme="minorEastAsia" w:hAnsiTheme="minorEastAsia"/>
                <w:b/>
                <w:szCs w:val="21"/>
              </w:rPr>
              <w:t>1</w:t>
            </w:r>
            <w:r w:rsidRPr="00C12D83">
              <w:rPr>
                <w:rFonts w:asciiTheme="minorEastAsia" w:eastAsiaTheme="minorEastAsia" w:hAnsiTheme="minorEastAsia" w:hint="eastAsia"/>
                <w:b/>
                <w:szCs w:val="21"/>
              </w:rPr>
              <w:t>、近期经营情况介绍</w:t>
            </w:r>
          </w:p>
          <w:p w:rsidR="009A7A76" w:rsidRPr="001F535F" w:rsidRDefault="009A7A76" w:rsidP="009A7A76">
            <w:pPr>
              <w:spacing w:line="420" w:lineRule="exact"/>
              <w:ind w:firstLine="420"/>
              <w:rPr>
                <w:rFonts w:ascii="宋体" w:hAnsi="宋体"/>
                <w:szCs w:val="21"/>
              </w:rPr>
            </w:pPr>
            <w:r w:rsidRPr="00A1304F">
              <w:rPr>
                <w:rFonts w:asciiTheme="minorEastAsia" w:hAnsiTheme="minorEastAsia"/>
              </w:rPr>
              <w:t>2021年，</w:t>
            </w:r>
            <w:r>
              <w:rPr>
                <w:rFonts w:asciiTheme="minorEastAsia" w:hAnsiTheme="minorEastAsia" w:hint="eastAsia"/>
              </w:rPr>
              <w:t>我国</w:t>
            </w:r>
            <w:r>
              <w:rPr>
                <w:rFonts w:ascii="宋体" w:cs="宋体" w:hint="eastAsia"/>
                <w:kern w:val="0"/>
                <w:szCs w:val="21"/>
              </w:rPr>
              <w:t>家纺行业主要运行指标均实现反弹回升</w:t>
            </w:r>
            <w:r>
              <w:rPr>
                <w:rFonts w:asciiTheme="minorEastAsia" w:hAnsiTheme="minorEastAsia" w:hint="eastAsia"/>
              </w:rPr>
              <w:t>，在此</w:t>
            </w:r>
            <w:r>
              <w:rPr>
                <w:rFonts w:asciiTheme="minorEastAsia" w:hAnsiTheme="minorEastAsia"/>
              </w:rPr>
              <w:t>大背景下，</w:t>
            </w:r>
            <w:r>
              <w:rPr>
                <w:rFonts w:asciiTheme="minorEastAsia" w:hAnsiTheme="minorEastAsia" w:hint="eastAsia"/>
              </w:rPr>
              <w:t>水星</w:t>
            </w:r>
            <w:r>
              <w:rPr>
                <w:rFonts w:asciiTheme="minorEastAsia" w:hAnsiTheme="minorEastAsia"/>
              </w:rPr>
              <w:t>全年的</w:t>
            </w:r>
            <w:r>
              <w:rPr>
                <w:rFonts w:asciiTheme="minorEastAsia" w:hAnsiTheme="minorEastAsia" w:hint="eastAsia"/>
              </w:rPr>
              <w:t>经营</w:t>
            </w:r>
            <w:r>
              <w:rPr>
                <w:rFonts w:asciiTheme="minorEastAsia" w:hAnsiTheme="minorEastAsia"/>
              </w:rPr>
              <w:t>数据高于</w:t>
            </w:r>
            <w:r>
              <w:rPr>
                <w:rFonts w:asciiTheme="minorEastAsia" w:hAnsiTheme="minorEastAsia" w:hint="eastAsia"/>
              </w:rPr>
              <w:t>行业</w:t>
            </w:r>
            <w:r>
              <w:rPr>
                <w:rFonts w:asciiTheme="minorEastAsia" w:hAnsiTheme="minorEastAsia"/>
              </w:rPr>
              <w:t>平均水平</w:t>
            </w:r>
            <w:r>
              <w:rPr>
                <w:rFonts w:asciiTheme="minorEastAsia" w:hAnsiTheme="minorEastAsia" w:hint="eastAsia"/>
              </w:rPr>
              <w:t>。2</w:t>
            </w:r>
            <w:r>
              <w:rPr>
                <w:rFonts w:asciiTheme="minorEastAsia" w:hAnsiTheme="minorEastAsia"/>
              </w:rPr>
              <w:t>021</w:t>
            </w:r>
            <w:r>
              <w:rPr>
                <w:rFonts w:asciiTheme="minorEastAsia" w:hAnsiTheme="minorEastAsia" w:hint="eastAsia"/>
              </w:rPr>
              <w:t>年</w:t>
            </w:r>
            <w:r w:rsidRPr="00A70C1B">
              <w:rPr>
                <w:rFonts w:asciiTheme="minorEastAsia" w:hAnsiTheme="minorEastAsia"/>
              </w:rPr>
              <w:t>实现营业收入37.99亿元，同比增长25.19%，归属于上市公司股东的净利润</w:t>
            </w:r>
            <w:r w:rsidRPr="00A70C1B">
              <w:rPr>
                <w:rFonts w:asciiTheme="minorEastAsia" w:hAnsiTheme="minorEastAsia" w:hint="eastAsia"/>
              </w:rPr>
              <w:t>3</w:t>
            </w:r>
            <w:r w:rsidRPr="00A70C1B">
              <w:rPr>
                <w:rFonts w:asciiTheme="minorEastAsia" w:hAnsiTheme="minorEastAsia"/>
              </w:rPr>
              <w:t>.86亿元，同比增长</w:t>
            </w:r>
            <w:r w:rsidRPr="00A70C1B">
              <w:rPr>
                <w:rFonts w:asciiTheme="minorEastAsia" w:hAnsiTheme="minorEastAsia" w:hint="eastAsia"/>
              </w:rPr>
              <w:t>4</w:t>
            </w:r>
            <w:r w:rsidRPr="00A70C1B">
              <w:rPr>
                <w:rFonts w:asciiTheme="minorEastAsia" w:hAnsiTheme="minorEastAsia"/>
              </w:rPr>
              <w:t>0.55%</w:t>
            </w:r>
            <w:r>
              <w:rPr>
                <w:rFonts w:asciiTheme="minorEastAsia" w:hAnsiTheme="minorEastAsia" w:hint="eastAsia"/>
              </w:rPr>
              <w:t>，</w:t>
            </w:r>
            <w:r>
              <w:rPr>
                <w:rFonts w:hint="eastAsia"/>
              </w:rPr>
              <w:t>归属于上市公司股东的扣非净利润为</w:t>
            </w:r>
            <w:r>
              <w:rPr>
                <w:rFonts w:hint="eastAsia"/>
              </w:rPr>
              <w:t>3.62</w:t>
            </w:r>
            <w:r>
              <w:rPr>
                <w:rFonts w:hint="eastAsia"/>
              </w:rPr>
              <w:t>亿元，同比增长</w:t>
            </w:r>
            <w:r>
              <w:rPr>
                <w:rFonts w:hint="eastAsia"/>
              </w:rPr>
              <w:t>56.60%</w:t>
            </w:r>
            <w:r>
              <w:rPr>
                <w:rFonts w:hint="eastAsia"/>
              </w:rPr>
              <w:t>；基本每股收益</w:t>
            </w:r>
            <w:r>
              <w:rPr>
                <w:rFonts w:hint="eastAsia"/>
              </w:rPr>
              <w:t>1.46</w:t>
            </w:r>
            <w:r>
              <w:rPr>
                <w:rFonts w:hint="eastAsia"/>
              </w:rPr>
              <w:t>元</w:t>
            </w:r>
            <w:r>
              <w:rPr>
                <w:rFonts w:hint="eastAsia"/>
              </w:rPr>
              <w:t>/</w:t>
            </w:r>
            <w:r>
              <w:rPr>
                <w:rFonts w:hint="eastAsia"/>
              </w:rPr>
              <w:t>股，同比增长</w:t>
            </w:r>
            <w:r>
              <w:rPr>
                <w:rFonts w:hint="eastAsia"/>
              </w:rPr>
              <w:t>40.38%</w:t>
            </w:r>
            <w:r>
              <w:rPr>
                <w:rFonts w:hint="eastAsia"/>
              </w:rPr>
              <w:t>。</w:t>
            </w:r>
          </w:p>
          <w:p w:rsidR="009A7A76" w:rsidRPr="006C3430" w:rsidRDefault="009A7A76" w:rsidP="009A7A76">
            <w:pPr>
              <w:spacing w:line="420" w:lineRule="exact"/>
              <w:ind w:firstLineChars="200" w:firstLine="420"/>
              <w:rPr>
                <w:rFonts w:ascii="宋体" w:hAnsi="宋体"/>
                <w:szCs w:val="21"/>
              </w:rPr>
            </w:pPr>
            <w:r w:rsidRPr="006C3430">
              <w:rPr>
                <w:rFonts w:ascii="宋体" w:hAnsi="宋体" w:hint="eastAsia"/>
                <w:szCs w:val="21"/>
              </w:rPr>
              <w:t>2021年</w:t>
            </w:r>
            <w:r>
              <w:rPr>
                <w:rFonts w:ascii="宋体" w:hAnsi="宋体" w:hint="eastAsia"/>
                <w:szCs w:val="21"/>
              </w:rPr>
              <w:t>公司</w:t>
            </w:r>
            <w:r w:rsidR="00225D51">
              <w:rPr>
                <w:rFonts w:ascii="宋体" w:hAnsi="宋体" w:hint="eastAsia"/>
                <w:szCs w:val="21"/>
              </w:rPr>
              <w:t>主营业务</w:t>
            </w:r>
            <w:r w:rsidRPr="006C3430">
              <w:rPr>
                <w:rFonts w:ascii="宋体" w:hAnsi="宋体" w:hint="eastAsia"/>
                <w:szCs w:val="21"/>
              </w:rPr>
              <w:t>毛利率38.01%，同比增加2.7个百分点</w:t>
            </w:r>
            <w:r w:rsidR="00EE0545">
              <w:rPr>
                <w:rFonts w:ascii="宋体" w:hAnsi="宋体" w:hint="eastAsia"/>
                <w:szCs w:val="21"/>
              </w:rPr>
              <w:t>。</w:t>
            </w:r>
            <w:r>
              <w:rPr>
                <w:rFonts w:ascii="宋体" w:hAnsi="宋体" w:hint="eastAsia"/>
                <w:szCs w:val="21"/>
              </w:rPr>
              <w:t>受益于品牌</w:t>
            </w:r>
            <w:r>
              <w:rPr>
                <w:rFonts w:ascii="宋体" w:hAnsi="宋体"/>
                <w:szCs w:val="21"/>
              </w:rPr>
              <w:t>力提升、产品结构优化，</w:t>
            </w:r>
            <w:r>
              <w:rPr>
                <w:rFonts w:ascii="宋体" w:hAnsi="宋体" w:hint="eastAsia"/>
                <w:szCs w:val="21"/>
              </w:rPr>
              <w:t>公司各渠道</w:t>
            </w:r>
            <w:r>
              <w:rPr>
                <w:rFonts w:ascii="宋体" w:hAnsi="宋体"/>
                <w:szCs w:val="21"/>
              </w:rPr>
              <w:t>毛利率都有不同程度的增长，公司整体盈利</w:t>
            </w:r>
            <w:r>
              <w:rPr>
                <w:rFonts w:ascii="宋体" w:hAnsi="宋体" w:hint="eastAsia"/>
                <w:szCs w:val="21"/>
              </w:rPr>
              <w:t>水平也</w:t>
            </w:r>
            <w:r>
              <w:rPr>
                <w:rFonts w:ascii="宋体" w:hAnsi="宋体"/>
                <w:szCs w:val="21"/>
              </w:rPr>
              <w:t>随之提升，</w:t>
            </w:r>
            <w:r>
              <w:rPr>
                <w:rFonts w:ascii="宋体" w:hAnsi="宋体" w:hint="eastAsia"/>
                <w:szCs w:val="21"/>
              </w:rPr>
              <w:t>2021年销售</w:t>
            </w:r>
            <w:r>
              <w:rPr>
                <w:rFonts w:ascii="宋体" w:hAnsi="宋体"/>
                <w:szCs w:val="21"/>
              </w:rPr>
              <w:t>净利率</w:t>
            </w:r>
            <w:r>
              <w:rPr>
                <w:rFonts w:ascii="宋体" w:hAnsi="宋体" w:hint="eastAsia"/>
                <w:szCs w:val="21"/>
              </w:rPr>
              <w:t>10.16%,同比</w:t>
            </w:r>
            <w:r>
              <w:rPr>
                <w:rFonts w:ascii="宋体" w:hAnsi="宋体"/>
                <w:szCs w:val="21"/>
              </w:rPr>
              <w:t>增加</w:t>
            </w:r>
            <w:r>
              <w:rPr>
                <w:rFonts w:ascii="宋体" w:hAnsi="宋体" w:hint="eastAsia"/>
                <w:szCs w:val="21"/>
              </w:rPr>
              <w:t>1.11个</w:t>
            </w:r>
            <w:r>
              <w:rPr>
                <w:rFonts w:ascii="宋体" w:hAnsi="宋体"/>
                <w:szCs w:val="21"/>
              </w:rPr>
              <w:t>百分点</w:t>
            </w:r>
            <w:r>
              <w:rPr>
                <w:rFonts w:ascii="宋体" w:hAnsi="宋体" w:hint="eastAsia"/>
                <w:szCs w:val="21"/>
              </w:rPr>
              <w:t>。</w:t>
            </w:r>
          </w:p>
          <w:p w:rsidR="00C12D83" w:rsidRDefault="009A7A76" w:rsidP="009A7A76">
            <w:pPr>
              <w:spacing w:line="360" w:lineRule="auto"/>
              <w:ind w:firstLineChars="200" w:firstLine="420"/>
              <w:rPr>
                <w:rFonts w:asciiTheme="minorEastAsia" w:eastAsiaTheme="minorEastAsia" w:hAnsiTheme="minorEastAsia"/>
                <w:szCs w:val="21"/>
              </w:rPr>
            </w:pPr>
            <w:r>
              <w:lastRenderedPageBreak/>
              <w:t>2022</w:t>
            </w:r>
            <w:r>
              <w:rPr>
                <w:rFonts w:hint="eastAsia"/>
              </w:rPr>
              <w:t>年开始</w:t>
            </w:r>
            <w:r>
              <w:t>，由于</w:t>
            </w:r>
            <w:r>
              <w:rPr>
                <w:rFonts w:hint="eastAsia"/>
              </w:rPr>
              <w:t>在</w:t>
            </w:r>
            <w:r>
              <w:rPr>
                <w:rFonts w:hint="eastAsia"/>
              </w:rPr>
              <w:t>202</w:t>
            </w:r>
            <w:r>
              <w:t>1</w:t>
            </w:r>
            <w:r>
              <w:rPr>
                <w:rFonts w:hint="eastAsia"/>
              </w:rPr>
              <w:t>年</w:t>
            </w:r>
            <w:r>
              <w:rPr>
                <w:rFonts w:hint="eastAsia"/>
              </w:rPr>
              <w:t>4</w:t>
            </w:r>
            <w:r>
              <w:rPr>
                <w:rFonts w:hint="eastAsia"/>
              </w:rPr>
              <w:t>季度</w:t>
            </w:r>
            <w:r>
              <w:t>良好销售趋势的带动下，</w:t>
            </w:r>
            <w:r>
              <w:rPr>
                <w:rFonts w:hint="eastAsia"/>
              </w:rPr>
              <w:t>公司</w:t>
            </w:r>
            <w:r>
              <w:rPr>
                <w:rFonts w:hint="eastAsia"/>
              </w:rPr>
              <w:t>1</w:t>
            </w:r>
            <w:r>
              <w:t>-2</w:t>
            </w:r>
            <w:r>
              <w:rPr>
                <w:rFonts w:hint="eastAsia"/>
              </w:rPr>
              <w:t>月</w:t>
            </w:r>
            <w:r>
              <w:t>仍然表现出</w:t>
            </w:r>
            <w:r>
              <w:rPr>
                <w:rFonts w:hint="eastAsia"/>
              </w:rPr>
              <w:t>了</w:t>
            </w:r>
            <w:r>
              <w:t>非常好的</w:t>
            </w:r>
            <w:r>
              <w:rPr>
                <w:rFonts w:hint="eastAsia"/>
              </w:rPr>
              <w:t>销售态势</w:t>
            </w:r>
            <w:r>
              <w:t>，</w:t>
            </w:r>
            <w:r>
              <w:rPr>
                <w:rFonts w:hint="eastAsia"/>
              </w:rPr>
              <w:t>但</w:t>
            </w:r>
            <w:r>
              <w:t>由于</w:t>
            </w:r>
            <w:r>
              <w:rPr>
                <w:rFonts w:hint="eastAsia"/>
              </w:rPr>
              <w:t>3</w:t>
            </w:r>
            <w:r>
              <w:rPr>
                <w:rFonts w:hint="eastAsia"/>
              </w:rPr>
              <w:t>月</w:t>
            </w:r>
            <w:r>
              <w:t>受上海</w:t>
            </w:r>
            <w:r>
              <w:rPr>
                <w:rFonts w:hint="eastAsia"/>
              </w:rPr>
              <w:t>疫情</w:t>
            </w:r>
            <w:r>
              <w:t>逐渐加重的影响，导致</w:t>
            </w:r>
            <w:r>
              <w:rPr>
                <w:rFonts w:hint="eastAsia"/>
              </w:rPr>
              <w:t>1</w:t>
            </w:r>
            <w:r>
              <w:rPr>
                <w:rFonts w:hint="eastAsia"/>
              </w:rPr>
              <w:t>季度</w:t>
            </w:r>
            <w:r>
              <w:t>的销售收入未达预期，</w:t>
            </w:r>
            <w:r>
              <w:rPr>
                <w:rFonts w:hint="eastAsia"/>
              </w:rPr>
              <w:t>实现</w:t>
            </w:r>
            <w:r>
              <w:t>销售收入</w:t>
            </w:r>
            <w:r>
              <w:rPr>
                <w:rFonts w:hint="eastAsia"/>
              </w:rPr>
              <w:t>8.06</w:t>
            </w:r>
            <w:r>
              <w:rPr>
                <w:rFonts w:hint="eastAsia"/>
              </w:rPr>
              <w:t>亿</w:t>
            </w:r>
            <w:r>
              <w:t>，</w:t>
            </w:r>
            <w:r>
              <w:rPr>
                <w:rFonts w:hint="eastAsia"/>
              </w:rPr>
              <w:t>但增长</w:t>
            </w:r>
            <w:r>
              <w:t>速率</w:t>
            </w:r>
            <w:r>
              <w:rPr>
                <w:rFonts w:hint="eastAsia"/>
              </w:rPr>
              <w:t>仍然</w:t>
            </w:r>
            <w:r>
              <w:t>好于行业平均水平，</w:t>
            </w:r>
            <w:r>
              <w:rPr>
                <w:rFonts w:hint="eastAsia"/>
              </w:rPr>
              <w:t>同比</w:t>
            </w:r>
            <w:r>
              <w:t>增长</w:t>
            </w:r>
            <w:r>
              <w:rPr>
                <w:rFonts w:hint="eastAsia"/>
              </w:rPr>
              <w:t>12</w:t>
            </w:r>
            <w:r>
              <w:t>%</w:t>
            </w:r>
            <w:r>
              <w:rPr>
                <w:rFonts w:hint="eastAsia"/>
              </w:rPr>
              <w:t>；</w:t>
            </w:r>
            <w:r>
              <w:t>归属于上市公司股东的净利润</w:t>
            </w:r>
            <w:r>
              <w:t>0.85</w:t>
            </w:r>
            <w:r>
              <w:rPr>
                <w:rFonts w:hint="eastAsia"/>
              </w:rPr>
              <w:t>亿</w:t>
            </w:r>
            <w:r>
              <w:t>，同比增长</w:t>
            </w:r>
            <w:r>
              <w:rPr>
                <w:rFonts w:hint="eastAsia"/>
              </w:rPr>
              <w:t>7.36</w:t>
            </w:r>
            <w:r>
              <w:t>%</w:t>
            </w:r>
            <w:r>
              <w:t>，扣非后净利润</w:t>
            </w:r>
            <w:r>
              <w:rPr>
                <w:rFonts w:hint="eastAsia"/>
              </w:rPr>
              <w:t>0.</w:t>
            </w:r>
            <w:r>
              <w:t>67</w:t>
            </w:r>
            <w:r>
              <w:rPr>
                <w:rFonts w:hint="eastAsia"/>
              </w:rPr>
              <w:t>亿</w:t>
            </w:r>
            <w:r>
              <w:t>，同比</w:t>
            </w:r>
            <w:r>
              <w:rPr>
                <w:rFonts w:hint="eastAsia"/>
              </w:rPr>
              <w:t>下降</w:t>
            </w:r>
            <w:r>
              <w:rPr>
                <w:rFonts w:hint="eastAsia"/>
              </w:rPr>
              <w:t>6.15</w:t>
            </w:r>
            <w:r>
              <w:t>%</w:t>
            </w:r>
            <w:r>
              <w:t>，</w:t>
            </w:r>
            <w:r>
              <w:rPr>
                <w:rFonts w:hint="eastAsia"/>
              </w:rPr>
              <w:t>这主要</w:t>
            </w:r>
            <w:r>
              <w:t>是</w:t>
            </w:r>
            <w:r>
              <w:rPr>
                <w:rFonts w:hint="eastAsia"/>
              </w:rPr>
              <w:t>前期为实现</w:t>
            </w:r>
            <w:r>
              <w:t>公司</w:t>
            </w:r>
            <w:r>
              <w:rPr>
                <w:rFonts w:hint="eastAsia"/>
              </w:rPr>
              <w:t>经营</w:t>
            </w:r>
            <w:r>
              <w:t>目标</w:t>
            </w:r>
            <w:r>
              <w:rPr>
                <w:rFonts w:hint="eastAsia"/>
              </w:rPr>
              <w:t>所</w:t>
            </w:r>
            <w:r>
              <w:t>规划的相关投入并未减少</w:t>
            </w:r>
            <w:r>
              <w:rPr>
                <w:rFonts w:hint="eastAsia"/>
              </w:rPr>
              <w:t>所致。</w:t>
            </w:r>
          </w:p>
          <w:p w:rsidR="004A727F" w:rsidRPr="00C12D83" w:rsidRDefault="004A727F" w:rsidP="006D719D">
            <w:pPr>
              <w:spacing w:line="360" w:lineRule="auto"/>
              <w:ind w:firstLineChars="200" w:firstLine="420"/>
              <w:rPr>
                <w:rFonts w:asciiTheme="minorEastAsia" w:eastAsiaTheme="minorEastAsia" w:hAnsiTheme="minorEastAsia"/>
                <w:szCs w:val="21"/>
              </w:rPr>
            </w:pPr>
            <w:r w:rsidRPr="00C12D83">
              <w:rPr>
                <w:rFonts w:asciiTheme="minorEastAsia" w:eastAsiaTheme="minorEastAsia" w:hAnsiTheme="minorEastAsia" w:hint="eastAsia"/>
                <w:szCs w:val="21"/>
              </w:rPr>
              <w:t>面对新冠疫情持续在全球蔓延，国内局部地区疫情偶发的情况，公司对于疫情的应对有着较为充分的准备。根据对本轮疫情的研判，公司做出了多项应对措施：</w:t>
            </w:r>
          </w:p>
          <w:p w:rsidR="004A727F" w:rsidRPr="00C12D83" w:rsidRDefault="004A727F" w:rsidP="006D719D">
            <w:pPr>
              <w:spacing w:line="360" w:lineRule="auto"/>
              <w:ind w:firstLineChars="200" w:firstLine="420"/>
              <w:rPr>
                <w:rFonts w:asciiTheme="minorEastAsia" w:eastAsiaTheme="minorEastAsia" w:hAnsiTheme="minorEastAsia"/>
                <w:szCs w:val="21"/>
              </w:rPr>
            </w:pPr>
            <w:r w:rsidRPr="00C12D83">
              <w:rPr>
                <w:rFonts w:asciiTheme="minorEastAsia" w:eastAsiaTheme="minorEastAsia" w:hAnsiTheme="minorEastAsia" w:hint="eastAsia"/>
                <w:szCs w:val="21"/>
              </w:rPr>
              <w:t>（1）本轮疫情发生过程中，公司相关领导、各部门负责人及员工能到岗的尽数到岗，公司有充足的原材料储备作为保障，分散生产、分散物流、分散销售，保证了公司经营的正常进行；</w:t>
            </w:r>
          </w:p>
          <w:p w:rsidR="004A727F" w:rsidRPr="00C12D83" w:rsidRDefault="004A727F" w:rsidP="006D719D">
            <w:pPr>
              <w:spacing w:line="360" w:lineRule="auto"/>
              <w:ind w:firstLineChars="200" w:firstLine="420"/>
              <w:rPr>
                <w:rFonts w:asciiTheme="minorEastAsia" w:eastAsiaTheme="minorEastAsia" w:hAnsiTheme="minorEastAsia"/>
                <w:szCs w:val="21"/>
              </w:rPr>
            </w:pPr>
            <w:r w:rsidRPr="00C12D83">
              <w:rPr>
                <w:rFonts w:asciiTheme="minorEastAsia" w:eastAsiaTheme="minorEastAsia" w:hAnsiTheme="minorEastAsia" w:hint="eastAsia"/>
                <w:szCs w:val="21"/>
              </w:rPr>
              <w:t>（2）公司前期推行终端门店新零售工具的应用也发挥了非常重要的作用，通过云店、线上直播等方式帮助终端门店减少因疫情影响带来的销售损失；</w:t>
            </w:r>
          </w:p>
          <w:p w:rsidR="004A727F" w:rsidRPr="00C12D83" w:rsidRDefault="004A727F" w:rsidP="006D719D">
            <w:pPr>
              <w:spacing w:line="360" w:lineRule="auto"/>
              <w:ind w:firstLineChars="200" w:firstLine="420"/>
              <w:rPr>
                <w:rFonts w:asciiTheme="minorEastAsia" w:eastAsiaTheme="minorEastAsia" w:hAnsiTheme="minorEastAsia"/>
                <w:szCs w:val="21"/>
              </w:rPr>
            </w:pPr>
            <w:r w:rsidRPr="00C12D83">
              <w:rPr>
                <w:rFonts w:asciiTheme="minorEastAsia" w:eastAsiaTheme="minorEastAsia" w:hAnsiTheme="minorEastAsia" w:hint="eastAsia"/>
                <w:szCs w:val="21"/>
              </w:rPr>
              <w:t>（3）公司对于疫情后市场的恢复充满信心，在原材料储备、产能规划、产品供应等方面也都做了较为充分的准备。</w:t>
            </w:r>
          </w:p>
          <w:p w:rsidR="006D719D" w:rsidRPr="00C12D83" w:rsidRDefault="006D719D" w:rsidP="006D719D">
            <w:pPr>
              <w:spacing w:line="360" w:lineRule="auto"/>
              <w:ind w:firstLineChars="200" w:firstLine="422"/>
              <w:rPr>
                <w:rFonts w:asciiTheme="minorEastAsia" w:eastAsiaTheme="minorEastAsia" w:hAnsiTheme="minorEastAsia"/>
                <w:b/>
                <w:szCs w:val="21"/>
              </w:rPr>
            </w:pPr>
            <w:r w:rsidRPr="00C12D83">
              <w:rPr>
                <w:rFonts w:asciiTheme="minorEastAsia" w:eastAsiaTheme="minorEastAsia" w:hAnsiTheme="minorEastAsia" w:hint="eastAsia"/>
                <w:b/>
                <w:szCs w:val="21"/>
              </w:rPr>
              <w:t>Part</w:t>
            </w:r>
            <w:r w:rsidRPr="00C12D83">
              <w:rPr>
                <w:rFonts w:asciiTheme="minorEastAsia" w:eastAsiaTheme="minorEastAsia" w:hAnsiTheme="minorEastAsia"/>
                <w:b/>
                <w:szCs w:val="21"/>
              </w:rPr>
              <w:t>2</w:t>
            </w:r>
            <w:r w:rsidRPr="00C12D83">
              <w:rPr>
                <w:rFonts w:asciiTheme="minorEastAsia" w:eastAsiaTheme="minorEastAsia" w:hAnsiTheme="minorEastAsia" w:hint="eastAsia"/>
                <w:b/>
                <w:szCs w:val="21"/>
              </w:rPr>
              <w:t>、互动环节</w:t>
            </w:r>
          </w:p>
          <w:p w:rsidR="00EE0545" w:rsidRPr="005859C1" w:rsidRDefault="00EE0545" w:rsidP="00EE0545">
            <w:pPr>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Q</w:t>
            </w:r>
            <w:r w:rsidR="009F7EE9">
              <w:rPr>
                <w:rFonts w:asciiTheme="minorEastAsia" w:eastAsiaTheme="minorEastAsia" w:hAnsiTheme="minorEastAsia"/>
                <w:b/>
                <w:szCs w:val="21"/>
              </w:rPr>
              <w:t>1</w:t>
            </w:r>
            <w:r>
              <w:rPr>
                <w:rFonts w:asciiTheme="minorEastAsia" w:eastAsiaTheme="minorEastAsia" w:hAnsiTheme="minorEastAsia" w:hint="eastAsia"/>
                <w:b/>
                <w:szCs w:val="21"/>
              </w:rPr>
              <w:t>、</w:t>
            </w:r>
            <w:r w:rsidRPr="005859C1">
              <w:rPr>
                <w:rFonts w:asciiTheme="minorEastAsia" w:eastAsiaTheme="minorEastAsia" w:hAnsiTheme="minorEastAsia" w:hint="eastAsia"/>
                <w:b/>
                <w:szCs w:val="21"/>
              </w:rPr>
              <w:t>2021年加盟渠道毛利率提升幅度大的原因？</w:t>
            </w:r>
          </w:p>
          <w:p w:rsidR="00EE0545" w:rsidRPr="005859C1" w:rsidRDefault="00EE0545" w:rsidP="00EE054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A</w:t>
            </w:r>
            <w:r w:rsidR="009F7EE9">
              <w:rPr>
                <w:rFonts w:asciiTheme="minorEastAsia" w:eastAsiaTheme="minorEastAsia" w:hAnsiTheme="minorEastAsia"/>
                <w:szCs w:val="21"/>
              </w:rPr>
              <w:t>1</w:t>
            </w:r>
            <w:r>
              <w:rPr>
                <w:rFonts w:asciiTheme="minorEastAsia" w:eastAsiaTheme="minorEastAsia" w:hAnsiTheme="minorEastAsia" w:hint="eastAsia"/>
                <w:szCs w:val="21"/>
              </w:rPr>
              <w:t>、</w:t>
            </w:r>
            <w:r w:rsidRPr="005859C1">
              <w:rPr>
                <w:rFonts w:asciiTheme="minorEastAsia" w:eastAsiaTheme="minorEastAsia" w:hAnsiTheme="minorEastAsia" w:hint="eastAsia"/>
                <w:szCs w:val="21"/>
              </w:rPr>
              <w:t>加盟渠道毛利率提升的主要原因有两个：（1）受疫情影响，2020年公司加盟渠道受到了较大的冲击，为帮助经销商度过疫情难关，公司向经销商提供了较多的让利措施，因此，2020年加盟渠道毛利率有明显下降，导致基数较低；（2）2021年公司加盟渠道通过不断提升产品品质、优化产品结构从而提升了毛利水平。</w:t>
            </w:r>
          </w:p>
          <w:p w:rsidR="00EE0545" w:rsidRPr="00C12D83" w:rsidRDefault="00EE0545" w:rsidP="00EE0545">
            <w:pPr>
              <w:spacing w:line="360" w:lineRule="auto"/>
              <w:ind w:firstLineChars="200" w:firstLine="422"/>
              <w:rPr>
                <w:rFonts w:asciiTheme="minorEastAsia" w:eastAsiaTheme="minorEastAsia" w:hAnsiTheme="minorEastAsia"/>
                <w:b/>
                <w:szCs w:val="21"/>
              </w:rPr>
            </w:pPr>
            <w:r w:rsidRPr="00C12D83">
              <w:rPr>
                <w:rFonts w:asciiTheme="minorEastAsia" w:eastAsiaTheme="minorEastAsia" w:hAnsiTheme="minorEastAsia" w:hint="eastAsia"/>
                <w:b/>
                <w:szCs w:val="21"/>
              </w:rPr>
              <w:t>Q</w:t>
            </w:r>
            <w:r w:rsidR="009F7EE9">
              <w:rPr>
                <w:rFonts w:asciiTheme="minorEastAsia" w:eastAsiaTheme="minorEastAsia" w:hAnsiTheme="minorEastAsia"/>
                <w:b/>
                <w:szCs w:val="21"/>
              </w:rPr>
              <w:t>2</w:t>
            </w:r>
            <w:r w:rsidRPr="00C12D83">
              <w:rPr>
                <w:rFonts w:asciiTheme="minorEastAsia" w:eastAsiaTheme="minorEastAsia" w:hAnsiTheme="minorEastAsia" w:hint="eastAsia"/>
                <w:b/>
                <w:szCs w:val="21"/>
              </w:rPr>
              <w:t>、公司近年聚焦被芯品类取得良好成效，2022年的新品规划怎么样？</w:t>
            </w:r>
          </w:p>
          <w:p w:rsidR="00EE0545" w:rsidRPr="00C12D83" w:rsidRDefault="00EE0545" w:rsidP="00EE0545">
            <w:pPr>
              <w:spacing w:line="360" w:lineRule="auto"/>
              <w:ind w:firstLineChars="200" w:firstLine="420"/>
              <w:rPr>
                <w:rFonts w:asciiTheme="minorEastAsia" w:eastAsiaTheme="minorEastAsia" w:hAnsiTheme="minorEastAsia"/>
                <w:szCs w:val="21"/>
              </w:rPr>
            </w:pPr>
            <w:r w:rsidRPr="00C12D83">
              <w:rPr>
                <w:rFonts w:asciiTheme="minorEastAsia" w:eastAsiaTheme="minorEastAsia" w:hAnsiTheme="minorEastAsia" w:hint="eastAsia"/>
                <w:szCs w:val="21"/>
              </w:rPr>
              <w:t>A</w:t>
            </w:r>
            <w:r w:rsidR="009F7EE9">
              <w:rPr>
                <w:rFonts w:asciiTheme="minorEastAsia" w:eastAsiaTheme="minorEastAsia" w:hAnsiTheme="minorEastAsia"/>
                <w:szCs w:val="21"/>
              </w:rPr>
              <w:t>2</w:t>
            </w:r>
            <w:r w:rsidRPr="00C12D83">
              <w:rPr>
                <w:rFonts w:asciiTheme="minorEastAsia" w:eastAsiaTheme="minorEastAsia" w:hAnsiTheme="minorEastAsia" w:hint="eastAsia"/>
                <w:szCs w:val="21"/>
              </w:rPr>
              <w:t>、2022年，公司将持续聚焦“好被芯 选水星”品牌战略，不断优化产品结构，精简SKU，坚持精品开发，围绕品类与单品两个竞争维度持续深入的开展产品研发与创新。从产品的颜值、舒适、功能三个方面，提升产品性能，打造极致爆款单品，持续提升水星特色产品的核心竞争力。</w:t>
            </w:r>
          </w:p>
          <w:p w:rsidR="00EE0545" w:rsidRPr="00C12D83" w:rsidRDefault="00EE0545" w:rsidP="00EE0545">
            <w:pPr>
              <w:spacing w:line="360" w:lineRule="auto"/>
              <w:ind w:firstLineChars="200" w:firstLine="422"/>
              <w:rPr>
                <w:rFonts w:asciiTheme="minorEastAsia" w:eastAsiaTheme="minorEastAsia" w:hAnsiTheme="minorEastAsia"/>
                <w:b/>
                <w:szCs w:val="21"/>
              </w:rPr>
            </w:pPr>
            <w:r w:rsidRPr="00C12D83">
              <w:rPr>
                <w:rFonts w:asciiTheme="minorEastAsia" w:eastAsiaTheme="minorEastAsia" w:hAnsiTheme="minorEastAsia" w:hint="eastAsia"/>
                <w:b/>
                <w:szCs w:val="21"/>
              </w:rPr>
              <w:t>Q</w:t>
            </w:r>
            <w:r w:rsidR="009F7EE9">
              <w:rPr>
                <w:rFonts w:asciiTheme="minorEastAsia" w:eastAsiaTheme="minorEastAsia" w:hAnsiTheme="minorEastAsia"/>
                <w:b/>
                <w:szCs w:val="21"/>
              </w:rPr>
              <w:t>3</w:t>
            </w:r>
            <w:r w:rsidRPr="00C12D83">
              <w:rPr>
                <w:rFonts w:asciiTheme="minorEastAsia" w:eastAsiaTheme="minorEastAsia" w:hAnsiTheme="minorEastAsia" w:hint="eastAsia"/>
                <w:b/>
                <w:szCs w:val="21"/>
              </w:rPr>
              <w:t>、公司未来如何继续做好消费者洞察，提升长期市场份额？</w:t>
            </w:r>
          </w:p>
          <w:p w:rsidR="00EE0545" w:rsidRPr="00C12D83" w:rsidRDefault="00EE0545" w:rsidP="00EE0545">
            <w:pPr>
              <w:spacing w:line="360" w:lineRule="auto"/>
              <w:ind w:firstLineChars="200" w:firstLine="420"/>
              <w:rPr>
                <w:szCs w:val="21"/>
              </w:rPr>
            </w:pPr>
            <w:r w:rsidRPr="00C12D83">
              <w:rPr>
                <w:rFonts w:hint="eastAsia"/>
                <w:szCs w:val="21"/>
              </w:rPr>
              <w:lastRenderedPageBreak/>
              <w:t>A</w:t>
            </w:r>
            <w:r w:rsidR="009F7EE9">
              <w:rPr>
                <w:szCs w:val="21"/>
              </w:rPr>
              <w:t>3</w:t>
            </w:r>
            <w:r w:rsidRPr="00C12D83">
              <w:rPr>
                <w:rFonts w:hint="eastAsia"/>
                <w:szCs w:val="21"/>
              </w:rPr>
              <w:t>、公司针对不同消费者在不同消费场景下的消费痛点，进一步优化产品结构，增强高品质原材料供应链，推进睡眠科技成果转化及应用，加大对羽绒、蚕丝、高织长绒棉等中高端产品的研发、推广，提升化纤类、棉类等产品的功能属性，不断地创造消费者需要的好产品，通过产品不断地为消费者创造价值。</w:t>
            </w:r>
          </w:p>
          <w:p w:rsidR="00EE0545" w:rsidRPr="00C12D83" w:rsidRDefault="00EE0545" w:rsidP="00EE0545">
            <w:pPr>
              <w:spacing w:line="360" w:lineRule="auto"/>
              <w:ind w:firstLineChars="200" w:firstLine="422"/>
              <w:rPr>
                <w:rFonts w:asciiTheme="minorEastAsia" w:eastAsiaTheme="minorEastAsia" w:hAnsiTheme="minorEastAsia"/>
                <w:b/>
                <w:szCs w:val="21"/>
              </w:rPr>
            </w:pPr>
            <w:r w:rsidRPr="00C12D83">
              <w:rPr>
                <w:rFonts w:asciiTheme="minorEastAsia" w:eastAsiaTheme="minorEastAsia" w:hAnsiTheme="minorEastAsia" w:hint="eastAsia"/>
                <w:b/>
                <w:szCs w:val="21"/>
              </w:rPr>
              <w:t>Q</w:t>
            </w:r>
            <w:r w:rsidR="009F7EE9">
              <w:rPr>
                <w:rFonts w:asciiTheme="minorEastAsia" w:eastAsiaTheme="minorEastAsia" w:hAnsiTheme="minorEastAsia"/>
                <w:b/>
                <w:szCs w:val="21"/>
              </w:rPr>
              <w:t>4</w:t>
            </w:r>
            <w:r w:rsidRPr="00C12D83">
              <w:rPr>
                <w:rFonts w:asciiTheme="minorEastAsia" w:eastAsiaTheme="minorEastAsia" w:hAnsiTheme="minorEastAsia" w:hint="eastAsia"/>
                <w:b/>
                <w:szCs w:val="21"/>
              </w:rPr>
              <w:t>、目前水星在数字化运营方面的布局如何？</w:t>
            </w:r>
          </w:p>
          <w:p w:rsidR="00EE0545" w:rsidRPr="00C12D83" w:rsidRDefault="00EE0545" w:rsidP="00EE0545">
            <w:pPr>
              <w:spacing w:line="360" w:lineRule="auto"/>
              <w:ind w:firstLineChars="200" w:firstLine="420"/>
              <w:rPr>
                <w:szCs w:val="21"/>
              </w:rPr>
            </w:pPr>
            <w:r w:rsidRPr="00C12D83">
              <w:rPr>
                <w:rFonts w:hint="eastAsia"/>
                <w:szCs w:val="21"/>
              </w:rPr>
              <w:t>A</w:t>
            </w:r>
            <w:r w:rsidR="009F7EE9">
              <w:rPr>
                <w:szCs w:val="21"/>
              </w:rPr>
              <w:t>4</w:t>
            </w:r>
            <w:r w:rsidRPr="00C12D83">
              <w:rPr>
                <w:rFonts w:hint="eastAsia"/>
                <w:szCs w:val="21"/>
              </w:rPr>
              <w:t>、公司依据数字化发展规划，按照业务在线化、运营数据化、决策智能化路径，持续推进零售、分销、研发、供应链等板块的数字化建设，提升数据运营能力，重点实施以下项目：</w:t>
            </w:r>
          </w:p>
          <w:p w:rsidR="00EE0545" w:rsidRPr="00C12D83" w:rsidRDefault="00EE0545" w:rsidP="00EE0545">
            <w:pPr>
              <w:spacing w:line="360" w:lineRule="auto"/>
              <w:ind w:firstLineChars="200" w:firstLine="420"/>
              <w:rPr>
                <w:szCs w:val="21"/>
              </w:rPr>
            </w:pPr>
            <w:r w:rsidRPr="00C12D83">
              <w:rPr>
                <w:rFonts w:hint="eastAsia"/>
                <w:szCs w:val="21"/>
              </w:rPr>
              <w:t>（</w:t>
            </w:r>
            <w:r w:rsidRPr="00C12D83">
              <w:rPr>
                <w:rFonts w:hint="eastAsia"/>
                <w:szCs w:val="21"/>
              </w:rPr>
              <w:t>1</w:t>
            </w:r>
            <w:r w:rsidRPr="00C12D83">
              <w:rPr>
                <w:rFonts w:hint="eastAsia"/>
                <w:szCs w:val="21"/>
              </w:rPr>
              <w:t>）推动数字化技术底座建设。公司进行了集团技术平台、开发与运维平台的统一规划，建立了</w:t>
            </w:r>
            <w:r w:rsidRPr="00C12D83">
              <w:rPr>
                <w:rFonts w:hint="eastAsia"/>
                <w:szCs w:val="21"/>
              </w:rPr>
              <w:t>PC</w:t>
            </w:r>
            <w:r w:rsidRPr="00C12D83">
              <w:rPr>
                <w:rFonts w:hint="eastAsia"/>
                <w:szCs w:val="21"/>
              </w:rPr>
              <w:t>端</w:t>
            </w:r>
            <w:r w:rsidRPr="00C12D83">
              <w:rPr>
                <w:rFonts w:hint="eastAsia"/>
                <w:szCs w:val="21"/>
              </w:rPr>
              <w:t>/</w:t>
            </w:r>
            <w:r w:rsidRPr="00C12D83">
              <w:rPr>
                <w:rFonts w:hint="eastAsia"/>
                <w:szCs w:val="21"/>
              </w:rPr>
              <w:t>移动端的企业门户，推进统一用户账号的系统建设，以提升用户体验与账号的安全性。</w:t>
            </w:r>
          </w:p>
          <w:p w:rsidR="00EE0545" w:rsidRPr="00C12D83" w:rsidRDefault="00EE0545" w:rsidP="00EE0545">
            <w:pPr>
              <w:spacing w:line="360" w:lineRule="auto"/>
              <w:ind w:firstLineChars="200" w:firstLine="420"/>
              <w:rPr>
                <w:szCs w:val="21"/>
              </w:rPr>
            </w:pPr>
            <w:r w:rsidRPr="00C12D83">
              <w:rPr>
                <w:rFonts w:hint="eastAsia"/>
                <w:szCs w:val="21"/>
              </w:rPr>
              <w:t>（</w:t>
            </w:r>
            <w:r w:rsidRPr="00C12D83">
              <w:rPr>
                <w:rFonts w:hint="eastAsia"/>
                <w:szCs w:val="21"/>
              </w:rPr>
              <w:t>2</w:t>
            </w:r>
            <w:r w:rsidRPr="00C12D83">
              <w:rPr>
                <w:rFonts w:hint="eastAsia"/>
                <w:szCs w:val="21"/>
              </w:rPr>
              <w:t>）推动终端零售与分销渠道的数字化建设。推广统一的</w:t>
            </w:r>
            <w:r w:rsidRPr="00C12D83">
              <w:rPr>
                <w:rFonts w:hint="eastAsia"/>
                <w:szCs w:val="21"/>
              </w:rPr>
              <w:t>POS</w:t>
            </w:r>
            <w:r w:rsidRPr="00C12D83">
              <w:rPr>
                <w:rFonts w:hint="eastAsia"/>
                <w:szCs w:val="21"/>
              </w:rPr>
              <w:t>系统，为线下导购建立营销工具，以直播、社交运营等高质量数字化内容触达消费者，通过小程序形成离店销售，推进线上线下融合，实现全流程、全链路数字化的经营模式，以全域零售的高质量创新来推动业绩增长。</w:t>
            </w:r>
          </w:p>
          <w:p w:rsidR="00EE0545" w:rsidRPr="00C12D83" w:rsidRDefault="00EE0545" w:rsidP="00EE0545">
            <w:pPr>
              <w:spacing w:line="360" w:lineRule="auto"/>
              <w:ind w:firstLineChars="200" w:firstLine="420"/>
              <w:rPr>
                <w:szCs w:val="21"/>
              </w:rPr>
            </w:pPr>
            <w:r w:rsidRPr="00C12D83">
              <w:rPr>
                <w:rFonts w:hint="eastAsia"/>
                <w:szCs w:val="21"/>
              </w:rPr>
              <w:t>（</w:t>
            </w:r>
            <w:r w:rsidRPr="00C12D83">
              <w:rPr>
                <w:rFonts w:hint="eastAsia"/>
                <w:szCs w:val="21"/>
              </w:rPr>
              <w:t>3</w:t>
            </w:r>
            <w:r w:rsidRPr="00C12D83">
              <w:rPr>
                <w:rFonts w:hint="eastAsia"/>
                <w:szCs w:val="21"/>
              </w:rPr>
              <w:t>）进行供应链的数字化规划，推动供应链业务在线化的建设。建立库存、库容可视化模型，生产进度可视化等模型，并建设研发管理系统，推动质量管理数字化，以逐步实现供应链全局可视化，提升供应链的整体运营效率。</w:t>
            </w:r>
          </w:p>
          <w:p w:rsidR="00B332D9" w:rsidRDefault="00EE0545" w:rsidP="00EE0545">
            <w:pPr>
              <w:spacing w:line="360" w:lineRule="auto"/>
              <w:ind w:firstLineChars="200" w:firstLine="420"/>
              <w:rPr>
                <w:szCs w:val="21"/>
              </w:rPr>
            </w:pPr>
            <w:r w:rsidRPr="00C12D83">
              <w:rPr>
                <w:rFonts w:hint="eastAsia"/>
                <w:szCs w:val="21"/>
              </w:rPr>
              <w:t>（</w:t>
            </w:r>
            <w:r w:rsidRPr="00C12D83">
              <w:rPr>
                <w:rFonts w:hint="eastAsia"/>
                <w:szCs w:val="21"/>
              </w:rPr>
              <w:t>4</w:t>
            </w:r>
            <w:r w:rsidRPr="00C12D83">
              <w:rPr>
                <w:rFonts w:hint="eastAsia"/>
                <w:szCs w:val="21"/>
              </w:rPr>
              <w:t>）推动大数据分析体系的建设。重点进行营销、供应链、质量、财务等模块的数据横向拉通，以逐步通过全价值链的数据融合，实现跨领域数据决策支撑。</w:t>
            </w:r>
          </w:p>
          <w:p w:rsidR="004E6368" w:rsidRPr="00C12D83" w:rsidRDefault="004E6368" w:rsidP="00EE0545">
            <w:pPr>
              <w:spacing w:line="360" w:lineRule="auto"/>
              <w:ind w:firstLineChars="200" w:firstLine="422"/>
              <w:rPr>
                <w:rFonts w:asciiTheme="minorEastAsia" w:eastAsiaTheme="minorEastAsia" w:hAnsiTheme="minorEastAsia"/>
                <w:b/>
                <w:szCs w:val="21"/>
              </w:rPr>
            </w:pPr>
            <w:r w:rsidRPr="00C12D83">
              <w:rPr>
                <w:rFonts w:asciiTheme="minorEastAsia" w:eastAsiaTheme="minorEastAsia" w:hAnsiTheme="minorEastAsia" w:hint="eastAsia"/>
                <w:b/>
                <w:szCs w:val="21"/>
              </w:rPr>
              <w:t>Q</w:t>
            </w:r>
            <w:r w:rsidR="00B332D9">
              <w:rPr>
                <w:rFonts w:asciiTheme="minorEastAsia" w:eastAsiaTheme="minorEastAsia" w:hAnsiTheme="minorEastAsia"/>
                <w:b/>
                <w:szCs w:val="21"/>
              </w:rPr>
              <w:t>5</w:t>
            </w:r>
            <w:r w:rsidRPr="00C12D83">
              <w:rPr>
                <w:rFonts w:asciiTheme="minorEastAsia" w:eastAsiaTheme="minorEastAsia" w:hAnsiTheme="minorEastAsia" w:hint="eastAsia"/>
                <w:b/>
                <w:szCs w:val="21"/>
              </w:rPr>
              <w:t>、618线上销售的情况？</w:t>
            </w:r>
          </w:p>
          <w:p w:rsidR="004E6368" w:rsidRPr="00C12D83" w:rsidRDefault="004E6368" w:rsidP="004E6368">
            <w:pPr>
              <w:spacing w:line="360" w:lineRule="auto"/>
              <w:ind w:firstLineChars="200" w:firstLine="420"/>
              <w:rPr>
                <w:rFonts w:asciiTheme="minorEastAsia" w:eastAsiaTheme="minorEastAsia" w:hAnsiTheme="minorEastAsia"/>
                <w:szCs w:val="21"/>
              </w:rPr>
            </w:pPr>
            <w:r w:rsidRPr="00C12D83">
              <w:rPr>
                <w:rFonts w:asciiTheme="minorEastAsia" w:eastAsiaTheme="minorEastAsia" w:hAnsiTheme="minorEastAsia" w:hint="eastAsia"/>
                <w:szCs w:val="21"/>
              </w:rPr>
              <w:t>A</w:t>
            </w:r>
            <w:r w:rsidR="00B332D9">
              <w:rPr>
                <w:rFonts w:asciiTheme="minorEastAsia" w:eastAsiaTheme="minorEastAsia" w:hAnsiTheme="minorEastAsia"/>
                <w:szCs w:val="21"/>
              </w:rPr>
              <w:t>5</w:t>
            </w:r>
            <w:r w:rsidRPr="00C12D83">
              <w:rPr>
                <w:rFonts w:asciiTheme="minorEastAsia" w:eastAsiaTheme="minorEastAsia" w:hAnsiTheme="minorEastAsia" w:hint="eastAsia"/>
                <w:szCs w:val="21"/>
              </w:rPr>
              <w:t>、</w:t>
            </w:r>
            <w:r w:rsidR="004A727F" w:rsidRPr="00C12D83">
              <w:rPr>
                <w:rFonts w:asciiTheme="minorEastAsia" w:eastAsiaTheme="minorEastAsia" w:hAnsiTheme="minorEastAsia" w:hint="eastAsia"/>
                <w:szCs w:val="21"/>
              </w:rPr>
              <w:t>针对618这个重要的线上购物节，公司有着充分的准备、精心的策划及高效的实施，并保持了公司在各主要电商平台家纺品类销售的优势地位。</w:t>
            </w:r>
          </w:p>
          <w:p w:rsidR="004E6368" w:rsidRPr="00C12D83" w:rsidRDefault="004E6368" w:rsidP="004E6368">
            <w:pPr>
              <w:spacing w:line="360" w:lineRule="auto"/>
              <w:ind w:firstLineChars="200" w:firstLine="422"/>
              <w:rPr>
                <w:rFonts w:asciiTheme="minorEastAsia" w:eastAsiaTheme="minorEastAsia" w:hAnsiTheme="minorEastAsia"/>
                <w:b/>
                <w:szCs w:val="21"/>
              </w:rPr>
            </w:pPr>
            <w:r w:rsidRPr="00C12D83">
              <w:rPr>
                <w:rFonts w:asciiTheme="minorEastAsia" w:eastAsiaTheme="minorEastAsia" w:hAnsiTheme="minorEastAsia" w:hint="eastAsia"/>
                <w:b/>
                <w:szCs w:val="21"/>
              </w:rPr>
              <w:t>Q</w:t>
            </w:r>
            <w:r w:rsidR="00B332D9">
              <w:rPr>
                <w:rFonts w:asciiTheme="minorEastAsia" w:eastAsiaTheme="minorEastAsia" w:hAnsiTheme="minorEastAsia"/>
                <w:b/>
                <w:szCs w:val="21"/>
              </w:rPr>
              <w:t>6</w:t>
            </w:r>
            <w:r w:rsidRPr="00C12D83">
              <w:rPr>
                <w:rFonts w:asciiTheme="minorEastAsia" w:eastAsiaTheme="minorEastAsia" w:hAnsiTheme="minorEastAsia" w:hint="eastAsia"/>
                <w:b/>
                <w:szCs w:val="21"/>
              </w:rPr>
              <w:t>、公司自播团队的建设情况怎么样？</w:t>
            </w:r>
          </w:p>
          <w:p w:rsidR="004E6368" w:rsidRPr="00C12D83" w:rsidRDefault="004E6368" w:rsidP="004E6368">
            <w:pPr>
              <w:spacing w:line="360" w:lineRule="auto"/>
              <w:ind w:firstLineChars="200" w:firstLine="420"/>
              <w:rPr>
                <w:rFonts w:asciiTheme="minorEastAsia" w:eastAsiaTheme="minorEastAsia" w:hAnsiTheme="minorEastAsia"/>
                <w:szCs w:val="21"/>
              </w:rPr>
            </w:pPr>
            <w:r w:rsidRPr="00C12D83">
              <w:rPr>
                <w:rFonts w:asciiTheme="minorEastAsia" w:eastAsiaTheme="minorEastAsia" w:hAnsiTheme="minorEastAsia" w:hint="eastAsia"/>
                <w:szCs w:val="21"/>
              </w:rPr>
              <w:t>A</w:t>
            </w:r>
            <w:r w:rsidR="00B332D9">
              <w:rPr>
                <w:rFonts w:asciiTheme="minorEastAsia" w:eastAsiaTheme="minorEastAsia" w:hAnsiTheme="minorEastAsia"/>
                <w:szCs w:val="21"/>
              </w:rPr>
              <w:t>6</w:t>
            </w:r>
            <w:r w:rsidRPr="00C12D83">
              <w:rPr>
                <w:rFonts w:asciiTheme="minorEastAsia" w:eastAsiaTheme="minorEastAsia" w:hAnsiTheme="minorEastAsia" w:hint="eastAsia"/>
                <w:szCs w:val="21"/>
              </w:rPr>
              <w:t>、公司设有自播中心，配备专门直播基地，每个平台都有专门的直播间。</w:t>
            </w:r>
          </w:p>
          <w:p w:rsidR="004E6368" w:rsidRPr="00C12D83" w:rsidRDefault="004E6368" w:rsidP="004E6368">
            <w:pPr>
              <w:spacing w:line="360" w:lineRule="auto"/>
              <w:ind w:firstLineChars="200" w:firstLine="422"/>
              <w:rPr>
                <w:rFonts w:asciiTheme="minorEastAsia" w:eastAsiaTheme="minorEastAsia" w:hAnsiTheme="minorEastAsia"/>
                <w:b/>
                <w:szCs w:val="21"/>
              </w:rPr>
            </w:pPr>
            <w:r w:rsidRPr="00C12D83">
              <w:rPr>
                <w:rFonts w:asciiTheme="minorEastAsia" w:eastAsiaTheme="minorEastAsia" w:hAnsiTheme="minorEastAsia" w:hint="eastAsia"/>
                <w:b/>
                <w:szCs w:val="21"/>
              </w:rPr>
              <w:t>Q</w:t>
            </w:r>
            <w:r w:rsidR="00B332D9">
              <w:rPr>
                <w:rFonts w:asciiTheme="minorEastAsia" w:eastAsiaTheme="minorEastAsia" w:hAnsiTheme="minorEastAsia"/>
                <w:b/>
                <w:szCs w:val="21"/>
              </w:rPr>
              <w:t>7</w:t>
            </w:r>
            <w:r w:rsidRPr="00C12D83">
              <w:rPr>
                <w:rFonts w:asciiTheme="minorEastAsia" w:eastAsiaTheme="minorEastAsia" w:hAnsiTheme="minorEastAsia" w:hint="eastAsia"/>
                <w:b/>
                <w:szCs w:val="21"/>
              </w:rPr>
              <w:t>、公司在不同电商平台的占比？抖音渠道规划？</w:t>
            </w:r>
          </w:p>
          <w:p w:rsidR="004E6368" w:rsidRPr="00C12D83" w:rsidRDefault="004E6368" w:rsidP="004E6368">
            <w:pPr>
              <w:spacing w:line="360" w:lineRule="auto"/>
              <w:ind w:firstLineChars="200" w:firstLine="420"/>
              <w:rPr>
                <w:rFonts w:asciiTheme="minorEastAsia" w:eastAsiaTheme="minorEastAsia" w:hAnsiTheme="minorEastAsia"/>
                <w:szCs w:val="21"/>
              </w:rPr>
            </w:pPr>
            <w:r w:rsidRPr="00C12D83">
              <w:rPr>
                <w:rFonts w:asciiTheme="minorEastAsia" w:eastAsiaTheme="minorEastAsia" w:hAnsiTheme="minorEastAsia" w:hint="eastAsia"/>
                <w:szCs w:val="21"/>
              </w:rPr>
              <w:t>A</w:t>
            </w:r>
            <w:r w:rsidR="00B332D9">
              <w:rPr>
                <w:rFonts w:asciiTheme="minorEastAsia" w:eastAsiaTheme="minorEastAsia" w:hAnsiTheme="minorEastAsia"/>
                <w:szCs w:val="21"/>
              </w:rPr>
              <w:t>7</w:t>
            </w:r>
            <w:r w:rsidRPr="00C12D83">
              <w:rPr>
                <w:rFonts w:asciiTheme="minorEastAsia" w:eastAsiaTheme="minorEastAsia" w:hAnsiTheme="minorEastAsia" w:hint="eastAsia"/>
                <w:szCs w:val="21"/>
              </w:rPr>
              <w:t>、</w:t>
            </w:r>
            <w:r w:rsidR="009E0228" w:rsidRPr="00C12D83">
              <w:rPr>
                <w:rFonts w:asciiTheme="minorEastAsia" w:eastAsiaTheme="minorEastAsia" w:hAnsiTheme="minorEastAsia"/>
                <w:szCs w:val="21"/>
              </w:rPr>
              <w:t>2021年公司在天猫、京东、唯品会三大平台的销售收入约占线上渠道总收入的90%，为进一步巩固公司在三大平台的销售优势，公司进一步加强与平</w:t>
            </w:r>
            <w:r w:rsidR="009E0228" w:rsidRPr="00C12D83">
              <w:rPr>
                <w:rFonts w:asciiTheme="minorEastAsia" w:eastAsiaTheme="minorEastAsia" w:hAnsiTheme="minorEastAsia"/>
                <w:szCs w:val="21"/>
              </w:rPr>
              <w:lastRenderedPageBreak/>
              <w:t>台合作，充分利用数据分析，使产品设计、品牌宣传及营销方案等能够更好地满足年轻消费群体这一电商消费主力的需求，从而保持销售的持续增长。</w:t>
            </w:r>
            <w:r w:rsidRPr="00C12D83">
              <w:rPr>
                <w:rFonts w:asciiTheme="minorEastAsia" w:eastAsiaTheme="minorEastAsia" w:hAnsiTheme="minorEastAsia" w:hint="eastAsia"/>
                <w:szCs w:val="21"/>
              </w:rPr>
              <w:t>2020下半年开始开设抖音店，以品牌自播为主，培养自播团队。</w:t>
            </w:r>
          </w:p>
          <w:p w:rsidR="004E6368" w:rsidRPr="00C12D83" w:rsidRDefault="004E6368" w:rsidP="004E6368">
            <w:pPr>
              <w:spacing w:line="360" w:lineRule="auto"/>
              <w:ind w:firstLineChars="200" w:firstLine="422"/>
              <w:rPr>
                <w:rFonts w:asciiTheme="minorEastAsia" w:eastAsiaTheme="minorEastAsia" w:hAnsiTheme="minorEastAsia"/>
                <w:b/>
                <w:szCs w:val="21"/>
              </w:rPr>
            </w:pPr>
            <w:r w:rsidRPr="00C12D83">
              <w:rPr>
                <w:rFonts w:asciiTheme="minorEastAsia" w:eastAsiaTheme="minorEastAsia" w:hAnsiTheme="minorEastAsia" w:hint="eastAsia"/>
                <w:b/>
                <w:szCs w:val="21"/>
              </w:rPr>
              <w:t>Q</w:t>
            </w:r>
            <w:r w:rsidR="00B332D9">
              <w:rPr>
                <w:rFonts w:asciiTheme="minorEastAsia" w:eastAsiaTheme="minorEastAsia" w:hAnsiTheme="minorEastAsia"/>
                <w:b/>
                <w:szCs w:val="21"/>
              </w:rPr>
              <w:t>8</w:t>
            </w:r>
            <w:r w:rsidRPr="00C12D83">
              <w:rPr>
                <w:rFonts w:asciiTheme="minorEastAsia" w:eastAsiaTheme="minorEastAsia" w:hAnsiTheme="minorEastAsia" w:hint="eastAsia"/>
                <w:b/>
                <w:szCs w:val="21"/>
              </w:rPr>
              <w:t>、公司产品与同业的差异化体现在哪里？</w:t>
            </w:r>
          </w:p>
          <w:p w:rsidR="004E6368" w:rsidRPr="00C12D83" w:rsidRDefault="004E6368" w:rsidP="004E6368">
            <w:pPr>
              <w:spacing w:line="360" w:lineRule="auto"/>
              <w:ind w:firstLineChars="200" w:firstLine="420"/>
              <w:rPr>
                <w:szCs w:val="21"/>
              </w:rPr>
            </w:pPr>
            <w:r w:rsidRPr="00C12D83">
              <w:rPr>
                <w:rFonts w:asciiTheme="minorEastAsia" w:eastAsiaTheme="minorEastAsia" w:hAnsiTheme="minorEastAsia" w:hint="eastAsia"/>
                <w:szCs w:val="21"/>
              </w:rPr>
              <w:t>A</w:t>
            </w:r>
            <w:r w:rsidR="00B332D9">
              <w:rPr>
                <w:rFonts w:asciiTheme="minorEastAsia" w:eastAsiaTheme="minorEastAsia" w:hAnsiTheme="minorEastAsia"/>
                <w:szCs w:val="21"/>
              </w:rPr>
              <w:t>8</w:t>
            </w:r>
            <w:r w:rsidRPr="00C12D83">
              <w:rPr>
                <w:rFonts w:asciiTheme="minorEastAsia" w:eastAsiaTheme="minorEastAsia" w:hAnsiTheme="minorEastAsia" w:hint="eastAsia"/>
                <w:szCs w:val="21"/>
              </w:rPr>
              <w:t>、</w:t>
            </w:r>
            <w:r w:rsidRPr="00C12D83">
              <w:rPr>
                <w:szCs w:val="21"/>
              </w:rPr>
              <w:t>针对产品同质化程度高的问题，公司聚焦</w:t>
            </w:r>
            <w:r w:rsidRPr="00C12D83">
              <w:rPr>
                <w:rFonts w:hint="eastAsia"/>
                <w:szCs w:val="21"/>
              </w:rPr>
              <w:t>“</w:t>
            </w:r>
            <w:r w:rsidRPr="00C12D83">
              <w:rPr>
                <w:szCs w:val="21"/>
              </w:rPr>
              <w:t>好被芯，选水星</w:t>
            </w:r>
            <w:r w:rsidRPr="00C12D83">
              <w:rPr>
                <w:rFonts w:hint="eastAsia"/>
                <w:szCs w:val="21"/>
              </w:rPr>
              <w:t>”</w:t>
            </w:r>
            <w:r w:rsidRPr="00C12D83">
              <w:rPr>
                <w:szCs w:val="21"/>
              </w:rPr>
              <w:t>的品牌战略，力求在产品上做出自身亮点，并通过大单品策略，提升销售服务、产品品质和消费者体验，达到占领消费者心智的最终目标。</w:t>
            </w:r>
          </w:p>
          <w:p w:rsidR="009374D5" w:rsidRPr="00C12D83" w:rsidRDefault="004E6368" w:rsidP="004E6368">
            <w:pPr>
              <w:spacing w:line="360" w:lineRule="auto"/>
              <w:ind w:firstLineChars="200" w:firstLine="420"/>
              <w:rPr>
                <w:szCs w:val="21"/>
              </w:rPr>
            </w:pPr>
            <w:bookmarkStart w:id="1" w:name="2448-1642127484501"/>
            <w:bookmarkEnd w:id="1"/>
            <w:r w:rsidRPr="00C12D83">
              <w:rPr>
                <w:szCs w:val="21"/>
              </w:rPr>
              <w:t>同质化产品中拥有一定特殊性的单品为被芯，容易做出差异化：</w:t>
            </w:r>
            <w:r w:rsidRPr="00C12D83">
              <w:rPr>
                <w:rFonts w:hint="eastAsia"/>
                <w:szCs w:val="21"/>
              </w:rPr>
              <w:t>（</w:t>
            </w:r>
            <w:r w:rsidRPr="00C12D83">
              <w:rPr>
                <w:rFonts w:hint="eastAsia"/>
                <w:szCs w:val="21"/>
              </w:rPr>
              <w:t>1</w:t>
            </w:r>
            <w:r w:rsidRPr="00C12D83">
              <w:rPr>
                <w:rFonts w:hint="eastAsia"/>
                <w:szCs w:val="21"/>
              </w:rPr>
              <w:t>）</w:t>
            </w:r>
            <w:r w:rsidRPr="00C12D83">
              <w:rPr>
                <w:szCs w:val="21"/>
              </w:rPr>
              <w:t>水星做被芯起家，是企业有一定传承历史的核心产品</w:t>
            </w:r>
            <w:r w:rsidRPr="00C12D83">
              <w:rPr>
                <w:rFonts w:hint="eastAsia"/>
                <w:szCs w:val="21"/>
              </w:rPr>
              <w:t>；（</w:t>
            </w:r>
            <w:r w:rsidRPr="00C12D83">
              <w:rPr>
                <w:rFonts w:hint="eastAsia"/>
                <w:szCs w:val="21"/>
              </w:rPr>
              <w:t>2</w:t>
            </w:r>
            <w:r w:rsidRPr="00C12D83">
              <w:rPr>
                <w:rFonts w:hint="eastAsia"/>
                <w:szCs w:val="21"/>
              </w:rPr>
              <w:t>）</w:t>
            </w:r>
            <w:r w:rsidRPr="00C12D83">
              <w:rPr>
                <w:szCs w:val="21"/>
              </w:rPr>
              <w:t>被芯可以叠加许多科技概念与功能性的表现，枕芯纤维、填充、面料等的组合较多，创新的宽度比套件大</w:t>
            </w:r>
            <w:r w:rsidRPr="00C12D83">
              <w:rPr>
                <w:rFonts w:hint="eastAsia"/>
                <w:szCs w:val="21"/>
              </w:rPr>
              <w:t>；（</w:t>
            </w:r>
            <w:r w:rsidRPr="00C12D83">
              <w:rPr>
                <w:rFonts w:hint="eastAsia"/>
                <w:szCs w:val="21"/>
              </w:rPr>
              <w:t>3</w:t>
            </w:r>
            <w:r w:rsidRPr="00C12D83">
              <w:rPr>
                <w:rFonts w:hint="eastAsia"/>
                <w:szCs w:val="21"/>
              </w:rPr>
              <w:t>）</w:t>
            </w:r>
            <w:r w:rsidRPr="00C12D83">
              <w:rPr>
                <w:szCs w:val="21"/>
              </w:rPr>
              <w:t>被芯能套用</w:t>
            </w:r>
            <w:r w:rsidR="00F15A6C">
              <w:rPr>
                <w:rFonts w:hint="eastAsia"/>
                <w:szCs w:val="21"/>
              </w:rPr>
              <w:t>拥有</w:t>
            </w:r>
            <w:r w:rsidR="00F15A6C">
              <w:rPr>
                <w:szCs w:val="21"/>
              </w:rPr>
              <w:t>更多</w:t>
            </w:r>
            <w:r w:rsidRPr="00C12D83">
              <w:rPr>
                <w:szCs w:val="21"/>
              </w:rPr>
              <w:t>功能性的表现，有利于突出品牌辨识度，占据消费者心智</w:t>
            </w:r>
            <w:r w:rsidRPr="00C12D83">
              <w:rPr>
                <w:rFonts w:hint="eastAsia"/>
                <w:szCs w:val="21"/>
              </w:rPr>
              <w:t>。</w:t>
            </w:r>
          </w:p>
          <w:p w:rsidR="00AF0CA6" w:rsidRPr="00F15A6C" w:rsidRDefault="004E6368" w:rsidP="00F15A6C">
            <w:pPr>
              <w:spacing w:line="360" w:lineRule="auto"/>
              <w:ind w:firstLineChars="200" w:firstLine="420"/>
              <w:rPr>
                <w:rFonts w:asciiTheme="minorEastAsia" w:eastAsiaTheme="minorEastAsia" w:hAnsiTheme="minorEastAsia"/>
                <w:szCs w:val="21"/>
              </w:rPr>
            </w:pPr>
            <w:r w:rsidRPr="00C12D83">
              <w:rPr>
                <w:rFonts w:asciiTheme="minorEastAsia" w:eastAsiaTheme="minorEastAsia" w:hAnsiTheme="minorEastAsia" w:hint="eastAsia"/>
                <w:szCs w:val="21"/>
              </w:rPr>
              <w:t>公司目前的被芯占比在45%以上，我们未来可能还会不断的提升被芯的占比。</w:t>
            </w:r>
          </w:p>
        </w:tc>
      </w:tr>
      <w:tr w:rsidR="00E739A2" w:rsidRPr="00C12D83" w:rsidTr="00F07191">
        <w:trPr>
          <w:trHeight w:val="912"/>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C06435" w:rsidRPr="00C12D83" w:rsidRDefault="00D41FC9" w:rsidP="00766110">
            <w:pPr>
              <w:spacing w:line="400" w:lineRule="atLeast"/>
              <w:jc w:val="center"/>
              <w:rPr>
                <w:rFonts w:ascii="宋体" w:hAnsi="宋体"/>
                <w:szCs w:val="21"/>
              </w:rPr>
            </w:pPr>
            <w:r w:rsidRPr="00C12D83">
              <w:rPr>
                <w:rFonts w:ascii="宋体" w:hAnsi="宋体" w:hint="eastAsia"/>
                <w:szCs w:val="21"/>
              </w:rPr>
              <w:lastRenderedPageBreak/>
              <w:t>是否涉及应当披露重大信息的说明</w:t>
            </w:r>
          </w:p>
        </w:tc>
        <w:tc>
          <w:tcPr>
            <w:tcW w:w="7512" w:type="dxa"/>
            <w:tcBorders>
              <w:top w:val="single" w:sz="4" w:space="0" w:color="auto"/>
              <w:left w:val="nil"/>
              <w:bottom w:val="single" w:sz="4" w:space="0" w:color="auto"/>
              <w:right w:val="single" w:sz="4" w:space="0" w:color="auto"/>
            </w:tcBorders>
            <w:shd w:val="clear" w:color="auto" w:fill="auto"/>
            <w:vAlign w:val="center"/>
          </w:tcPr>
          <w:p w:rsidR="003F3FB0" w:rsidRPr="00C12D83" w:rsidRDefault="00D41FC9" w:rsidP="00D41FC9">
            <w:pPr>
              <w:spacing w:line="400" w:lineRule="atLeast"/>
              <w:jc w:val="left"/>
              <w:rPr>
                <w:rFonts w:ascii="宋体" w:hAnsi="宋体"/>
                <w:szCs w:val="21"/>
              </w:rPr>
            </w:pPr>
            <w:r w:rsidRPr="00C12D83">
              <w:rPr>
                <w:rFonts w:ascii="宋体" w:hAnsi="宋体"/>
                <w:szCs w:val="21"/>
              </w:rPr>
              <w:t>不涉及应当</w:t>
            </w:r>
            <w:r w:rsidRPr="00C12D83">
              <w:rPr>
                <w:rFonts w:ascii="宋体" w:hAnsi="宋体" w:hint="eastAsia"/>
                <w:szCs w:val="21"/>
              </w:rPr>
              <w:t>披露的重大信息</w:t>
            </w:r>
            <w:r w:rsidR="00307ECF" w:rsidRPr="00C12D83">
              <w:rPr>
                <w:rFonts w:ascii="宋体" w:hAnsi="宋体" w:hint="eastAsia"/>
                <w:szCs w:val="21"/>
              </w:rPr>
              <w:t>。</w:t>
            </w:r>
          </w:p>
        </w:tc>
      </w:tr>
      <w:tr w:rsidR="00E739A2" w:rsidRPr="00C12D83" w:rsidTr="00F07191">
        <w:trPr>
          <w:trHeight w:val="791"/>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D41FC9" w:rsidRPr="00C12D83" w:rsidRDefault="00D41FC9" w:rsidP="00766110">
            <w:pPr>
              <w:spacing w:line="400" w:lineRule="atLeast"/>
              <w:jc w:val="center"/>
              <w:rPr>
                <w:rFonts w:ascii="宋体" w:hAnsi="宋体"/>
                <w:szCs w:val="21"/>
              </w:rPr>
            </w:pPr>
            <w:r w:rsidRPr="00C12D83">
              <w:rPr>
                <w:rFonts w:ascii="宋体" w:hAnsi="宋体" w:hint="eastAsia"/>
                <w:szCs w:val="21"/>
              </w:rPr>
              <w:t>附件清单（如有）</w:t>
            </w:r>
          </w:p>
        </w:tc>
        <w:tc>
          <w:tcPr>
            <w:tcW w:w="7512" w:type="dxa"/>
            <w:tcBorders>
              <w:top w:val="single" w:sz="4" w:space="0" w:color="auto"/>
              <w:left w:val="nil"/>
              <w:bottom w:val="single" w:sz="4" w:space="0" w:color="auto"/>
              <w:right w:val="single" w:sz="4" w:space="0" w:color="auto"/>
            </w:tcBorders>
            <w:shd w:val="clear" w:color="auto" w:fill="auto"/>
            <w:vAlign w:val="center"/>
          </w:tcPr>
          <w:p w:rsidR="00D41FC9" w:rsidRPr="00C12D83" w:rsidRDefault="00D41FC9" w:rsidP="00D41FC9">
            <w:pPr>
              <w:spacing w:line="400" w:lineRule="atLeast"/>
              <w:jc w:val="left"/>
              <w:rPr>
                <w:rFonts w:ascii="宋体" w:hAnsi="宋体"/>
                <w:szCs w:val="21"/>
              </w:rPr>
            </w:pPr>
            <w:r w:rsidRPr="00C12D83">
              <w:rPr>
                <w:rFonts w:ascii="宋体" w:hAnsi="宋体"/>
                <w:szCs w:val="21"/>
              </w:rPr>
              <w:t>无</w:t>
            </w:r>
          </w:p>
        </w:tc>
      </w:tr>
    </w:tbl>
    <w:p w:rsidR="00BC31BC" w:rsidRPr="00E739A2" w:rsidRDefault="00BC31BC"/>
    <w:sectPr w:rsidR="00BC31BC" w:rsidRPr="00E739A2" w:rsidSect="00FD477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B0D" w:rsidRDefault="00145B0D" w:rsidP="00D446C2">
      <w:r>
        <w:separator/>
      </w:r>
    </w:p>
  </w:endnote>
  <w:endnote w:type="continuationSeparator" w:id="0">
    <w:p w:rsidR="00145B0D" w:rsidRDefault="00145B0D" w:rsidP="00D4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B0D" w:rsidRDefault="00145B0D" w:rsidP="00D446C2">
      <w:r>
        <w:separator/>
      </w:r>
    </w:p>
  </w:footnote>
  <w:footnote w:type="continuationSeparator" w:id="0">
    <w:p w:rsidR="00145B0D" w:rsidRDefault="00145B0D" w:rsidP="00D44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6435"/>
    <w:rsid w:val="0000536D"/>
    <w:rsid w:val="00006968"/>
    <w:rsid w:val="00032C41"/>
    <w:rsid w:val="0003320F"/>
    <w:rsid w:val="000349F2"/>
    <w:rsid w:val="00050BC8"/>
    <w:rsid w:val="00060C24"/>
    <w:rsid w:val="000703B3"/>
    <w:rsid w:val="0007254B"/>
    <w:rsid w:val="000807B4"/>
    <w:rsid w:val="0010307C"/>
    <w:rsid w:val="00145B0D"/>
    <w:rsid w:val="001616C1"/>
    <w:rsid w:val="0018073C"/>
    <w:rsid w:val="001A7BE0"/>
    <w:rsid w:val="001B7F54"/>
    <w:rsid w:val="00204FA9"/>
    <w:rsid w:val="00206638"/>
    <w:rsid w:val="00211EF1"/>
    <w:rsid w:val="00221AE9"/>
    <w:rsid w:val="00225D51"/>
    <w:rsid w:val="00233D49"/>
    <w:rsid w:val="00240374"/>
    <w:rsid w:val="00245A49"/>
    <w:rsid w:val="00264C68"/>
    <w:rsid w:val="00271567"/>
    <w:rsid w:val="002805B4"/>
    <w:rsid w:val="002B34CC"/>
    <w:rsid w:val="002D30A2"/>
    <w:rsid w:val="002D344F"/>
    <w:rsid w:val="002E5294"/>
    <w:rsid w:val="002F22D1"/>
    <w:rsid w:val="00305BB6"/>
    <w:rsid w:val="00307ECF"/>
    <w:rsid w:val="0031199D"/>
    <w:rsid w:val="00315FD8"/>
    <w:rsid w:val="003461A4"/>
    <w:rsid w:val="00355991"/>
    <w:rsid w:val="00364906"/>
    <w:rsid w:val="00385273"/>
    <w:rsid w:val="00393CF0"/>
    <w:rsid w:val="003C0849"/>
    <w:rsid w:val="003E6C1A"/>
    <w:rsid w:val="003F2089"/>
    <w:rsid w:val="003F3FB0"/>
    <w:rsid w:val="00402049"/>
    <w:rsid w:val="00432A08"/>
    <w:rsid w:val="004540B8"/>
    <w:rsid w:val="00472539"/>
    <w:rsid w:val="004A727F"/>
    <w:rsid w:val="004B2A78"/>
    <w:rsid w:val="004B3F9B"/>
    <w:rsid w:val="004D3C96"/>
    <w:rsid w:val="004E6368"/>
    <w:rsid w:val="004F51AB"/>
    <w:rsid w:val="00514372"/>
    <w:rsid w:val="005224DF"/>
    <w:rsid w:val="005255D5"/>
    <w:rsid w:val="00527631"/>
    <w:rsid w:val="00533A25"/>
    <w:rsid w:val="00541518"/>
    <w:rsid w:val="00553076"/>
    <w:rsid w:val="005608AE"/>
    <w:rsid w:val="00566332"/>
    <w:rsid w:val="00566DA9"/>
    <w:rsid w:val="005859C1"/>
    <w:rsid w:val="0059088C"/>
    <w:rsid w:val="005B29FE"/>
    <w:rsid w:val="005D4AF1"/>
    <w:rsid w:val="00607A4F"/>
    <w:rsid w:val="00616F35"/>
    <w:rsid w:val="0063669E"/>
    <w:rsid w:val="0064166D"/>
    <w:rsid w:val="00642AD5"/>
    <w:rsid w:val="0065700E"/>
    <w:rsid w:val="006739B7"/>
    <w:rsid w:val="00687C2F"/>
    <w:rsid w:val="006949D4"/>
    <w:rsid w:val="006D6758"/>
    <w:rsid w:val="006D719D"/>
    <w:rsid w:val="006E43FA"/>
    <w:rsid w:val="007047F5"/>
    <w:rsid w:val="007B07D1"/>
    <w:rsid w:val="007B1859"/>
    <w:rsid w:val="007C4DA6"/>
    <w:rsid w:val="007D545F"/>
    <w:rsid w:val="00805CBB"/>
    <w:rsid w:val="00835A25"/>
    <w:rsid w:val="008A5897"/>
    <w:rsid w:val="008D7825"/>
    <w:rsid w:val="008F0D88"/>
    <w:rsid w:val="009043B6"/>
    <w:rsid w:val="009065B1"/>
    <w:rsid w:val="00923CE3"/>
    <w:rsid w:val="00935A36"/>
    <w:rsid w:val="009374D5"/>
    <w:rsid w:val="009431BF"/>
    <w:rsid w:val="00947692"/>
    <w:rsid w:val="009A7A76"/>
    <w:rsid w:val="009B56A7"/>
    <w:rsid w:val="009E0228"/>
    <w:rsid w:val="009E074F"/>
    <w:rsid w:val="009E7D5B"/>
    <w:rsid w:val="009F7EE9"/>
    <w:rsid w:val="00A421DA"/>
    <w:rsid w:val="00A503D1"/>
    <w:rsid w:val="00A610D9"/>
    <w:rsid w:val="00A77E1E"/>
    <w:rsid w:val="00A8542F"/>
    <w:rsid w:val="00AA090A"/>
    <w:rsid w:val="00AB1D13"/>
    <w:rsid w:val="00AB7599"/>
    <w:rsid w:val="00AF0CA6"/>
    <w:rsid w:val="00AF30AD"/>
    <w:rsid w:val="00B332D9"/>
    <w:rsid w:val="00B53A39"/>
    <w:rsid w:val="00B54DAD"/>
    <w:rsid w:val="00B97F35"/>
    <w:rsid w:val="00BB6494"/>
    <w:rsid w:val="00BC31BC"/>
    <w:rsid w:val="00BD0262"/>
    <w:rsid w:val="00BF1CA8"/>
    <w:rsid w:val="00BF7E11"/>
    <w:rsid w:val="00C02278"/>
    <w:rsid w:val="00C06435"/>
    <w:rsid w:val="00C104B3"/>
    <w:rsid w:val="00C12D83"/>
    <w:rsid w:val="00C3488A"/>
    <w:rsid w:val="00C37E74"/>
    <w:rsid w:val="00C4669D"/>
    <w:rsid w:val="00C50C6B"/>
    <w:rsid w:val="00C86D11"/>
    <w:rsid w:val="00C97E47"/>
    <w:rsid w:val="00CA4614"/>
    <w:rsid w:val="00CD52BA"/>
    <w:rsid w:val="00CE26CA"/>
    <w:rsid w:val="00D15088"/>
    <w:rsid w:val="00D337E9"/>
    <w:rsid w:val="00D365B7"/>
    <w:rsid w:val="00D41FC9"/>
    <w:rsid w:val="00D43CC9"/>
    <w:rsid w:val="00D43F79"/>
    <w:rsid w:val="00D446C2"/>
    <w:rsid w:val="00D661A1"/>
    <w:rsid w:val="00D81465"/>
    <w:rsid w:val="00D82B4C"/>
    <w:rsid w:val="00DA6F4A"/>
    <w:rsid w:val="00DB4E1D"/>
    <w:rsid w:val="00E11308"/>
    <w:rsid w:val="00E556D4"/>
    <w:rsid w:val="00E628E3"/>
    <w:rsid w:val="00E7387B"/>
    <w:rsid w:val="00E739A2"/>
    <w:rsid w:val="00E93BC3"/>
    <w:rsid w:val="00EE0545"/>
    <w:rsid w:val="00EE311C"/>
    <w:rsid w:val="00F07191"/>
    <w:rsid w:val="00F15A6C"/>
    <w:rsid w:val="00F37E78"/>
    <w:rsid w:val="00F405D2"/>
    <w:rsid w:val="00F40E64"/>
    <w:rsid w:val="00FA1EB0"/>
    <w:rsid w:val="00FA2F2A"/>
    <w:rsid w:val="00FB09C2"/>
    <w:rsid w:val="00FB7C94"/>
    <w:rsid w:val="00FD4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0598BA-2620-45EB-8A84-9BCC4A8D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75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6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6C2"/>
    <w:rPr>
      <w:rFonts w:ascii="Calibri" w:eastAsia="宋体" w:hAnsi="Calibri" w:cs="Times New Roman"/>
      <w:sz w:val="18"/>
      <w:szCs w:val="18"/>
    </w:rPr>
  </w:style>
  <w:style w:type="paragraph" w:styleId="a4">
    <w:name w:val="footer"/>
    <w:basedOn w:val="a"/>
    <w:link w:val="Char0"/>
    <w:uiPriority w:val="99"/>
    <w:unhideWhenUsed/>
    <w:rsid w:val="00D446C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6C2"/>
    <w:rPr>
      <w:rFonts w:ascii="Calibri" w:eastAsia="宋体" w:hAnsi="Calibri" w:cs="Times New Roman"/>
      <w:sz w:val="18"/>
      <w:szCs w:val="18"/>
    </w:rPr>
  </w:style>
  <w:style w:type="paragraph" w:styleId="a5">
    <w:name w:val="Balloon Text"/>
    <w:basedOn w:val="a"/>
    <w:link w:val="Char1"/>
    <w:uiPriority w:val="99"/>
    <w:semiHidden/>
    <w:unhideWhenUsed/>
    <w:rsid w:val="003F3FB0"/>
    <w:rPr>
      <w:sz w:val="18"/>
      <w:szCs w:val="18"/>
    </w:rPr>
  </w:style>
  <w:style w:type="character" w:customStyle="1" w:styleId="Char1">
    <w:name w:val="批注框文本 Char"/>
    <w:basedOn w:val="a0"/>
    <w:link w:val="a5"/>
    <w:uiPriority w:val="99"/>
    <w:semiHidden/>
    <w:rsid w:val="003F3FB0"/>
    <w:rPr>
      <w:rFonts w:ascii="Calibri" w:eastAsia="宋体" w:hAnsi="Calibri" w:cs="Times New Roman"/>
      <w:sz w:val="18"/>
      <w:szCs w:val="18"/>
    </w:rPr>
  </w:style>
  <w:style w:type="character" w:customStyle="1" w:styleId="highlight">
    <w:name w:val="highlight"/>
    <w:basedOn w:val="a0"/>
    <w:rsid w:val="00161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5087">
      <w:bodyDiv w:val="1"/>
      <w:marLeft w:val="0"/>
      <w:marRight w:val="0"/>
      <w:marTop w:val="0"/>
      <w:marBottom w:val="0"/>
      <w:divBdr>
        <w:top w:val="none" w:sz="0" w:space="0" w:color="auto"/>
        <w:left w:val="none" w:sz="0" w:space="0" w:color="auto"/>
        <w:bottom w:val="none" w:sz="0" w:space="0" w:color="auto"/>
        <w:right w:val="none" w:sz="0" w:space="0" w:color="auto"/>
      </w:divBdr>
    </w:div>
    <w:div w:id="466243203">
      <w:bodyDiv w:val="1"/>
      <w:marLeft w:val="0"/>
      <w:marRight w:val="0"/>
      <w:marTop w:val="0"/>
      <w:marBottom w:val="0"/>
      <w:divBdr>
        <w:top w:val="none" w:sz="0" w:space="0" w:color="auto"/>
        <w:left w:val="none" w:sz="0" w:space="0" w:color="auto"/>
        <w:bottom w:val="none" w:sz="0" w:space="0" w:color="auto"/>
        <w:right w:val="none" w:sz="0" w:space="0" w:color="auto"/>
      </w:divBdr>
    </w:div>
    <w:div w:id="1457332486">
      <w:bodyDiv w:val="1"/>
      <w:marLeft w:val="0"/>
      <w:marRight w:val="0"/>
      <w:marTop w:val="0"/>
      <w:marBottom w:val="0"/>
      <w:divBdr>
        <w:top w:val="none" w:sz="0" w:space="0" w:color="auto"/>
        <w:left w:val="none" w:sz="0" w:space="0" w:color="auto"/>
        <w:bottom w:val="none" w:sz="0" w:space="0" w:color="auto"/>
        <w:right w:val="none" w:sz="0" w:space="0" w:color="auto"/>
      </w:divBdr>
    </w:div>
    <w:div w:id="1720200400">
      <w:bodyDiv w:val="1"/>
      <w:marLeft w:val="0"/>
      <w:marRight w:val="0"/>
      <w:marTop w:val="0"/>
      <w:marBottom w:val="0"/>
      <w:divBdr>
        <w:top w:val="none" w:sz="0" w:space="0" w:color="auto"/>
        <w:left w:val="none" w:sz="0" w:space="0" w:color="auto"/>
        <w:bottom w:val="none" w:sz="0" w:space="0" w:color="auto"/>
        <w:right w:val="none" w:sz="0" w:space="0" w:color="auto"/>
      </w:divBdr>
    </w:div>
    <w:div w:id="1741368837">
      <w:bodyDiv w:val="1"/>
      <w:marLeft w:val="0"/>
      <w:marRight w:val="0"/>
      <w:marTop w:val="0"/>
      <w:marBottom w:val="0"/>
      <w:divBdr>
        <w:top w:val="none" w:sz="0" w:space="0" w:color="auto"/>
        <w:left w:val="none" w:sz="0" w:space="0" w:color="auto"/>
        <w:bottom w:val="none" w:sz="0" w:space="0" w:color="auto"/>
        <w:right w:val="none" w:sz="0" w:space="0" w:color="auto"/>
      </w:divBdr>
    </w:div>
    <w:div w:id="1783450859">
      <w:bodyDiv w:val="1"/>
      <w:marLeft w:val="0"/>
      <w:marRight w:val="0"/>
      <w:marTop w:val="0"/>
      <w:marBottom w:val="0"/>
      <w:divBdr>
        <w:top w:val="none" w:sz="0" w:space="0" w:color="auto"/>
        <w:left w:val="none" w:sz="0" w:space="0" w:color="auto"/>
        <w:bottom w:val="none" w:sz="0" w:space="0" w:color="auto"/>
        <w:right w:val="none" w:sz="0" w:space="0" w:color="auto"/>
      </w:divBdr>
    </w:div>
    <w:div w:id="1858540477">
      <w:bodyDiv w:val="1"/>
      <w:marLeft w:val="0"/>
      <w:marRight w:val="0"/>
      <w:marTop w:val="0"/>
      <w:marBottom w:val="0"/>
      <w:divBdr>
        <w:top w:val="none" w:sz="0" w:space="0" w:color="auto"/>
        <w:left w:val="none" w:sz="0" w:space="0" w:color="auto"/>
        <w:bottom w:val="none" w:sz="0" w:space="0" w:color="auto"/>
        <w:right w:val="none" w:sz="0" w:space="0" w:color="auto"/>
      </w:divBdr>
    </w:div>
    <w:div w:id="1896039412">
      <w:bodyDiv w:val="1"/>
      <w:marLeft w:val="0"/>
      <w:marRight w:val="0"/>
      <w:marTop w:val="0"/>
      <w:marBottom w:val="0"/>
      <w:divBdr>
        <w:top w:val="none" w:sz="0" w:space="0" w:color="auto"/>
        <w:left w:val="none" w:sz="0" w:space="0" w:color="auto"/>
        <w:bottom w:val="none" w:sz="0" w:space="0" w:color="auto"/>
        <w:right w:val="none" w:sz="0" w:space="0" w:color="auto"/>
      </w:divBdr>
    </w:div>
    <w:div w:id="209874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4</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王娟</cp:lastModifiedBy>
  <cp:revision>72</cp:revision>
  <cp:lastPrinted>2022-07-04T07:23:00Z</cp:lastPrinted>
  <dcterms:created xsi:type="dcterms:W3CDTF">2022-03-02T06:48:00Z</dcterms:created>
  <dcterms:modified xsi:type="dcterms:W3CDTF">2022-07-04T07:57:00Z</dcterms:modified>
</cp:coreProperties>
</file>