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77"/>
        <w:ind w:left="120" w:firstLine="240" w:firstLineChars="100"/>
        <w:rPr>
          <w:rFonts w:ascii="宋体" w:hAnsi="宋体" w:eastAsia="宋体" w:cs="宋体"/>
          <w:sz w:val="24"/>
          <w:lang w:val="zh-CN" w:bidi="zh-CN"/>
        </w:rPr>
      </w:pPr>
      <w:r>
        <w:rPr>
          <w:rFonts w:ascii="宋体" w:hAnsi="宋体" w:eastAsia="宋体" w:cs="宋体"/>
          <w:sz w:val="24"/>
          <w:lang w:val="zh-CN" w:bidi="zh-CN"/>
        </w:rPr>
        <w:t>证券代码</w:t>
      </w:r>
      <w:r>
        <w:rPr>
          <w:rFonts w:hint="eastAsia" w:ascii="宋体" w:hAnsi="宋体" w:eastAsia="宋体" w:cs="宋体"/>
          <w:sz w:val="24"/>
          <w:lang w:val="zh-CN" w:bidi="zh-CN"/>
        </w:rPr>
        <w:t>：</w:t>
      </w:r>
      <w:r>
        <w:rPr>
          <w:rFonts w:ascii="宋体" w:hAnsi="宋体" w:eastAsia="宋体" w:cs="宋体"/>
          <w:sz w:val="24"/>
          <w:lang w:val="zh-CN" w:bidi="zh-CN"/>
        </w:rPr>
        <w:t>60</w:t>
      </w:r>
      <w:r>
        <w:rPr>
          <w:rFonts w:hint="eastAsia" w:ascii="宋体" w:hAnsi="宋体" w:eastAsia="宋体" w:cs="宋体"/>
          <w:sz w:val="24"/>
          <w:lang w:bidi="zh-CN"/>
        </w:rPr>
        <w:t xml:space="preserve">0528                                 </w:t>
      </w:r>
      <w:r>
        <w:rPr>
          <w:rFonts w:ascii="宋体" w:hAnsi="宋体" w:eastAsia="宋体" w:cs="宋体"/>
          <w:sz w:val="24"/>
          <w:lang w:val="zh-CN" w:bidi="zh-CN"/>
        </w:rPr>
        <w:t>证券简称：</w:t>
      </w:r>
      <w:r>
        <w:rPr>
          <w:rFonts w:hint="eastAsia" w:ascii="宋体" w:hAnsi="宋体" w:eastAsia="宋体" w:cs="宋体"/>
          <w:sz w:val="24"/>
          <w:lang w:val="zh-CN" w:bidi="zh-CN"/>
        </w:rPr>
        <w:t>中铁工业</w:t>
      </w:r>
      <w:r>
        <w:rPr>
          <w:rFonts w:ascii="宋体" w:hAnsi="宋体" w:eastAsia="宋体" w:cs="宋体"/>
          <w:sz w:val="24"/>
          <w:lang w:val="zh-CN" w:bidi="zh-CN"/>
        </w:rPr>
        <w:t xml:space="preserve"> </w:t>
      </w:r>
    </w:p>
    <w:p>
      <w:pPr>
        <w:autoSpaceDE w:val="0"/>
        <w:autoSpaceDN w:val="0"/>
        <w:rPr>
          <w:rFonts w:ascii="宋体" w:hAnsi="宋体" w:eastAsia="宋体" w:cs="宋体"/>
          <w:sz w:val="20"/>
          <w:lang w:val="zh-CN" w:bidi="zh-CN"/>
        </w:rPr>
      </w:pPr>
    </w:p>
    <w:p>
      <w:pPr>
        <w:autoSpaceDE w:val="0"/>
        <w:autoSpaceDN w:val="0"/>
        <w:spacing w:before="7"/>
        <w:rPr>
          <w:rFonts w:ascii="宋体" w:hAnsi="宋体" w:eastAsia="宋体" w:cs="宋体"/>
          <w:sz w:val="17"/>
          <w:lang w:val="zh-CN" w:bidi="zh-CN"/>
        </w:rPr>
      </w:pPr>
    </w:p>
    <w:p>
      <w:pPr>
        <w:autoSpaceDE w:val="0"/>
        <w:autoSpaceDN w:val="0"/>
        <w:spacing w:line="429" w:lineRule="exact"/>
        <w:ind w:left="1"/>
        <w:jc w:val="center"/>
        <w:rPr>
          <w:rFonts w:ascii="Microsoft JhengHei" w:hAnsi="宋体" w:eastAsia="Microsoft JhengHei" w:cs="宋体"/>
          <w:b/>
          <w:kern w:val="0"/>
          <w:sz w:val="24"/>
          <w:szCs w:val="22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zh-CN" w:bidi="zh-CN"/>
        </w:rPr>
        <w:t>中铁高新工业股份有限公司投资者关系活动记录表</w:t>
      </w:r>
      <w:r>
        <w:rPr>
          <w:rFonts w:hint="eastAsia" w:ascii="Microsoft JhengHei" w:hAnsi="宋体" w:eastAsia="Microsoft JhengHei" w:cs="宋体"/>
          <w:b/>
          <w:w w:val="200"/>
          <w:kern w:val="0"/>
          <w:sz w:val="24"/>
          <w:szCs w:val="22"/>
          <w:lang w:val="zh-CN" w:bidi="zh-CN"/>
        </w:rPr>
        <w:t xml:space="preserve"> </w:t>
      </w:r>
      <w:bookmarkStart w:id="0" w:name="_GoBack"/>
      <w:bookmarkEnd w:id="0"/>
    </w:p>
    <w:p>
      <w:pPr>
        <w:autoSpaceDE w:val="0"/>
        <w:autoSpaceDN w:val="0"/>
        <w:spacing w:before="194" w:after="15"/>
        <w:ind w:left="2"/>
        <w:jc w:val="center"/>
        <w:rPr>
          <w:rFonts w:ascii="宋体" w:hAnsi="宋体" w:eastAsia="宋体" w:cs="宋体"/>
          <w:sz w:val="24"/>
          <w:lang w:val="zh-CN" w:bidi="zh-CN"/>
        </w:rPr>
      </w:pPr>
      <w:r>
        <w:rPr>
          <w:rFonts w:ascii="宋体" w:hAnsi="宋体" w:eastAsia="宋体" w:cs="宋体"/>
          <w:sz w:val="24"/>
          <w:lang w:val="zh-CN" w:bidi="zh-CN"/>
        </w:rPr>
        <w:t xml:space="preserve">                                                       编号：202</w:t>
      </w:r>
      <w:r>
        <w:rPr>
          <w:rFonts w:hint="eastAsia" w:ascii="宋体" w:hAnsi="宋体" w:eastAsia="宋体" w:cs="宋体"/>
          <w:sz w:val="24"/>
          <w:lang w:bidi="zh-CN"/>
        </w:rPr>
        <w:t>2</w:t>
      </w:r>
      <w:r>
        <w:rPr>
          <w:rFonts w:ascii="宋体" w:hAnsi="宋体" w:eastAsia="宋体" w:cs="宋体"/>
          <w:sz w:val="24"/>
          <w:lang w:val="zh-CN" w:bidi="zh-CN"/>
        </w:rPr>
        <w:t>-0</w:t>
      </w:r>
      <w:r>
        <w:rPr>
          <w:rFonts w:hint="default" w:ascii="宋体" w:hAnsi="宋体" w:eastAsia="宋体" w:cs="宋体"/>
          <w:sz w:val="24"/>
          <w:lang w:val="en-US" w:bidi="zh-CN"/>
        </w:rPr>
        <w:t>9</w:t>
      </w:r>
      <w:r>
        <w:rPr>
          <w:rFonts w:ascii="宋体" w:hAnsi="宋体" w:eastAsia="宋体" w:cs="宋体"/>
          <w:sz w:val="24"/>
          <w:lang w:val="zh-CN" w:bidi="zh-CN"/>
        </w:rPr>
        <w:t xml:space="preserve"> </w:t>
      </w:r>
    </w:p>
    <w:p>
      <w:pPr>
        <w:autoSpaceDE w:val="0"/>
        <w:autoSpaceDN w:val="0"/>
        <w:spacing w:before="194" w:after="15"/>
        <w:ind w:left="2"/>
        <w:jc w:val="center"/>
        <w:rPr>
          <w:rFonts w:ascii="宋体" w:hAnsi="宋体" w:eastAsia="宋体" w:cs="宋体"/>
          <w:sz w:val="24"/>
          <w:lang w:val="zh-CN" w:bidi="zh-CN"/>
        </w:r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68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0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261" w:lineRule="auto"/>
              <w:ind w:left="107" w:right="96"/>
              <w:jc w:val="center"/>
              <w:rPr>
                <w:rFonts w:ascii="Microsoft JhengHei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投资者关系活动类别</w:t>
            </w:r>
          </w:p>
        </w:tc>
        <w:tc>
          <w:tcPr>
            <w:tcW w:w="6899" w:type="dxa"/>
          </w:tcPr>
          <w:p>
            <w:pPr>
              <w:autoSpaceDE w:val="0"/>
              <w:autoSpaceDN w:val="0"/>
              <w:spacing w:before="170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特定对象调研        □分析师会议 </w:t>
            </w:r>
          </w:p>
          <w:p>
            <w:pPr>
              <w:autoSpaceDE w:val="0"/>
              <w:autoSpaceDN w:val="0"/>
              <w:spacing w:before="172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□媒体采访            □业绩说明会 </w:t>
            </w:r>
          </w:p>
          <w:p>
            <w:pPr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□新闻发布会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sym w:font="Wingdings 2" w:char="00A3"/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路演活动 </w:t>
            </w:r>
          </w:p>
          <w:p>
            <w:pPr>
              <w:tabs>
                <w:tab w:val="left" w:pos="3154"/>
              </w:tabs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□现场参观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   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sym w:font="Wingdings 2" w:char="0052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电话会议</w:t>
            </w:r>
          </w:p>
          <w:p>
            <w:pPr>
              <w:tabs>
                <w:tab w:val="left" w:pos="3154"/>
              </w:tabs>
              <w:autoSpaceDE w:val="0"/>
              <w:autoSpaceDN w:val="0"/>
              <w:spacing w:before="173"/>
              <w:ind w:left="107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□其他 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  <w:t>参与单位名称及人员姓名</w:t>
            </w:r>
          </w:p>
        </w:tc>
        <w:tc>
          <w:tcPr>
            <w:tcW w:w="6899" w:type="dxa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人员名单： </w:t>
            </w:r>
          </w:p>
          <w:p>
            <w:pPr>
              <w:pStyle w:val="10"/>
              <w:spacing w:line="400" w:lineRule="exact"/>
              <w:ind w:left="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工银瑞信基金经理  杨鑫鑫</w:t>
            </w:r>
          </w:p>
          <w:p>
            <w:pPr>
              <w:pStyle w:val="10"/>
              <w:spacing w:line="400" w:lineRule="exact"/>
              <w:ind w:left="0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工银瑞信研究员    邢梦醒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 w:line="369" w:lineRule="exact"/>
              <w:ind w:left="107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  <w:t>时</w:t>
            </w:r>
            <w:r>
              <w:rPr>
                <w:rFonts w:hint="eastAsia" w:ascii="Microsoft JhengHei" w:hAnsi="宋体" w:eastAsia="宋体" w:cs="宋体"/>
                <w:b/>
                <w:sz w:val="24"/>
                <w:szCs w:val="22"/>
                <w:lang w:bidi="zh-CN"/>
              </w:rPr>
              <w:t xml:space="preserve">  </w:t>
            </w:r>
            <w:r>
              <w:rPr>
                <w:rFonts w:hint="eastAsia"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  <w:t>间</w:t>
            </w:r>
          </w:p>
        </w:tc>
        <w:tc>
          <w:tcPr>
            <w:tcW w:w="6899" w:type="dxa"/>
            <w:vAlign w:val="center"/>
          </w:tcPr>
          <w:p>
            <w:pPr>
              <w:autoSpaceDE w:val="0"/>
              <w:autoSpaceDN w:val="0"/>
              <w:spacing w:before="170" w:line="289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202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7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5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日 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0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0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0-1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: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0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 xml:space="preserve">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1"/>
              <w:ind w:left="107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  <w:t>地</w:t>
            </w:r>
            <w:r>
              <w:rPr>
                <w:rFonts w:hint="eastAsia" w:ascii="Microsoft JhengHei" w:hAnsi="宋体" w:eastAsia="宋体" w:cs="宋体"/>
                <w:b/>
                <w:sz w:val="24"/>
                <w:szCs w:val="22"/>
                <w:lang w:bidi="zh-CN"/>
              </w:rPr>
              <w:t xml:space="preserve">  </w:t>
            </w:r>
            <w:r>
              <w:rPr>
                <w:rFonts w:hint="eastAsia"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  <w:t>点</w:t>
            </w:r>
          </w:p>
        </w:tc>
        <w:tc>
          <w:tcPr>
            <w:tcW w:w="6899" w:type="dxa"/>
            <w:vAlign w:val="center"/>
          </w:tcPr>
          <w:p>
            <w:pPr>
              <w:autoSpaceDE w:val="0"/>
              <w:autoSpaceDN w:val="0"/>
              <w:spacing w:before="173" w:line="289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2"/>
                <w:lang w:bidi="zh-CN"/>
              </w:rPr>
              <w:t>北京市丰台区南四环西路诺德中心11号楼</w:t>
            </w:r>
            <w:r>
              <w:rPr>
                <w:rFonts w:hint="eastAsia"/>
                <w:spacing w:val="-6"/>
                <w:sz w:val="24"/>
              </w:rPr>
              <w:t>（电话会议）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400" w:type="dxa"/>
            <w:vAlign w:val="center"/>
          </w:tcPr>
          <w:p>
            <w:pPr>
              <w:autoSpaceDE w:val="0"/>
              <w:autoSpaceDN w:val="0"/>
              <w:spacing w:before="93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上市公司接待人员姓名</w:t>
            </w:r>
          </w:p>
        </w:tc>
        <w:tc>
          <w:tcPr>
            <w:tcW w:w="6899" w:type="dxa"/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董事会秘书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 xml:space="preserve"> 葛瑞鹏</w:t>
            </w:r>
          </w:p>
        </w:tc>
      </w:tr>
    </w:tbl>
    <w:p>
      <w:pPr>
        <w:spacing w:line="289" w:lineRule="exact"/>
        <w:rPr>
          <w:sz w:val="24"/>
        </w:rPr>
        <w:sectPr>
          <w:pgSz w:w="11910" w:h="16840"/>
          <w:pgMar w:top="1580" w:right="1560" w:bottom="280" w:left="1680" w:header="720" w:footer="720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67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1" w:hRule="atLeast"/>
        </w:trPr>
        <w:tc>
          <w:tcPr>
            <w:tcW w:w="1555" w:type="dxa"/>
          </w:tcPr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autoSpaceDE w:val="0"/>
              <w:autoSpaceDN w:val="0"/>
              <w:spacing w:before="155" w:line="261" w:lineRule="auto"/>
              <w:ind w:left="107" w:right="96"/>
              <w:jc w:val="center"/>
              <w:rPr>
                <w:rFonts w:ascii="Microsoft JhengHei" w:hAnsi="宋体" w:eastAsia="Microsoft JhengHei" w:cs="宋体"/>
                <w:b/>
                <w:sz w:val="24"/>
                <w:szCs w:val="22"/>
                <w:lang w:val="zh-CN" w:bidi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24"/>
                <w:lang w:val="zh-CN" w:bidi="zh-CN"/>
              </w:rPr>
              <w:t>投资者关系活动主要内容介绍</w:t>
            </w:r>
          </w:p>
        </w:tc>
        <w:tc>
          <w:tcPr>
            <w:tcW w:w="67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与会人员就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稳增长政策，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盾构机/</w:t>
            </w:r>
            <w:r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>在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铁路领域、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传统市场及新兴市场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的应用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zh-CN" w:bidi="zh-CN"/>
              </w:rPr>
              <w:t xml:space="preserve">等情况进行了交流，具体如下：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val="zh-CN" w:bidi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“稳增长”政策对公司带来的发展机遇。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答：2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021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年底中央经济工作会议提出2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22年政策发力适当靠前、适度超前开展基础设施投资等要求后，国常会密集就相关工作开展部署、加速政策推进和项目落地节奏。今年以来，国家“稳增长”政策不断加码，财政政策持续发力，各省市陆续发布重大项目建设计划，项目储备丰富，在“稳增长”政策背景下，上半年专项债发行规模同比大幅上升，基建投资持续回暖。铁路、公路、水利、市政等作为基建投资的重点领域，与公司主要从事的隧道施工装备、道岔、钢结构、专用工程施工机械等基础设施建设高端装备所应用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领域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契合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度高。中铁工业紧抓“稳增长”政策红利和装备制造行业发展机遇，持续加大市场开拓和经营开发力度，预计公司相关产品将在基建领域得到更多的应用。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2.盾构机/TBM在铁路市场领域的应用情况。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答：近年来，随着以高原铁路、深圳机场至大亚湾城际铁路等为代表的铁路隧道市场兴起，铁路隧道采用机械法施工逐渐增多，特别是T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在高原铁路隧道的成功应用，对铁路施工建设产生了深远的影响。随着施工工法和设备的创新和完善，未来铁路市场将是盾构机/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以及隧道施工专用设备发展的重要领域。目前，中铁工业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已有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近4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台盾构机/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应用于铁路施工领域，特别是在高原铁路项目中，中铁工业累计已中标6台TBM，占全部已招标TBM的60%，持续保持了在盾构机/TBM行业的龙头地位。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2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ascii="宋体" w:hAnsi="宋体" w:eastAsia="宋体" w:cs="宋体"/>
                <w:b/>
                <w:bCs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2"/>
                <w:lang w:bidi="zh-CN"/>
              </w:rPr>
              <w:t>3.盾构机/TBM在传统地铁市场及新兴市场的应用情况。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答：中铁工业作为我国盾构机行业的开拓者和领军者，多年来，充分发挥设计、研发优势，坚持将装备制造与工法推广高度融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合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，积极开拓盾构机/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新的应用场景和应用领域。随着盾构机/TBM在铁路、公路、综合管廊、地下空间开发、水利工程（包括调水工程、抽水蓄能）、能源（包括煤矿巷道、能源管道）等领域的市场应用不断增加，新兴市场渗透率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正在逐步提升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。盾构机/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的应用正从原地铁领域的“一枝独秀”向铁路、公路、水利、能源、地下空间开发等多领域“百花齐放”转变。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中铁工业多年来持续深耕新兴业务领域盾构机/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TBM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的研发和应用，并取得了较好的成果，在抽水蓄能领域市场占有率超过8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0%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，在高原铁路领域市场占有率达6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0%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，在水利领域（除抽水蓄能外）市场占有率超过5</w:t>
            </w:r>
            <w:r>
              <w:rPr>
                <w:rFonts w:ascii="宋体" w:hAnsi="宋体" w:eastAsia="宋体" w:cs="宋体"/>
                <w:sz w:val="24"/>
                <w:szCs w:val="22"/>
                <w:lang w:bidi="zh-CN"/>
              </w:rPr>
              <w:t>0%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。预计未来一个时期，除国内地铁市场盾构机应用仍将保持一定规模外，盾构机/TBM在新兴市场领域</w:t>
            </w:r>
            <w:r>
              <w:rPr>
                <w:rFonts w:hint="eastAsia" w:ascii="宋体" w:hAnsi="宋体" w:eastAsia="宋体" w:cs="宋体"/>
                <w:sz w:val="24"/>
                <w:szCs w:val="22"/>
                <w:lang w:val="en-US" w:bidi="zh-CN"/>
              </w:rPr>
              <w:t>也</w:t>
            </w:r>
            <w:r>
              <w:rPr>
                <w:rFonts w:hint="eastAsia" w:ascii="宋体" w:hAnsi="宋体" w:eastAsia="宋体" w:cs="宋体"/>
                <w:sz w:val="24"/>
                <w:szCs w:val="22"/>
                <w:lang w:bidi="zh-CN"/>
              </w:rPr>
              <w:t>将得到更多应用。</w:t>
            </w:r>
          </w:p>
          <w:p>
            <w:pPr>
              <w:widowControl/>
              <w:spacing w:line="380" w:lineRule="exact"/>
              <w:rPr>
                <w:rFonts w:ascii="宋体" w:hAnsi="宋体" w:eastAsia="宋体" w:cs="宋体"/>
                <w:sz w:val="24"/>
                <w:szCs w:val="22"/>
                <w:lang w:bidi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2"/>
          <w:szCs w:val="22"/>
          <w:lang w:val="zh-CN" w:bidi="zh-CN"/>
        </w:rPr>
      </w:pPr>
    </w:p>
    <w:sectPr>
      <w:pgSz w:w="11910" w:h="16840"/>
      <w:pgMar w:top="1420" w:right="156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1" w:fontKey="{1541298A-BCEB-4CDF-B822-9A6C42253BC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248C94E-7AC4-419A-A083-D428B66FAE50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DDE96DE3-6832-4A36-82B9-0C8B2BC568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iZTdkNDE3MjE5YTY5MmUyMmY5ZTFlMTQ0Y2RlYWYifQ=="/>
  </w:docVars>
  <w:rsids>
    <w:rsidRoot w:val="067F2EB8"/>
    <w:rsid w:val="00057DD9"/>
    <w:rsid w:val="000D59AA"/>
    <w:rsid w:val="000F1A64"/>
    <w:rsid w:val="00155DFA"/>
    <w:rsid w:val="001D0590"/>
    <w:rsid w:val="001D0E8C"/>
    <w:rsid w:val="001E5398"/>
    <w:rsid w:val="002C19C8"/>
    <w:rsid w:val="002F65AE"/>
    <w:rsid w:val="00322CBB"/>
    <w:rsid w:val="00350FDA"/>
    <w:rsid w:val="003A0E0C"/>
    <w:rsid w:val="003C7107"/>
    <w:rsid w:val="0047189E"/>
    <w:rsid w:val="004A21B2"/>
    <w:rsid w:val="004F3F17"/>
    <w:rsid w:val="005074AA"/>
    <w:rsid w:val="0051086F"/>
    <w:rsid w:val="005127E7"/>
    <w:rsid w:val="0059527A"/>
    <w:rsid w:val="005B5386"/>
    <w:rsid w:val="005E19FF"/>
    <w:rsid w:val="0061261C"/>
    <w:rsid w:val="006663ED"/>
    <w:rsid w:val="006D0D4B"/>
    <w:rsid w:val="006D18C2"/>
    <w:rsid w:val="00717865"/>
    <w:rsid w:val="007232C6"/>
    <w:rsid w:val="00803AA2"/>
    <w:rsid w:val="00822DDC"/>
    <w:rsid w:val="00840ABE"/>
    <w:rsid w:val="00891B8D"/>
    <w:rsid w:val="008C1DDE"/>
    <w:rsid w:val="00936867"/>
    <w:rsid w:val="00990154"/>
    <w:rsid w:val="00A0690C"/>
    <w:rsid w:val="00A322E9"/>
    <w:rsid w:val="00A36A66"/>
    <w:rsid w:val="00A612FE"/>
    <w:rsid w:val="00A652E5"/>
    <w:rsid w:val="00A6788A"/>
    <w:rsid w:val="00A8052F"/>
    <w:rsid w:val="00AA2AEA"/>
    <w:rsid w:val="00AC2668"/>
    <w:rsid w:val="00AD3078"/>
    <w:rsid w:val="00AE285C"/>
    <w:rsid w:val="00B151B2"/>
    <w:rsid w:val="00B52EC8"/>
    <w:rsid w:val="00B76845"/>
    <w:rsid w:val="00B92A07"/>
    <w:rsid w:val="00BC3BBC"/>
    <w:rsid w:val="00C11372"/>
    <w:rsid w:val="00C51EAA"/>
    <w:rsid w:val="00C629DC"/>
    <w:rsid w:val="00C70D12"/>
    <w:rsid w:val="00CE0A72"/>
    <w:rsid w:val="00CE78A5"/>
    <w:rsid w:val="00D117DC"/>
    <w:rsid w:val="00D26802"/>
    <w:rsid w:val="00D35F1F"/>
    <w:rsid w:val="00D363A5"/>
    <w:rsid w:val="00D50804"/>
    <w:rsid w:val="00D63A9E"/>
    <w:rsid w:val="00D65E27"/>
    <w:rsid w:val="00D66E4B"/>
    <w:rsid w:val="00D87465"/>
    <w:rsid w:val="00DA24A0"/>
    <w:rsid w:val="00DB202B"/>
    <w:rsid w:val="00DC5E96"/>
    <w:rsid w:val="00DF3F05"/>
    <w:rsid w:val="00EB1073"/>
    <w:rsid w:val="00EC4DF6"/>
    <w:rsid w:val="00EF28E1"/>
    <w:rsid w:val="00F54D73"/>
    <w:rsid w:val="00FA6A5F"/>
    <w:rsid w:val="00FD3E00"/>
    <w:rsid w:val="02BA3306"/>
    <w:rsid w:val="046C34D0"/>
    <w:rsid w:val="057E3D39"/>
    <w:rsid w:val="05D46336"/>
    <w:rsid w:val="067F2EB8"/>
    <w:rsid w:val="06E32BC5"/>
    <w:rsid w:val="06E57CCD"/>
    <w:rsid w:val="07683008"/>
    <w:rsid w:val="09147BD1"/>
    <w:rsid w:val="0A101979"/>
    <w:rsid w:val="0F96177E"/>
    <w:rsid w:val="0FCD0D0C"/>
    <w:rsid w:val="11F27621"/>
    <w:rsid w:val="15603B98"/>
    <w:rsid w:val="16A21045"/>
    <w:rsid w:val="17236F1E"/>
    <w:rsid w:val="18191ECD"/>
    <w:rsid w:val="18C31FB2"/>
    <w:rsid w:val="18D51A39"/>
    <w:rsid w:val="1BEF0218"/>
    <w:rsid w:val="1C1F5442"/>
    <w:rsid w:val="1C225265"/>
    <w:rsid w:val="1C745AA8"/>
    <w:rsid w:val="1CE558A8"/>
    <w:rsid w:val="1E166F81"/>
    <w:rsid w:val="22125D09"/>
    <w:rsid w:val="23E256F7"/>
    <w:rsid w:val="244E4F36"/>
    <w:rsid w:val="2CF40171"/>
    <w:rsid w:val="2F3910AA"/>
    <w:rsid w:val="3151318A"/>
    <w:rsid w:val="333431EA"/>
    <w:rsid w:val="35526158"/>
    <w:rsid w:val="379609DC"/>
    <w:rsid w:val="37C75D61"/>
    <w:rsid w:val="38F2029B"/>
    <w:rsid w:val="3A0B1E06"/>
    <w:rsid w:val="3A903116"/>
    <w:rsid w:val="3AAE74F9"/>
    <w:rsid w:val="3AFE1875"/>
    <w:rsid w:val="3B3549EE"/>
    <w:rsid w:val="3E0C3A82"/>
    <w:rsid w:val="3E1F4E95"/>
    <w:rsid w:val="40BF1ED5"/>
    <w:rsid w:val="425A5222"/>
    <w:rsid w:val="427020C1"/>
    <w:rsid w:val="4441183E"/>
    <w:rsid w:val="46B336FC"/>
    <w:rsid w:val="47675366"/>
    <w:rsid w:val="498F750F"/>
    <w:rsid w:val="4A220E73"/>
    <w:rsid w:val="4A3E3505"/>
    <w:rsid w:val="4AA35829"/>
    <w:rsid w:val="4B7E10D3"/>
    <w:rsid w:val="4CD519E2"/>
    <w:rsid w:val="4DC872D1"/>
    <w:rsid w:val="54552A11"/>
    <w:rsid w:val="546141A1"/>
    <w:rsid w:val="55BE5564"/>
    <w:rsid w:val="57E072C8"/>
    <w:rsid w:val="58ED0E26"/>
    <w:rsid w:val="5D51749F"/>
    <w:rsid w:val="5EDE5F3A"/>
    <w:rsid w:val="5FF14891"/>
    <w:rsid w:val="62443C69"/>
    <w:rsid w:val="629C469B"/>
    <w:rsid w:val="631A6271"/>
    <w:rsid w:val="631C6B3A"/>
    <w:rsid w:val="63C128AF"/>
    <w:rsid w:val="641857B4"/>
    <w:rsid w:val="68202928"/>
    <w:rsid w:val="6B8B0AA6"/>
    <w:rsid w:val="6CAE1317"/>
    <w:rsid w:val="6CB30B6E"/>
    <w:rsid w:val="72151F22"/>
    <w:rsid w:val="73A2411E"/>
    <w:rsid w:val="74340667"/>
    <w:rsid w:val="7CCC6B4A"/>
    <w:rsid w:val="7D3674C0"/>
    <w:rsid w:val="7D9046C1"/>
    <w:rsid w:val="7F7C03B4"/>
    <w:rsid w:val="7F88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Table Paragraph"/>
    <w:basedOn w:val="1"/>
    <w:qFormat/>
    <w:uiPriority w:val="1"/>
    <w:pPr>
      <w:ind w:left="10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1181</Words>
  <Characters>1263</Characters>
  <Lines>15</Lines>
  <Paragraphs>4</Paragraphs>
  <TotalTime>6</TotalTime>
  <ScaleCrop>false</ScaleCrop>
  <LinksUpToDate>false</LinksUpToDate>
  <CharactersWithSpaces>1422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2022-07-05T08:53:00Z</dcterms:created>
  <dc:creator>王浩</dc:creator>
  <cp:lastModifiedBy>WH</cp:lastModifiedBy>
  <dcterms:modified xsi:type="dcterms:W3CDTF">2022-07-05T09:28:24Z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204C6857FC3241E382C2D00DF51600FC</vt:lpwstr>
  </property>
</Properties>
</file>