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sz w:val="24"/>
        </w:rPr>
      </w:pPr>
      <w:r>
        <w:rPr>
          <w:rFonts w:hint="eastAsia" w:asciiTheme="minorEastAsia" w:hAnsiTheme="minorEastAsia" w:cstheme="minorEastAsia"/>
          <w:sz w:val="24"/>
        </w:rPr>
        <w:t>证券代码：688388                                    证券简称：嘉元科技</w:t>
      </w:r>
    </w:p>
    <w:p/>
    <w:p>
      <w:pPr>
        <w:spacing w:beforeLines="50" w:afterLines="50"/>
        <w:jc w:val="center"/>
        <w:rPr>
          <w:b/>
          <w:bCs/>
          <w:sz w:val="30"/>
          <w:szCs w:val="30"/>
        </w:rPr>
      </w:pPr>
      <w:r>
        <w:rPr>
          <w:rFonts w:hint="eastAsia"/>
          <w:b/>
          <w:bCs/>
          <w:sz w:val="30"/>
          <w:szCs w:val="30"/>
        </w:rPr>
        <w:t>广东嘉元科技股份有限公司投资者关系活动记录表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1661" w:type="dxa"/>
            <w:vAlign w:val="center"/>
          </w:tcPr>
          <w:p>
            <w:pPr>
              <w:spacing w:line="360" w:lineRule="auto"/>
              <w:jc w:val="center"/>
              <w:rPr>
                <w:sz w:val="24"/>
              </w:rPr>
            </w:pPr>
            <w:r>
              <w:rPr>
                <w:rFonts w:hint="eastAsia"/>
                <w:sz w:val="24"/>
              </w:rPr>
              <w:t>投资者关系</w:t>
            </w:r>
          </w:p>
          <w:p>
            <w:pPr>
              <w:spacing w:line="360" w:lineRule="auto"/>
              <w:jc w:val="center"/>
              <w:rPr>
                <w:b/>
                <w:bCs/>
                <w:sz w:val="30"/>
                <w:szCs w:val="30"/>
              </w:rPr>
            </w:pPr>
            <w:r>
              <w:rPr>
                <w:rFonts w:hint="eastAsia"/>
                <w:sz w:val="24"/>
              </w:rPr>
              <w:t>活动类别</w:t>
            </w:r>
          </w:p>
        </w:tc>
        <w:tc>
          <w:tcPr>
            <w:tcW w:w="6861" w:type="dxa"/>
            <w:vAlign w:val="center"/>
          </w:tcPr>
          <w:p>
            <w:pPr>
              <w:spacing w:line="360" w:lineRule="auto"/>
              <w:jc w:val="left"/>
              <w:rPr>
                <w:sz w:val="24"/>
              </w:rPr>
            </w:pPr>
            <w:r>
              <w:rPr>
                <w:sz w:val="24"/>
              </w:rPr>
              <w:sym w:font="Wingdings 2" w:char="0052"/>
            </w:r>
            <w:r>
              <w:rPr>
                <w:rFonts w:hint="eastAsia"/>
                <w:sz w:val="24"/>
              </w:rPr>
              <w:t xml:space="preserve">特定对象调研      </w:t>
            </w:r>
            <w:r>
              <w:rPr>
                <w:sz w:val="24"/>
              </w:rPr>
              <w:sym w:font="Wingdings 2" w:char="00A3"/>
            </w:r>
            <w:r>
              <w:rPr>
                <w:rFonts w:hint="eastAsia"/>
                <w:sz w:val="24"/>
              </w:rPr>
              <w:t>分析师会议</w:t>
            </w:r>
          </w:p>
          <w:p>
            <w:pPr>
              <w:spacing w:line="360" w:lineRule="auto"/>
              <w:jc w:val="left"/>
              <w:rPr>
                <w:sz w:val="24"/>
              </w:rPr>
            </w:pPr>
            <w:r>
              <w:rPr>
                <w:sz w:val="24"/>
              </w:rPr>
              <w:sym w:font="Wingdings 2" w:char="00A3"/>
            </w:r>
            <w:r>
              <w:rPr>
                <w:rFonts w:hint="eastAsia"/>
                <w:sz w:val="24"/>
              </w:rPr>
              <w:t xml:space="preserve">媒体采访          </w:t>
            </w:r>
            <w:r>
              <w:rPr>
                <w:sz w:val="24"/>
              </w:rPr>
              <w:sym w:font="Wingdings 2" w:char="00A3"/>
            </w:r>
            <w:r>
              <w:rPr>
                <w:rFonts w:hint="eastAsia"/>
                <w:sz w:val="24"/>
              </w:rPr>
              <w:t>业绩说明会</w:t>
            </w:r>
          </w:p>
          <w:p>
            <w:pPr>
              <w:spacing w:line="360" w:lineRule="auto"/>
              <w:jc w:val="left"/>
              <w:rPr>
                <w:sz w:val="24"/>
              </w:rPr>
            </w:pPr>
            <w:r>
              <w:rPr>
                <w:sz w:val="24"/>
              </w:rPr>
              <w:sym w:font="Wingdings 2" w:char="00A3"/>
            </w:r>
            <w:r>
              <w:rPr>
                <w:rFonts w:hint="eastAsia"/>
                <w:sz w:val="24"/>
              </w:rPr>
              <w:t xml:space="preserve">新闻发布会        </w:t>
            </w:r>
            <w:r>
              <w:rPr>
                <w:sz w:val="24"/>
              </w:rPr>
              <w:sym w:font="Wingdings 2" w:char="00A3"/>
            </w:r>
            <w:r>
              <w:rPr>
                <w:rFonts w:hint="eastAsia"/>
                <w:sz w:val="24"/>
              </w:rPr>
              <w:t>路演活动</w:t>
            </w:r>
          </w:p>
          <w:p>
            <w:pPr>
              <w:spacing w:line="360" w:lineRule="auto"/>
              <w:jc w:val="left"/>
              <w:rPr>
                <w:sz w:val="24"/>
              </w:rPr>
            </w:pPr>
            <w:r>
              <w:rPr>
                <w:sz w:val="24"/>
              </w:rPr>
              <w:sym w:font="Wingdings 2" w:char="0052"/>
            </w:r>
            <w:r>
              <w:rPr>
                <w:rFonts w:hint="eastAsia"/>
                <w:sz w:val="24"/>
              </w:rPr>
              <w:t>现场参观</w:t>
            </w:r>
          </w:p>
          <w:p>
            <w:pPr>
              <w:spacing w:line="360" w:lineRule="auto"/>
              <w:jc w:val="left"/>
              <w:rPr>
                <w:b/>
                <w:bCs/>
                <w:sz w:val="24"/>
              </w:rPr>
            </w:pPr>
            <w:r>
              <w:rPr>
                <w:sz w:val="24"/>
              </w:rPr>
              <w:sym w:font="Wingdings 2" w:char="00A3"/>
            </w:r>
            <w:r>
              <w:rPr>
                <w:rFonts w:hint="eastAsia"/>
                <w:sz w:val="24"/>
              </w:rPr>
              <w:t xml:space="preserve">其他（请文字说明其他活动内容）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661" w:type="dxa"/>
            <w:vAlign w:val="center"/>
          </w:tcPr>
          <w:p>
            <w:pPr>
              <w:spacing w:line="360" w:lineRule="auto"/>
              <w:jc w:val="center"/>
              <w:rPr>
                <w:sz w:val="24"/>
              </w:rPr>
            </w:pPr>
            <w:r>
              <w:rPr>
                <w:rFonts w:hint="eastAsia"/>
                <w:sz w:val="24"/>
              </w:rPr>
              <w:t>参与活动</w:t>
            </w:r>
          </w:p>
          <w:p>
            <w:pPr>
              <w:spacing w:line="360" w:lineRule="auto"/>
              <w:jc w:val="center"/>
              <w:rPr>
                <w:sz w:val="24"/>
              </w:rPr>
            </w:pPr>
            <w:r>
              <w:rPr>
                <w:rFonts w:hint="eastAsia"/>
                <w:sz w:val="24"/>
              </w:rPr>
              <w:t>单位名称</w:t>
            </w:r>
          </w:p>
        </w:tc>
        <w:tc>
          <w:tcPr>
            <w:tcW w:w="6861" w:type="dxa"/>
            <w:vAlign w:val="center"/>
          </w:tcPr>
          <w:p>
            <w:pPr>
              <w:spacing w:line="360" w:lineRule="auto"/>
              <w:rPr>
                <w:sz w:val="24"/>
              </w:rPr>
            </w:pPr>
            <w:r>
              <w:rPr>
                <w:sz w:val="24"/>
              </w:rPr>
              <w:t>长江产业基金</w:t>
            </w:r>
            <w:r>
              <w:rPr>
                <w:rFonts w:hint="eastAsia"/>
                <w:sz w:val="24"/>
              </w:rPr>
              <w:t>、开源证券、蒙娜丽莎、上海宝菱投资、南海上市促进会、广州银行、华福证券、深圳康佳资本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61" w:type="dxa"/>
            <w:vAlign w:val="center"/>
          </w:tcPr>
          <w:p>
            <w:pPr>
              <w:spacing w:line="360" w:lineRule="auto"/>
              <w:jc w:val="center"/>
              <w:rPr>
                <w:sz w:val="24"/>
              </w:rPr>
            </w:pPr>
            <w:r>
              <w:rPr>
                <w:rFonts w:hint="eastAsia"/>
                <w:sz w:val="24"/>
              </w:rPr>
              <w:t>上市公司</w:t>
            </w:r>
          </w:p>
          <w:p>
            <w:pPr>
              <w:spacing w:line="360" w:lineRule="auto"/>
              <w:jc w:val="center"/>
              <w:rPr>
                <w:sz w:val="24"/>
              </w:rPr>
            </w:pPr>
            <w:r>
              <w:rPr>
                <w:rFonts w:hint="eastAsia"/>
                <w:sz w:val="24"/>
              </w:rPr>
              <w:t>接待人员</w:t>
            </w:r>
          </w:p>
        </w:tc>
        <w:tc>
          <w:tcPr>
            <w:tcW w:w="6861" w:type="dxa"/>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总裁：杨锋源</w:t>
            </w:r>
          </w:p>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董事会秘书：叶敬敏</w:t>
            </w:r>
          </w:p>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监事会主席：叶成林</w:t>
            </w:r>
          </w:p>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总工程师：王俊锋</w:t>
            </w:r>
          </w:p>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财务负责人：黄勇</w:t>
            </w:r>
          </w:p>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高级副总裁：叶铭</w:t>
            </w:r>
          </w:p>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高级副总裁：肖建斌</w:t>
            </w:r>
          </w:p>
          <w:p>
            <w:pPr>
              <w:spacing w:line="360" w:lineRule="auto"/>
              <w:jc w:val="center"/>
              <w:rPr>
                <w:rFonts w:eastAsia="华文仿宋"/>
                <w:sz w:val="24"/>
              </w:rPr>
            </w:pPr>
            <w:r>
              <w:rPr>
                <w:rFonts w:hint="eastAsia" w:asciiTheme="minorEastAsia" w:hAnsiTheme="minorEastAsia" w:cstheme="minorEastAsia"/>
                <w:sz w:val="24"/>
              </w:rPr>
              <w:t>证券事务代表：赖戈文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661" w:type="dxa"/>
            <w:vAlign w:val="center"/>
          </w:tcPr>
          <w:p>
            <w:pPr>
              <w:spacing w:line="360" w:lineRule="auto"/>
              <w:jc w:val="center"/>
              <w:rPr>
                <w:sz w:val="24"/>
              </w:rPr>
            </w:pPr>
            <w:r>
              <w:rPr>
                <w:rFonts w:hint="eastAsia"/>
                <w:sz w:val="24"/>
              </w:rPr>
              <w:t>时间</w:t>
            </w:r>
          </w:p>
        </w:tc>
        <w:tc>
          <w:tcPr>
            <w:tcW w:w="6861" w:type="dxa"/>
            <w:vAlign w:val="center"/>
          </w:tcPr>
          <w:p>
            <w:pPr>
              <w:spacing w:line="360" w:lineRule="auto"/>
              <w:jc w:val="center"/>
              <w:rPr>
                <w:sz w:val="24"/>
              </w:rPr>
            </w:pPr>
            <w:r>
              <w:rPr>
                <w:rFonts w:hint="eastAsia"/>
                <w:sz w:val="24"/>
              </w:rPr>
              <w:t>2022年7月14日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61" w:type="dxa"/>
            <w:vAlign w:val="center"/>
          </w:tcPr>
          <w:p>
            <w:pPr>
              <w:spacing w:line="360" w:lineRule="auto"/>
              <w:jc w:val="center"/>
              <w:rPr>
                <w:sz w:val="24"/>
              </w:rPr>
            </w:pPr>
            <w:r>
              <w:rPr>
                <w:rFonts w:hint="eastAsia"/>
                <w:sz w:val="24"/>
              </w:rPr>
              <w:t>地点</w:t>
            </w:r>
          </w:p>
        </w:tc>
        <w:tc>
          <w:tcPr>
            <w:tcW w:w="6861" w:type="dxa"/>
            <w:vAlign w:val="center"/>
          </w:tcPr>
          <w:p>
            <w:pPr>
              <w:spacing w:line="360" w:lineRule="auto"/>
              <w:jc w:val="center"/>
              <w:rPr>
                <w:sz w:val="24"/>
              </w:rPr>
            </w:pPr>
            <w:r>
              <w:rPr>
                <w:rFonts w:hint="eastAsia"/>
                <w:sz w:val="24"/>
              </w:rPr>
              <w:t>公司办公楼一楼会议室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661" w:type="dxa"/>
            <w:vAlign w:val="center"/>
          </w:tcPr>
          <w:p>
            <w:pPr>
              <w:spacing w:line="360" w:lineRule="auto"/>
              <w:jc w:val="center"/>
              <w:rPr>
                <w:sz w:val="24"/>
              </w:rPr>
            </w:pPr>
            <w:r>
              <w:rPr>
                <w:rFonts w:hint="eastAsia"/>
                <w:sz w:val="24"/>
              </w:rPr>
              <w:t>投资者关系</w:t>
            </w:r>
          </w:p>
          <w:p>
            <w:pPr>
              <w:spacing w:line="360" w:lineRule="auto"/>
              <w:jc w:val="center"/>
              <w:rPr>
                <w:sz w:val="24"/>
              </w:rPr>
            </w:pPr>
            <w:r>
              <w:rPr>
                <w:rFonts w:hint="eastAsia"/>
                <w:sz w:val="24"/>
              </w:rPr>
              <w:t>活动主要</w:t>
            </w:r>
          </w:p>
          <w:p>
            <w:pPr>
              <w:spacing w:line="360" w:lineRule="auto"/>
              <w:jc w:val="center"/>
              <w:rPr>
                <w:sz w:val="24"/>
              </w:rPr>
            </w:pPr>
            <w:r>
              <w:rPr>
                <w:rFonts w:hint="eastAsia"/>
                <w:sz w:val="24"/>
              </w:rPr>
              <w:t>内容介绍</w:t>
            </w:r>
          </w:p>
        </w:tc>
        <w:tc>
          <w:tcPr>
            <w:tcW w:w="6861" w:type="dxa"/>
            <w:vAlign w:val="center"/>
          </w:tcPr>
          <w:p>
            <w:pPr>
              <w:spacing w:line="360" w:lineRule="auto"/>
              <w:rPr>
                <w:b/>
                <w:bCs/>
                <w:sz w:val="24"/>
              </w:rPr>
            </w:pPr>
            <w:r>
              <w:rPr>
                <w:b/>
                <w:bCs/>
                <w:sz w:val="24"/>
              </w:rPr>
              <w:t>投资者关系活动的主要内容如下：</w:t>
            </w:r>
          </w:p>
          <w:p>
            <w:pPr>
              <w:spacing w:line="360" w:lineRule="auto"/>
              <w:ind w:firstLine="480" w:firstLineChars="200"/>
              <w:rPr>
                <w:sz w:val="24"/>
              </w:rPr>
            </w:pPr>
            <w:r>
              <w:rPr>
                <w:rFonts w:hint="eastAsia"/>
                <w:sz w:val="24"/>
              </w:rPr>
              <w:t>本次</w:t>
            </w:r>
            <w:r>
              <w:rPr>
                <w:sz w:val="24"/>
              </w:rPr>
              <w:t>交流会议采取问答的形式，公司参会人员就机构投资者关注的问题给予现场解答，帮助投资者更全面地了解公司的经营情况，公司参会人员在会议过程中遵循了投资者关系管理规定、上市公司信息披露等规定。</w:t>
            </w:r>
          </w:p>
          <w:p>
            <w:pPr>
              <w:spacing w:line="360" w:lineRule="auto"/>
              <w:ind w:firstLine="482" w:firstLineChars="200"/>
              <w:rPr>
                <w:b/>
                <w:bCs/>
                <w:sz w:val="24"/>
              </w:rPr>
            </w:pPr>
            <w:r>
              <w:rPr>
                <w:rFonts w:hint="eastAsia"/>
                <w:b/>
                <w:bCs/>
                <w:sz w:val="24"/>
              </w:rPr>
              <w:t>1、</w:t>
            </w:r>
            <w:r>
              <w:rPr>
                <w:b/>
                <w:bCs/>
                <w:sz w:val="24"/>
              </w:rPr>
              <w:t>公司技术实力在行业中处于什么水平？</w:t>
            </w:r>
          </w:p>
          <w:p>
            <w:pPr>
              <w:spacing w:line="360" w:lineRule="auto"/>
              <w:ind w:firstLine="480" w:firstLineChars="200"/>
              <w:rPr>
                <w:sz w:val="24"/>
              </w:rPr>
            </w:pPr>
            <w:r>
              <w:rPr>
                <w:sz w:val="24"/>
              </w:rPr>
              <w:t>答：公司是国内较早涉足锂电铜箔专业生产制造的企业，经过长期发展，积累了丰富的生产经验和较强的技术优势。作为国内少数已实现4.5µm极薄锂电铜箔产业化的企业，公司产品在铜箔面密度、抗拉强度、延伸率等关键指标均处于行业领先水平，具备一定的市场</w:t>
            </w:r>
            <w:r>
              <w:rPr>
                <w:rFonts w:hint="eastAsia"/>
                <w:sz w:val="24"/>
                <w:lang w:val="en-US" w:eastAsia="zh-CN"/>
              </w:rPr>
              <w:t>竞争</w:t>
            </w:r>
            <w:r>
              <w:rPr>
                <w:sz w:val="24"/>
              </w:rPr>
              <w:t>优势。</w:t>
            </w:r>
            <w:bookmarkStart w:id="0" w:name="_GoBack"/>
            <w:bookmarkEnd w:id="0"/>
          </w:p>
          <w:p>
            <w:pPr>
              <w:spacing w:line="360" w:lineRule="auto"/>
              <w:ind w:firstLine="480" w:firstLineChars="200"/>
              <w:rPr>
                <w:sz w:val="24"/>
              </w:rPr>
            </w:pPr>
          </w:p>
          <w:p>
            <w:pPr>
              <w:spacing w:line="360" w:lineRule="auto"/>
              <w:ind w:firstLine="482" w:firstLineChars="200"/>
              <w:rPr>
                <w:b/>
                <w:bCs/>
                <w:sz w:val="24"/>
              </w:rPr>
            </w:pPr>
            <w:r>
              <w:rPr>
                <w:rFonts w:hint="eastAsia"/>
                <w:b/>
                <w:bCs/>
                <w:sz w:val="24"/>
              </w:rPr>
              <w:t>2、</w:t>
            </w:r>
            <w:r>
              <w:rPr>
                <w:b/>
                <w:bCs/>
                <w:sz w:val="24"/>
              </w:rPr>
              <w:t>公司如何在行业中保持技术领先优势？</w:t>
            </w:r>
          </w:p>
          <w:p>
            <w:pPr>
              <w:spacing w:line="360" w:lineRule="auto"/>
              <w:ind w:firstLine="480" w:firstLineChars="200"/>
              <w:rPr>
                <w:sz w:val="24"/>
              </w:rPr>
            </w:pPr>
            <w:r>
              <w:rPr>
                <w:sz w:val="24"/>
              </w:rPr>
              <w:t>答：在产品研发与技术创新方面，公司坚持“研发一代、储备一代、生产一代”，同时与下游客户保持紧密合作的关系，根据下游客户的应用需求及行业技术发展趋势进行产品研发和技术储备，保持公司产品的竞争优势。</w:t>
            </w:r>
          </w:p>
          <w:p>
            <w:pPr>
              <w:spacing w:line="360" w:lineRule="auto"/>
              <w:ind w:firstLine="480" w:firstLineChars="200"/>
              <w:rPr>
                <w:sz w:val="24"/>
              </w:rPr>
            </w:pPr>
          </w:p>
          <w:p>
            <w:pPr>
              <w:spacing w:line="360" w:lineRule="auto"/>
              <w:ind w:firstLine="482" w:firstLineChars="200"/>
              <w:rPr>
                <w:sz w:val="24"/>
              </w:rPr>
            </w:pPr>
            <w:r>
              <w:rPr>
                <w:rFonts w:hint="eastAsia"/>
                <w:b/>
                <w:bCs/>
                <w:sz w:val="24"/>
              </w:rPr>
              <w:t>3、</w:t>
            </w:r>
            <w:r>
              <w:rPr>
                <w:b/>
                <w:bCs/>
                <w:sz w:val="24"/>
              </w:rPr>
              <w:t>铜价波动是否会对加工费产生影响？</w:t>
            </w:r>
          </w:p>
          <w:p>
            <w:pPr>
              <w:spacing w:line="360" w:lineRule="auto"/>
              <w:ind w:firstLine="480" w:firstLineChars="200"/>
              <w:rPr>
                <w:sz w:val="24"/>
              </w:rPr>
            </w:pPr>
            <w:r>
              <w:rPr>
                <w:sz w:val="24"/>
              </w:rPr>
              <w:t>答：公司铜箔产品定价模式为“铜价+加工费”。加工费主要取决于下游市场的供需情况及供需双方商务协商。铜价波动对公司原材料采购成本有一定影响，对公司产品加工费无直接影响。</w:t>
            </w:r>
          </w:p>
          <w:p>
            <w:pPr>
              <w:spacing w:line="360" w:lineRule="auto"/>
              <w:ind w:firstLine="480" w:firstLineChars="200"/>
              <w:rPr>
                <w:sz w:val="24"/>
              </w:rPr>
            </w:pPr>
          </w:p>
          <w:p>
            <w:pPr>
              <w:spacing w:line="360" w:lineRule="auto"/>
              <w:ind w:firstLine="482" w:firstLineChars="200"/>
              <w:rPr>
                <w:sz w:val="24"/>
              </w:rPr>
            </w:pPr>
            <w:r>
              <w:rPr>
                <w:rFonts w:hint="eastAsia"/>
                <w:b/>
                <w:bCs/>
                <w:sz w:val="24"/>
              </w:rPr>
              <w:t>4、</w:t>
            </w:r>
            <w:r>
              <w:rPr>
                <w:b/>
                <w:bCs/>
                <w:sz w:val="24"/>
              </w:rPr>
              <w:t>公司定期报告应收账款增多的原因？</w:t>
            </w:r>
          </w:p>
          <w:p>
            <w:pPr>
              <w:spacing w:line="360" w:lineRule="auto"/>
              <w:ind w:firstLine="480" w:firstLineChars="200"/>
              <w:rPr>
                <w:sz w:val="24"/>
              </w:rPr>
            </w:pPr>
            <w:r>
              <w:rPr>
                <w:sz w:val="24"/>
              </w:rPr>
              <w:t>答：公司应收账款增加主要是销售收入增加所致。公司下游客户主要为国内主流锂离子电池厂商，客户信誉较好，对应应收账款产生坏账的风险较小。</w:t>
            </w:r>
          </w:p>
          <w:p>
            <w:pPr>
              <w:spacing w:line="360" w:lineRule="auto"/>
              <w:ind w:firstLine="480" w:firstLineChars="200"/>
              <w:rPr>
                <w:sz w:val="24"/>
              </w:rPr>
            </w:pPr>
          </w:p>
          <w:p>
            <w:pPr>
              <w:spacing w:line="360" w:lineRule="auto"/>
              <w:ind w:firstLine="482" w:firstLineChars="200"/>
              <w:rPr>
                <w:sz w:val="24"/>
              </w:rPr>
            </w:pPr>
            <w:r>
              <w:rPr>
                <w:rFonts w:hint="eastAsia"/>
                <w:b/>
                <w:bCs/>
                <w:sz w:val="24"/>
              </w:rPr>
              <w:t>5、</w:t>
            </w:r>
            <w:r>
              <w:rPr>
                <w:b/>
                <w:bCs/>
                <w:sz w:val="24"/>
              </w:rPr>
              <w:t>公司在加大对锂电铜箔产线投资建设的同时，在江西龙南投资建设年产2万吨电解铜箔项目生产PCB用标准铜箔的原因？</w:t>
            </w:r>
          </w:p>
          <w:p>
            <w:pPr>
              <w:spacing w:line="360" w:lineRule="auto"/>
              <w:ind w:firstLine="480" w:firstLineChars="200"/>
              <w:rPr>
                <w:sz w:val="24"/>
              </w:rPr>
            </w:pPr>
            <w:r>
              <w:rPr>
                <w:sz w:val="24"/>
              </w:rPr>
              <w:t>答：公司早期以生产PCB用标准铜箔为主业，后续转为主要生产超薄锂电铜箔、极薄锂电铜箔，同时生产少量PCB用标准铜箔产品。经长期生产工艺及技术积累沉淀，除已掌握高性能锂电铜箔制造核心技术外，公司还掌握反转型（RTF）铜箔、甚低轮廓（VLP）铜箔等中高端 PCB 用电子铜箔的制造技术。公司本次在江西龙南投资建设年产2万吨电解铜箔项目，旨在布局附加值较高的中高端PCB用标准铜箔产品生产制造，进一步丰富公司的客户群体及产品结构。</w:t>
            </w:r>
          </w:p>
          <w:p>
            <w:pPr>
              <w:spacing w:line="360" w:lineRule="auto"/>
              <w:ind w:firstLine="480" w:firstLineChars="200"/>
              <w:rPr>
                <w:sz w:val="24"/>
              </w:rPr>
            </w:pPr>
          </w:p>
          <w:p>
            <w:pPr>
              <w:spacing w:line="360" w:lineRule="auto"/>
              <w:ind w:firstLine="482" w:firstLineChars="200"/>
              <w:rPr>
                <w:b/>
                <w:bCs/>
                <w:sz w:val="24"/>
              </w:rPr>
            </w:pPr>
            <w:r>
              <w:rPr>
                <w:rFonts w:hint="eastAsia"/>
                <w:b/>
                <w:bCs/>
                <w:sz w:val="24"/>
              </w:rPr>
              <w:t>6、</w:t>
            </w:r>
            <w:r>
              <w:rPr>
                <w:b/>
                <w:bCs/>
                <w:sz w:val="24"/>
              </w:rPr>
              <w:t>公司收购山东嘉元并增资扩产主要是基于怎样的考虑？</w:t>
            </w:r>
          </w:p>
          <w:p>
            <w:pPr>
              <w:spacing w:line="360" w:lineRule="auto"/>
              <w:ind w:firstLine="480" w:firstLineChars="200"/>
              <w:rPr>
                <w:sz w:val="24"/>
              </w:rPr>
            </w:pPr>
            <w:r>
              <w:rPr>
                <w:sz w:val="24"/>
              </w:rPr>
              <w:t>答：公司收购山东嘉元新能源材料有限公司，主要是基于其具备快速扩产能力及公司扩展区域销售服务半径的需求等方面的考虑。通过“年产3万吨高精度超薄电子铜箔项目（二期1.5万吨项目）”的建设，有利于公司提高市场份额，增强区域竞争优势，更好地满足下游客户需求并进一步巩固公司的市场地位。</w:t>
            </w:r>
          </w:p>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661" w:type="dxa"/>
            <w:vAlign w:val="center"/>
          </w:tcPr>
          <w:p>
            <w:pPr>
              <w:spacing w:line="360" w:lineRule="auto"/>
              <w:jc w:val="center"/>
              <w:rPr>
                <w:sz w:val="24"/>
              </w:rPr>
            </w:pPr>
            <w:r>
              <w:rPr>
                <w:rFonts w:hint="eastAsia"/>
                <w:sz w:val="24"/>
              </w:rPr>
              <w:t>附件清单</w:t>
            </w:r>
          </w:p>
          <w:p>
            <w:pPr>
              <w:spacing w:line="360" w:lineRule="auto"/>
              <w:jc w:val="center"/>
              <w:rPr>
                <w:sz w:val="24"/>
              </w:rPr>
            </w:pPr>
            <w:r>
              <w:rPr>
                <w:rFonts w:hint="eastAsia"/>
                <w:sz w:val="24"/>
              </w:rPr>
              <w:t>（如有）</w:t>
            </w:r>
          </w:p>
        </w:tc>
        <w:tc>
          <w:tcPr>
            <w:tcW w:w="6861" w:type="dxa"/>
            <w:vAlign w:val="center"/>
          </w:tcPr>
          <w:p>
            <w:pPr>
              <w:spacing w:line="360" w:lineRule="auto"/>
              <w:jc w:val="center"/>
              <w:rPr>
                <w:sz w:val="24"/>
              </w:rPr>
            </w:pPr>
            <w:r>
              <w:rPr>
                <w:rFonts w:hint="eastAsia"/>
                <w:sz w:val="24"/>
              </w:rPr>
              <w:t>无</w:t>
            </w:r>
          </w:p>
        </w:tc>
      </w:tr>
    </w:tbl>
    <w:p>
      <w:pPr>
        <w:spacing w:line="360" w:lineRule="auto"/>
      </w:pPr>
    </w:p>
    <w:p>
      <w:pPr>
        <w:spacing w:beforeLines="50" w:afterLines="50" w:line="360" w:lineRule="auto"/>
        <w:jc w:val="right"/>
        <w:rPr>
          <w:sz w:val="24"/>
          <w:szCs w:val="32"/>
        </w:rPr>
      </w:pPr>
      <w:r>
        <w:rPr>
          <w:rFonts w:hint="eastAsia"/>
          <w:sz w:val="24"/>
          <w:szCs w:val="32"/>
        </w:rPr>
        <w:t>广东嘉元科技股份有限公司董事会</w:t>
      </w:r>
    </w:p>
    <w:p>
      <w:pPr>
        <w:spacing w:beforeLines="50" w:afterLines="50" w:line="360" w:lineRule="auto"/>
        <w:jc w:val="right"/>
        <w:rPr>
          <w:sz w:val="24"/>
          <w:szCs w:val="32"/>
        </w:rPr>
      </w:pPr>
      <w:r>
        <w:rPr>
          <w:rFonts w:hint="eastAsia"/>
          <w:sz w:val="24"/>
          <w:szCs w:val="32"/>
        </w:rPr>
        <w:t>2022年7月18日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M3NzdlZTI1YzVmNWYxYjRhOTlmYjE1ZDMzMDlhMjYifQ=="/>
  </w:docVars>
  <w:rsids>
    <w:rsidRoot w:val="00070AA6"/>
    <w:rsid w:val="00070AA6"/>
    <w:rsid w:val="0079151F"/>
    <w:rsid w:val="00A42ADD"/>
    <w:rsid w:val="02D738FF"/>
    <w:rsid w:val="032633D2"/>
    <w:rsid w:val="125C5313"/>
    <w:rsid w:val="182815F8"/>
    <w:rsid w:val="187D327C"/>
    <w:rsid w:val="1AB942E0"/>
    <w:rsid w:val="1CEF3213"/>
    <w:rsid w:val="20125523"/>
    <w:rsid w:val="22F95E06"/>
    <w:rsid w:val="275859D8"/>
    <w:rsid w:val="30F97ADC"/>
    <w:rsid w:val="32511BB1"/>
    <w:rsid w:val="34496351"/>
    <w:rsid w:val="3B046A31"/>
    <w:rsid w:val="3B7223A8"/>
    <w:rsid w:val="3F9659E6"/>
    <w:rsid w:val="487662C6"/>
    <w:rsid w:val="492E7033"/>
    <w:rsid w:val="49393587"/>
    <w:rsid w:val="4A840E21"/>
    <w:rsid w:val="4B3538DE"/>
    <w:rsid w:val="4CB5511A"/>
    <w:rsid w:val="4E147E44"/>
    <w:rsid w:val="519C46E8"/>
    <w:rsid w:val="53502AA7"/>
    <w:rsid w:val="56097806"/>
    <w:rsid w:val="5C743AEC"/>
    <w:rsid w:val="67E17CA9"/>
    <w:rsid w:val="68F44818"/>
    <w:rsid w:val="69906BC8"/>
    <w:rsid w:val="6A0B040D"/>
    <w:rsid w:val="6BE84ACA"/>
    <w:rsid w:val="6D0800AC"/>
    <w:rsid w:val="71D70AA3"/>
    <w:rsid w:val="739D0E66"/>
    <w:rsid w:val="75D44EF8"/>
    <w:rsid w:val="797C7A9F"/>
    <w:rsid w:val="7E1302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1261</Words>
  <Characters>1294</Characters>
  <Lines>10</Lines>
  <Paragraphs>2</Paragraphs>
  <TotalTime>31</TotalTime>
  <ScaleCrop>false</ScaleCrop>
  <LinksUpToDate>false</LinksUpToDate>
  <CharactersWithSpaces>1367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2020-03-09T02:04:00Z</dcterms:created>
  <dc:creator>JYKJ</dc:creator>
  <cp:lastModifiedBy>James</cp:lastModifiedBy>
  <dcterms:modified xsi:type="dcterms:W3CDTF">2022-07-18T09:18:11Z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69F99C98ACAD4D109035B9253D2168A2</vt:lpwstr>
  </property>
</Properties>
</file>