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4F" w:rsidRDefault="0062103F" w:rsidP="00E119FF">
      <w:pPr>
        <w:rPr>
          <w:rFonts w:ascii="黑体" w:eastAsia="黑体" w:hAnsi="黑体" w:cs="黑体"/>
          <w:sz w:val="24"/>
          <w:szCs w:val="24"/>
        </w:rPr>
      </w:pPr>
      <w:r>
        <w:rPr>
          <w:rFonts w:ascii="黑体" w:eastAsia="黑体" w:hAnsi="黑体" w:cs="黑体" w:hint="eastAsia"/>
          <w:sz w:val="24"/>
          <w:szCs w:val="24"/>
        </w:rPr>
        <w:t>证券代码：600537                                  证券简称：</w:t>
      </w:r>
      <w:proofErr w:type="gramStart"/>
      <w:r>
        <w:rPr>
          <w:rFonts w:ascii="黑体" w:eastAsia="黑体" w:hAnsi="黑体" w:cs="黑体" w:hint="eastAsia"/>
          <w:sz w:val="24"/>
          <w:szCs w:val="24"/>
        </w:rPr>
        <w:t>亿晶光电</w:t>
      </w:r>
      <w:proofErr w:type="gramEnd"/>
    </w:p>
    <w:p w:rsidR="00DB6E4F" w:rsidRDefault="00DB6E4F" w:rsidP="00E119FF">
      <w:pPr>
        <w:rPr>
          <w:rFonts w:ascii="黑体" w:eastAsia="黑体" w:hAnsi="黑体" w:cs="黑体"/>
          <w:sz w:val="24"/>
          <w:szCs w:val="24"/>
        </w:rPr>
      </w:pPr>
    </w:p>
    <w:p w:rsidR="00DB6E4F" w:rsidRDefault="0062103F" w:rsidP="006A21A8">
      <w:pPr>
        <w:spacing w:line="360" w:lineRule="auto"/>
        <w:jc w:val="center"/>
        <w:rPr>
          <w:rFonts w:ascii="黑体" w:eastAsia="黑体" w:hAnsi="黑体"/>
          <w:b/>
          <w:sz w:val="32"/>
          <w:szCs w:val="32"/>
        </w:rPr>
      </w:pPr>
      <w:proofErr w:type="gramStart"/>
      <w:r>
        <w:rPr>
          <w:rFonts w:ascii="黑体" w:eastAsia="黑体" w:hAnsi="黑体" w:hint="eastAsia"/>
          <w:b/>
          <w:sz w:val="32"/>
          <w:szCs w:val="32"/>
        </w:rPr>
        <w:t>亿晶光电</w:t>
      </w:r>
      <w:proofErr w:type="gramEnd"/>
      <w:r>
        <w:rPr>
          <w:rFonts w:ascii="黑体" w:eastAsia="黑体" w:hAnsi="黑体" w:hint="eastAsia"/>
          <w:b/>
          <w:sz w:val="32"/>
          <w:szCs w:val="32"/>
        </w:rPr>
        <w:t>科技股份有限公司</w:t>
      </w:r>
    </w:p>
    <w:p w:rsidR="00DB6E4F" w:rsidRDefault="0062103F" w:rsidP="006A21A8">
      <w:pPr>
        <w:spacing w:line="360" w:lineRule="auto"/>
        <w:jc w:val="center"/>
        <w:rPr>
          <w:rFonts w:ascii="黑体" w:eastAsia="黑体" w:hAnsi="黑体"/>
          <w:b/>
          <w:sz w:val="32"/>
          <w:szCs w:val="32"/>
        </w:rPr>
      </w:pPr>
      <w:r>
        <w:rPr>
          <w:rFonts w:ascii="黑体" w:eastAsia="黑体" w:hAnsi="黑体"/>
          <w:b/>
          <w:sz w:val="32"/>
          <w:szCs w:val="32"/>
        </w:rPr>
        <w:t>投资者关系活动记录表</w:t>
      </w:r>
    </w:p>
    <w:p w:rsidR="00DB6E4F" w:rsidRDefault="0062103F" w:rsidP="00E119FF">
      <w:pPr>
        <w:spacing w:line="360" w:lineRule="auto"/>
        <w:rPr>
          <w:rFonts w:ascii="黑体" w:eastAsia="黑体" w:hAnsi="黑体"/>
          <w:b/>
          <w:sz w:val="32"/>
          <w:szCs w:val="32"/>
        </w:rPr>
      </w:pPr>
      <w:r>
        <w:rPr>
          <w:rFonts w:ascii="黑体" w:eastAsia="黑体" w:hAnsi="黑体" w:hint="eastAsia"/>
          <w:b/>
          <w:sz w:val="32"/>
          <w:szCs w:val="32"/>
        </w:rPr>
        <w:t xml:space="preserve">            </w:t>
      </w:r>
    </w:p>
    <w:tbl>
      <w:tblPr>
        <w:tblStyle w:val="a7"/>
        <w:tblW w:w="8532" w:type="dxa"/>
        <w:tblLook w:val="04A0" w:firstRow="1" w:lastRow="0" w:firstColumn="1" w:lastColumn="0" w:noHBand="0" w:noVBand="1"/>
      </w:tblPr>
      <w:tblGrid>
        <w:gridCol w:w="1921"/>
        <w:gridCol w:w="6611"/>
      </w:tblGrid>
      <w:tr w:rsidR="00DB6E4F">
        <w:tc>
          <w:tcPr>
            <w:tcW w:w="1921" w:type="dxa"/>
          </w:tcPr>
          <w:p w:rsidR="00DB6E4F" w:rsidRDefault="00DB6E4F" w:rsidP="00E119FF">
            <w:pPr>
              <w:spacing w:line="360" w:lineRule="auto"/>
              <w:rPr>
                <w:b/>
                <w:bCs/>
                <w:sz w:val="24"/>
                <w:szCs w:val="24"/>
              </w:rPr>
            </w:pPr>
          </w:p>
          <w:p w:rsidR="00DB6E4F" w:rsidRDefault="00DB6E4F" w:rsidP="00E119FF">
            <w:pPr>
              <w:spacing w:line="360" w:lineRule="auto"/>
              <w:rPr>
                <w:b/>
                <w:bCs/>
                <w:sz w:val="24"/>
                <w:szCs w:val="24"/>
              </w:rPr>
            </w:pPr>
          </w:p>
          <w:p w:rsidR="00DB6E4F" w:rsidRDefault="0062103F" w:rsidP="00E119FF">
            <w:pPr>
              <w:spacing w:line="360" w:lineRule="auto"/>
              <w:rPr>
                <w:b/>
                <w:bCs/>
                <w:sz w:val="24"/>
                <w:szCs w:val="24"/>
              </w:rPr>
            </w:pPr>
            <w:r>
              <w:rPr>
                <w:rFonts w:hint="eastAsia"/>
                <w:b/>
                <w:bCs/>
                <w:sz w:val="24"/>
                <w:szCs w:val="24"/>
              </w:rPr>
              <w:t>投资者关系</w:t>
            </w:r>
          </w:p>
          <w:p w:rsidR="00DB6E4F" w:rsidRDefault="0062103F" w:rsidP="00E119FF">
            <w:pPr>
              <w:spacing w:line="360" w:lineRule="auto"/>
              <w:rPr>
                <w:b/>
                <w:bCs/>
                <w:sz w:val="24"/>
                <w:szCs w:val="24"/>
              </w:rPr>
            </w:pPr>
            <w:r>
              <w:rPr>
                <w:rFonts w:hint="eastAsia"/>
                <w:b/>
                <w:bCs/>
                <w:sz w:val="24"/>
                <w:szCs w:val="24"/>
              </w:rPr>
              <w:t>活动类别</w:t>
            </w:r>
          </w:p>
        </w:tc>
        <w:tc>
          <w:tcPr>
            <w:tcW w:w="6611" w:type="dxa"/>
            <w:vAlign w:val="center"/>
          </w:tcPr>
          <w:p w:rsidR="00DB6E4F" w:rsidRDefault="0062103F" w:rsidP="00E119FF">
            <w:pPr>
              <w:spacing w:line="360" w:lineRule="auto"/>
              <w:rPr>
                <w:sz w:val="24"/>
                <w:szCs w:val="24"/>
              </w:rPr>
            </w:pPr>
            <w:r>
              <w:rPr>
                <w:rFonts w:hint="eastAsia"/>
                <w:sz w:val="24"/>
                <w:szCs w:val="24"/>
              </w:rPr>
              <w:sym w:font="Wingdings 2" w:char="0052"/>
            </w:r>
            <w:r>
              <w:rPr>
                <w:rFonts w:hint="eastAsia"/>
                <w:sz w:val="24"/>
                <w:szCs w:val="24"/>
              </w:rPr>
              <w:t>特定对象调研</w:t>
            </w:r>
            <w:r>
              <w:rPr>
                <w:rFonts w:hint="eastAsia"/>
                <w:sz w:val="24"/>
                <w:szCs w:val="24"/>
              </w:rPr>
              <w:t xml:space="preserve">             </w:t>
            </w:r>
            <w:r>
              <w:rPr>
                <w:rFonts w:hint="eastAsia"/>
                <w:sz w:val="24"/>
                <w:szCs w:val="24"/>
              </w:rPr>
              <w:t>□分析师会议</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□媒体采访</w:t>
            </w:r>
            <w:r>
              <w:rPr>
                <w:rFonts w:hint="eastAsia"/>
                <w:sz w:val="24"/>
                <w:szCs w:val="24"/>
              </w:rPr>
              <w:t xml:space="preserve">                 </w:t>
            </w:r>
            <w:r>
              <w:rPr>
                <w:rFonts w:hint="eastAsia"/>
                <w:sz w:val="24"/>
                <w:szCs w:val="24"/>
              </w:rPr>
              <w:t>□业绩说明会</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□新闻发布会</w:t>
            </w:r>
            <w:r>
              <w:rPr>
                <w:rFonts w:hint="eastAsia"/>
                <w:sz w:val="24"/>
                <w:szCs w:val="24"/>
              </w:rPr>
              <w:t xml:space="preserve">               </w:t>
            </w:r>
            <w:r>
              <w:rPr>
                <w:rFonts w:hint="eastAsia"/>
                <w:sz w:val="24"/>
                <w:szCs w:val="24"/>
              </w:rPr>
              <w:t>□路演活动</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sym w:font="Wingdings 2" w:char="0052"/>
            </w:r>
            <w:r>
              <w:rPr>
                <w:rFonts w:hint="eastAsia"/>
                <w:sz w:val="24"/>
                <w:szCs w:val="24"/>
              </w:rPr>
              <w:t>现场参观</w:t>
            </w:r>
            <w:r>
              <w:rPr>
                <w:rFonts w:hint="eastAsia"/>
                <w:sz w:val="24"/>
                <w:szCs w:val="24"/>
              </w:rPr>
              <w:t xml:space="preserve"> </w:t>
            </w:r>
          </w:p>
          <w:p w:rsidR="00DB6E4F" w:rsidRDefault="0062103F" w:rsidP="00E119FF">
            <w:pPr>
              <w:spacing w:line="360" w:lineRule="auto"/>
              <w:rPr>
                <w:sz w:val="24"/>
                <w:szCs w:val="24"/>
              </w:rPr>
            </w:pPr>
            <w:r>
              <w:rPr>
                <w:rFonts w:hint="eastAsia"/>
                <w:sz w:val="24"/>
                <w:szCs w:val="24"/>
              </w:rPr>
              <w:t>□其他</w:t>
            </w:r>
            <w:r>
              <w:rPr>
                <w:rFonts w:hint="eastAsia"/>
                <w:sz w:val="24"/>
                <w:szCs w:val="24"/>
              </w:rPr>
              <w:t xml:space="preserve"> </w:t>
            </w:r>
          </w:p>
          <w:p w:rsidR="00DB6E4F" w:rsidRDefault="00DB6E4F" w:rsidP="00E119FF">
            <w:pPr>
              <w:spacing w:line="360" w:lineRule="auto"/>
              <w:rPr>
                <w:sz w:val="24"/>
                <w:szCs w:val="24"/>
              </w:rPr>
            </w:pPr>
          </w:p>
        </w:tc>
      </w:tr>
      <w:tr w:rsidR="00DB6E4F">
        <w:tc>
          <w:tcPr>
            <w:tcW w:w="1921" w:type="dxa"/>
          </w:tcPr>
          <w:p w:rsidR="00DB6E4F" w:rsidRDefault="00DB6E4F" w:rsidP="00E119FF">
            <w:pPr>
              <w:spacing w:line="360" w:lineRule="auto"/>
              <w:rPr>
                <w:b/>
                <w:bCs/>
                <w:sz w:val="24"/>
                <w:szCs w:val="24"/>
              </w:rPr>
            </w:pPr>
          </w:p>
          <w:p w:rsidR="00DB6E4F" w:rsidRDefault="0062103F" w:rsidP="00E119FF">
            <w:pPr>
              <w:spacing w:line="360" w:lineRule="auto"/>
              <w:rPr>
                <w:b/>
                <w:bCs/>
                <w:sz w:val="24"/>
                <w:szCs w:val="24"/>
              </w:rPr>
            </w:pPr>
            <w:r>
              <w:rPr>
                <w:rFonts w:hint="eastAsia"/>
                <w:b/>
                <w:bCs/>
                <w:sz w:val="24"/>
                <w:szCs w:val="24"/>
              </w:rPr>
              <w:t>参与单位名称</w:t>
            </w:r>
          </w:p>
          <w:p w:rsidR="00DB6E4F" w:rsidRDefault="0062103F" w:rsidP="00E119FF">
            <w:pPr>
              <w:spacing w:line="360" w:lineRule="auto"/>
              <w:rPr>
                <w:b/>
                <w:bCs/>
                <w:sz w:val="24"/>
                <w:szCs w:val="24"/>
              </w:rPr>
            </w:pPr>
            <w:r>
              <w:rPr>
                <w:rFonts w:hint="eastAsia"/>
                <w:b/>
                <w:bCs/>
                <w:sz w:val="24"/>
                <w:szCs w:val="24"/>
              </w:rPr>
              <w:t>及人员姓名</w:t>
            </w:r>
          </w:p>
        </w:tc>
        <w:tc>
          <w:tcPr>
            <w:tcW w:w="6611" w:type="dxa"/>
          </w:tcPr>
          <w:p w:rsidR="0040626E" w:rsidRDefault="0040626E" w:rsidP="00E119FF">
            <w:pPr>
              <w:spacing w:line="360" w:lineRule="auto"/>
              <w:rPr>
                <w:sz w:val="24"/>
                <w:szCs w:val="24"/>
              </w:rPr>
            </w:pPr>
            <w:r>
              <w:rPr>
                <w:sz w:val="24"/>
                <w:szCs w:val="24"/>
              </w:rPr>
              <w:t>广</w:t>
            </w:r>
            <w:proofErr w:type="gramStart"/>
            <w:r>
              <w:rPr>
                <w:sz w:val="24"/>
                <w:szCs w:val="24"/>
              </w:rPr>
              <w:t>发资管</w:t>
            </w:r>
            <w:proofErr w:type="gramEnd"/>
            <w:r>
              <w:rPr>
                <w:rFonts w:hint="eastAsia"/>
                <w:sz w:val="24"/>
                <w:szCs w:val="24"/>
              </w:rPr>
              <w:t xml:space="preserve"> </w:t>
            </w:r>
            <w:r>
              <w:rPr>
                <w:rFonts w:hint="eastAsia"/>
                <w:sz w:val="24"/>
                <w:szCs w:val="24"/>
              </w:rPr>
              <w:t>于洋</w:t>
            </w:r>
          </w:p>
          <w:p w:rsidR="00DB6E4F" w:rsidRDefault="0062103F" w:rsidP="00E119FF">
            <w:pPr>
              <w:spacing w:line="360" w:lineRule="auto"/>
              <w:rPr>
                <w:sz w:val="24"/>
                <w:szCs w:val="24"/>
              </w:rPr>
            </w:pPr>
            <w:r>
              <w:rPr>
                <w:rFonts w:hint="eastAsia"/>
                <w:sz w:val="24"/>
                <w:szCs w:val="24"/>
              </w:rPr>
              <w:t>兴业证券</w:t>
            </w:r>
            <w:r>
              <w:rPr>
                <w:rFonts w:hint="eastAsia"/>
                <w:sz w:val="24"/>
                <w:szCs w:val="24"/>
              </w:rPr>
              <w:t xml:space="preserve"> </w:t>
            </w:r>
            <w:r>
              <w:rPr>
                <w:rFonts w:hint="eastAsia"/>
                <w:sz w:val="24"/>
                <w:szCs w:val="24"/>
              </w:rPr>
              <w:t>杨森</w:t>
            </w:r>
          </w:p>
          <w:p w:rsidR="00DB6E4F" w:rsidRDefault="0062103F" w:rsidP="00E119FF">
            <w:pPr>
              <w:spacing w:line="360" w:lineRule="auto"/>
              <w:rPr>
                <w:sz w:val="24"/>
                <w:szCs w:val="24"/>
              </w:rPr>
            </w:pPr>
            <w:proofErr w:type="gramStart"/>
            <w:r>
              <w:rPr>
                <w:sz w:val="24"/>
                <w:szCs w:val="24"/>
              </w:rPr>
              <w:t>福建泽源</w:t>
            </w:r>
            <w:proofErr w:type="gramEnd"/>
            <w:r>
              <w:rPr>
                <w:rFonts w:hint="eastAsia"/>
                <w:sz w:val="24"/>
                <w:szCs w:val="24"/>
              </w:rPr>
              <w:t xml:space="preserve"> </w:t>
            </w:r>
            <w:r>
              <w:rPr>
                <w:rFonts w:hint="eastAsia"/>
                <w:sz w:val="24"/>
                <w:szCs w:val="24"/>
              </w:rPr>
              <w:t>吴金勇</w:t>
            </w:r>
          </w:p>
          <w:p w:rsidR="00DB6E4F" w:rsidRDefault="0062103F" w:rsidP="00E119FF">
            <w:pPr>
              <w:spacing w:line="360" w:lineRule="auto"/>
              <w:rPr>
                <w:sz w:val="24"/>
                <w:szCs w:val="24"/>
              </w:rPr>
            </w:pPr>
            <w:r>
              <w:rPr>
                <w:rFonts w:hint="eastAsia"/>
                <w:sz w:val="24"/>
                <w:szCs w:val="24"/>
              </w:rPr>
              <w:t>方略资产</w:t>
            </w:r>
            <w:r>
              <w:rPr>
                <w:rFonts w:hint="eastAsia"/>
                <w:sz w:val="24"/>
                <w:szCs w:val="24"/>
              </w:rPr>
              <w:t xml:space="preserve"> </w:t>
            </w:r>
            <w:r>
              <w:rPr>
                <w:rFonts w:hint="eastAsia"/>
                <w:sz w:val="24"/>
                <w:szCs w:val="24"/>
              </w:rPr>
              <w:t>林福康、邱建辉</w:t>
            </w:r>
          </w:p>
        </w:tc>
      </w:tr>
      <w:tr w:rsidR="00DB6E4F">
        <w:tc>
          <w:tcPr>
            <w:tcW w:w="1921" w:type="dxa"/>
          </w:tcPr>
          <w:p w:rsidR="00DB6E4F" w:rsidRDefault="0062103F" w:rsidP="00E119FF">
            <w:pPr>
              <w:spacing w:line="360" w:lineRule="auto"/>
              <w:rPr>
                <w:b/>
                <w:bCs/>
                <w:sz w:val="24"/>
                <w:szCs w:val="24"/>
              </w:rPr>
            </w:pPr>
            <w:r>
              <w:rPr>
                <w:rFonts w:hint="eastAsia"/>
                <w:b/>
                <w:bCs/>
                <w:sz w:val="24"/>
                <w:szCs w:val="24"/>
              </w:rPr>
              <w:t>来访时间</w:t>
            </w:r>
          </w:p>
        </w:tc>
        <w:tc>
          <w:tcPr>
            <w:tcW w:w="6611" w:type="dxa"/>
          </w:tcPr>
          <w:p w:rsidR="00DB6E4F" w:rsidRDefault="0062103F" w:rsidP="00E119FF">
            <w:pPr>
              <w:spacing w:line="360" w:lineRule="auto"/>
              <w:rPr>
                <w:sz w:val="24"/>
                <w:szCs w:val="24"/>
              </w:rPr>
            </w:pPr>
            <w:r>
              <w:rPr>
                <w:rFonts w:hint="eastAsia"/>
                <w:sz w:val="24"/>
                <w:szCs w:val="24"/>
              </w:rPr>
              <w:t>2022</w:t>
            </w:r>
            <w:r>
              <w:rPr>
                <w:rFonts w:hint="eastAsia"/>
                <w:sz w:val="24"/>
                <w:szCs w:val="24"/>
              </w:rPr>
              <w:t>年</w:t>
            </w:r>
            <w:r>
              <w:rPr>
                <w:rFonts w:hint="eastAsia"/>
                <w:sz w:val="24"/>
                <w:szCs w:val="24"/>
              </w:rPr>
              <w:t>7</w:t>
            </w:r>
            <w:r>
              <w:rPr>
                <w:rFonts w:hint="eastAsia"/>
                <w:sz w:val="24"/>
                <w:szCs w:val="24"/>
              </w:rPr>
              <w:t>月</w:t>
            </w:r>
            <w:r>
              <w:rPr>
                <w:rFonts w:hint="eastAsia"/>
                <w:sz w:val="24"/>
                <w:szCs w:val="24"/>
              </w:rPr>
              <w:t>20</w:t>
            </w:r>
            <w:r>
              <w:rPr>
                <w:rFonts w:hint="eastAsia"/>
                <w:sz w:val="24"/>
                <w:szCs w:val="24"/>
              </w:rPr>
              <w:t>日</w:t>
            </w:r>
          </w:p>
        </w:tc>
      </w:tr>
      <w:tr w:rsidR="00DB6E4F">
        <w:tc>
          <w:tcPr>
            <w:tcW w:w="1921" w:type="dxa"/>
          </w:tcPr>
          <w:p w:rsidR="00DB6E4F" w:rsidRDefault="0062103F" w:rsidP="00E119FF">
            <w:pPr>
              <w:spacing w:line="720" w:lineRule="auto"/>
              <w:rPr>
                <w:b/>
                <w:bCs/>
                <w:sz w:val="24"/>
                <w:szCs w:val="24"/>
              </w:rPr>
            </w:pPr>
            <w:r>
              <w:rPr>
                <w:rFonts w:hint="eastAsia"/>
                <w:b/>
                <w:bCs/>
                <w:sz w:val="24"/>
                <w:szCs w:val="24"/>
              </w:rPr>
              <w:t>地点</w:t>
            </w:r>
          </w:p>
        </w:tc>
        <w:tc>
          <w:tcPr>
            <w:tcW w:w="6611" w:type="dxa"/>
          </w:tcPr>
          <w:p w:rsidR="00DB6E4F" w:rsidRDefault="0062103F" w:rsidP="00E119FF">
            <w:pPr>
              <w:spacing w:line="360" w:lineRule="auto"/>
              <w:rPr>
                <w:sz w:val="24"/>
                <w:szCs w:val="24"/>
              </w:rPr>
            </w:pPr>
            <w:r>
              <w:rPr>
                <w:rFonts w:hint="eastAsia"/>
                <w:sz w:val="24"/>
                <w:szCs w:val="24"/>
              </w:rPr>
              <w:t>江苏省常州市金坛区金武路</w:t>
            </w:r>
            <w:r>
              <w:rPr>
                <w:rFonts w:hint="eastAsia"/>
                <w:sz w:val="24"/>
                <w:szCs w:val="24"/>
              </w:rPr>
              <w:t>18</w:t>
            </w:r>
            <w:r>
              <w:rPr>
                <w:rFonts w:hint="eastAsia"/>
                <w:sz w:val="24"/>
                <w:szCs w:val="24"/>
              </w:rPr>
              <w:t>号常州</w:t>
            </w:r>
            <w:proofErr w:type="gramStart"/>
            <w:r>
              <w:rPr>
                <w:rFonts w:hint="eastAsia"/>
                <w:sz w:val="24"/>
                <w:szCs w:val="24"/>
              </w:rPr>
              <w:t>亿晶光电</w:t>
            </w:r>
            <w:proofErr w:type="gramEnd"/>
            <w:r>
              <w:rPr>
                <w:rFonts w:hint="eastAsia"/>
                <w:sz w:val="24"/>
                <w:szCs w:val="24"/>
              </w:rPr>
              <w:t>科技有限公司会议室</w:t>
            </w:r>
          </w:p>
        </w:tc>
      </w:tr>
      <w:tr w:rsidR="00DB6E4F">
        <w:tc>
          <w:tcPr>
            <w:tcW w:w="1921" w:type="dxa"/>
            <w:vAlign w:val="center"/>
          </w:tcPr>
          <w:p w:rsidR="00DB6E4F" w:rsidRDefault="0062103F" w:rsidP="00E119FF">
            <w:pPr>
              <w:spacing w:line="360" w:lineRule="auto"/>
              <w:rPr>
                <w:b/>
                <w:bCs/>
                <w:sz w:val="24"/>
                <w:szCs w:val="24"/>
              </w:rPr>
            </w:pPr>
            <w:r>
              <w:rPr>
                <w:rFonts w:hint="eastAsia"/>
                <w:b/>
                <w:bCs/>
                <w:sz w:val="24"/>
                <w:szCs w:val="24"/>
              </w:rPr>
              <w:t>上市公司</w:t>
            </w:r>
          </w:p>
          <w:p w:rsidR="00DB6E4F" w:rsidRDefault="0062103F" w:rsidP="00E119FF">
            <w:pPr>
              <w:spacing w:line="360" w:lineRule="auto"/>
              <w:rPr>
                <w:b/>
                <w:bCs/>
                <w:sz w:val="24"/>
                <w:szCs w:val="24"/>
              </w:rPr>
            </w:pPr>
            <w:r>
              <w:rPr>
                <w:rFonts w:hint="eastAsia"/>
                <w:b/>
                <w:bCs/>
                <w:sz w:val="24"/>
                <w:szCs w:val="24"/>
              </w:rPr>
              <w:t>接待人员姓名</w:t>
            </w:r>
          </w:p>
        </w:tc>
        <w:tc>
          <w:tcPr>
            <w:tcW w:w="6611" w:type="dxa"/>
            <w:vAlign w:val="center"/>
          </w:tcPr>
          <w:p w:rsidR="00DB6E4F" w:rsidRDefault="0062103F" w:rsidP="00E119FF">
            <w:pPr>
              <w:spacing w:line="360" w:lineRule="auto"/>
              <w:rPr>
                <w:sz w:val="24"/>
                <w:szCs w:val="24"/>
              </w:rPr>
            </w:pPr>
            <w:r>
              <w:rPr>
                <w:rFonts w:hint="eastAsia"/>
                <w:sz w:val="24"/>
                <w:szCs w:val="24"/>
              </w:rPr>
              <w:t>董事</w:t>
            </w:r>
            <w:r>
              <w:rPr>
                <w:rFonts w:hint="eastAsia"/>
                <w:sz w:val="24"/>
                <w:szCs w:val="24"/>
              </w:rPr>
              <w:t xml:space="preserve"> </w:t>
            </w:r>
            <w:r>
              <w:rPr>
                <w:rFonts w:hint="eastAsia"/>
                <w:sz w:val="24"/>
                <w:szCs w:val="24"/>
              </w:rPr>
              <w:t>刘强</w:t>
            </w:r>
          </w:p>
          <w:p w:rsidR="00DB6E4F" w:rsidRDefault="0062103F" w:rsidP="00E119FF">
            <w:pPr>
              <w:spacing w:line="360" w:lineRule="auto"/>
              <w:rPr>
                <w:sz w:val="24"/>
                <w:szCs w:val="24"/>
              </w:rPr>
            </w:pPr>
            <w:r>
              <w:rPr>
                <w:rFonts w:hint="eastAsia"/>
                <w:sz w:val="24"/>
                <w:szCs w:val="24"/>
              </w:rPr>
              <w:t>证券事务代表</w:t>
            </w:r>
            <w:r>
              <w:rPr>
                <w:rFonts w:hint="eastAsia"/>
                <w:sz w:val="24"/>
                <w:szCs w:val="24"/>
              </w:rPr>
              <w:t xml:space="preserve"> </w:t>
            </w:r>
            <w:r>
              <w:rPr>
                <w:rFonts w:hint="eastAsia"/>
                <w:sz w:val="24"/>
                <w:szCs w:val="24"/>
              </w:rPr>
              <w:t>陈江明</w:t>
            </w:r>
          </w:p>
        </w:tc>
      </w:tr>
      <w:tr w:rsidR="00DB6E4F">
        <w:trPr>
          <w:trHeight w:val="6970"/>
        </w:trPr>
        <w:tc>
          <w:tcPr>
            <w:tcW w:w="1921" w:type="dxa"/>
            <w:vAlign w:val="center"/>
          </w:tcPr>
          <w:p w:rsidR="00DB6E4F" w:rsidRDefault="0062103F" w:rsidP="00E119FF">
            <w:pPr>
              <w:spacing w:line="360" w:lineRule="auto"/>
              <w:rPr>
                <w:b/>
                <w:bCs/>
                <w:sz w:val="24"/>
                <w:szCs w:val="24"/>
              </w:rPr>
            </w:pPr>
            <w:r>
              <w:rPr>
                <w:rFonts w:hint="eastAsia"/>
                <w:b/>
                <w:bCs/>
                <w:sz w:val="24"/>
                <w:szCs w:val="24"/>
              </w:rPr>
              <w:lastRenderedPageBreak/>
              <w:t>投资者关系活动</w:t>
            </w:r>
          </w:p>
          <w:p w:rsidR="00DB6E4F" w:rsidRDefault="0062103F" w:rsidP="00E119FF">
            <w:pPr>
              <w:spacing w:line="360" w:lineRule="auto"/>
              <w:rPr>
                <w:b/>
                <w:bCs/>
                <w:sz w:val="24"/>
                <w:szCs w:val="24"/>
              </w:rPr>
            </w:pPr>
            <w:r>
              <w:rPr>
                <w:rFonts w:hint="eastAsia"/>
                <w:b/>
                <w:bCs/>
                <w:sz w:val="24"/>
                <w:szCs w:val="24"/>
              </w:rPr>
              <w:t>主要内容介绍</w:t>
            </w:r>
          </w:p>
        </w:tc>
        <w:tc>
          <w:tcPr>
            <w:tcW w:w="6611" w:type="dxa"/>
          </w:tcPr>
          <w:p w:rsidR="00DB6E4F" w:rsidRDefault="0062103F" w:rsidP="00E119FF">
            <w:pPr>
              <w:spacing w:line="360" w:lineRule="auto"/>
              <w:rPr>
                <w:b/>
                <w:bCs/>
                <w:sz w:val="24"/>
                <w:szCs w:val="24"/>
              </w:rPr>
            </w:pPr>
            <w:r>
              <w:rPr>
                <w:rFonts w:hint="eastAsia"/>
                <w:b/>
                <w:bCs/>
                <w:sz w:val="24"/>
                <w:szCs w:val="24"/>
              </w:rPr>
              <w:t>一、公司概况介绍环节：</w:t>
            </w:r>
            <w:r>
              <w:rPr>
                <w:rFonts w:hint="eastAsia"/>
                <w:b/>
                <w:bCs/>
                <w:sz w:val="24"/>
                <w:szCs w:val="24"/>
              </w:rPr>
              <w:t xml:space="preserve"> </w:t>
            </w:r>
          </w:p>
          <w:p w:rsidR="00DB6E4F" w:rsidRDefault="0062103F" w:rsidP="00E119FF">
            <w:pPr>
              <w:spacing w:line="360" w:lineRule="auto"/>
              <w:ind w:firstLineChars="200" w:firstLine="480"/>
              <w:rPr>
                <w:sz w:val="24"/>
                <w:szCs w:val="24"/>
              </w:rPr>
            </w:pPr>
            <w:r>
              <w:rPr>
                <w:rFonts w:hint="eastAsia"/>
                <w:sz w:val="24"/>
                <w:szCs w:val="24"/>
              </w:rPr>
              <w:t>证券事务代表</w:t>
            </w:r>
            <w:r w:rsidR="0040626E">
              <w:rPr>
                <w:rFonts w:hint="eastAsia"/>
                <w:sz w:val="24"/>
                <w:szCs w:val="24"/>
              </w:rPr>
              <w:t>陈江明先生带领机构投资者参观了公司</w:t>
            </w:r>
            <w:r w:rsidR="0040626E">
              <w:rPr>
                <w:rFonts w:hint="eastAsia"/>
                <w:sz w:val="24"/>
                <w:szCs w:val="24"/>
              </w:rPr>
              <w:t>5</w:t>
            </w:r>
            <w:r w:rsidR="0040626E">
              <w:rPr>
                <w:sz w:val="24"/>
                <w:szCs w:val="24"/>
              </w:rPr>
              <w:t>GW</w:t>
            </w:r>
            <w:r w:rsidR="0040626E">
              <w:rPr>
                <w:rFonts w:hint="eastAsia"/>
                <w:sz w:val="24"/>
                <w:szCs w:val="24"/>
              </w:rPr>
              <w:t>高效晶硅电池车间，并</w:t>
            </w:r>
            <w:r>
              <w:rPr>
                <w:rFonts w:hint="eastAsia"/>
                <w:sz w:val="24"/>
                <w:szCs w:val="24"/>
              </w:rPr>
              <w:t>在会议开始</w:t>
            </w:r>
            <w:r w:rsidR="0040626E">
              <w:rPr>
                <w:rFonts w:hint="eastAsia"/>
                <w:sz w:val="24"/>
                <w:szCs w:val="24"/>
              </w:rPr>
              <w:t>前</w:t>
            </w:r>
            <w:r>
              <w:rPr>
                <w:rFonts w:hint="eastAsia"/>
                <w:sz w:val="24"/>
                <w:szCs w:val="24"/>
              </w:rPr>
              <w:t>介绍了公司发展历程、主营业务、核心优势、发展规划等内容。</w:t>
            </w:r>
            <w:r w:rsidR="002B4159">
              <w:rPr>
                <w:rFonts w:hint="eastAsia"/>
                <w:sz w:val="24"/>
                <w:szCs w:val="24"/>
              </w:rPr>
              <w:t>公司董事刘强先生回答了投资者的相关提问。</w:t>
            </w:r>
          </w:p>
          <w:p w:rsidR="00DB6E4F" w:rsidRDefault="00DB6E4F" w:rsidP="00E119FF">
            <w:pPr>
              <w:spacing w:line="360" w:lineRule="auto"/>
              <w:ind w:firstLineChars="200" w:firstLine="480"/>
              <w:rPr>
                <w:sz w:val="24"/>
                <w:szCs w:val="24"/>
              </w:rPr>
            </w:pPr>
          </w:p>
          <w:p w:rsidR="00DB6E4F" w:rsidRDefault="0062103F" w:rsidP="00E119FF">
            <w:pPr>
              <w:spacing w:line="360" w:lineRule="auto"/>
              <w:rPr>
                <w:b/>
                <w:bCs/>
                <w:sz w:val="24"/>
                <w:szCs w:val="24"/>
              </w:rPr>
            </w:pPr>
            <w:r>
              <w:rPr>
                <w:rFonts w:hint="eastAsia"/>
                <w:b/>
                <w:bCs/>
                <w:sz w:val="24"/>
                <w:szCs w:val="24"/>
              </w:rPr>
              <w:t>二、投资者提问交流：</w:t>
            </w:r>
          </w:p>
          <w:p w:rsidR="00DB6E4F" w:rsidRDefault="0062103F" w:rsidP="00E119FF">
            <w:pPr>
              <w:spacing w:line="360" w:lineRule="auto"/>
              <w:ind w:firstLineChars="200" w:firstLine="480"/>
              <w:rPr>
                <w:sz w:val="24"/>
                <w:szCs w:val="24"/>
              </w:rPr>
            </w:pPr>
            <w:r>
              <w:rPr>
                <w:rFonts w:hint="eastAsia"/>
                <w:sz w:val="24"/>
                <w:szCs w:val="24"/>
              </w:rPr>
              <w:t>1</w:t>
            </w:r>
            <w:r>
              <w:rPr>
                <w:rFonts w:hint="eastAsia"/>
                <w:sz w:val="24"/>
                <w:szCs w:val="24"/>
              </w:rPr>
              <w:t>、公司目前的硅片、电池、组件产能情况如何？</w:t>
            </w:r>
            <w:r>
              <w:rPr>
                <w:rFonts w:hint="eastAsia"/>
                <w:sz w:val="24"/>
                <w:szCs w:val="24"/>
              </w:rPr>
              <w:t>Q1</w:t>
            </w:r>
            <w:r>
              <w:rPr>
                <w:rFonts w:hint="eastAsia"/>
                <w:sz w:val="24"/>
                <w:szCs w:val="24"/>
              </w:rPr>
              <w:t>、</w:t>
            </w:r>
            <w:r>
              <w:rPr>
                <w:rFonts w:hint="eastAsia"/>
                <w:sz w:val="24"/>
                <w:szCs w:val="24"/>
              </w:rPr>
              <w:t>Q2</w:t>
            </w:r>
            <w:r>
              <w:rPr>
                <w:rFonts w:hint="eastAsia"/>
                <w:sz w:val="24"/>
                <w:szCs w:val="24"/>
              </w:rPr>
              <w:t>出货情况如何？</w:t>
            </w:r>
          </w:p>
          <w:p w:rsidR="00DB6E4F" w:rsidRDefault="0062103F" w:rsidP="00E119FF">
            <w:pPr>
              <w:spacing w:line="360" w:lineRule="auto"/>
              <w:ind w:firstLineChars="200" w:firstLine="480"/>
              <w:rPr>
                <w:sz w:val="24"/>
                <w:szCs w:val="24"/>
              </w:rPr>
            </w:pPr>
            <w:r>
              <w:rPr>
                <w:rFonts w:hint="eastAsia"/>
                <w:sz w:val="24"/>
                <w:szCs w:val="24"/>
              </w:rPr>
              <w:t>答：</w:t>
            </w:r>
            <w:r w:rsidR="0040626E" w:rsidRPr="0040626E">
              <w:rPr>
                <w:rFonts w:hint="eastAsia"/>
                <w:sz w:val="24"/>
                <w:szCs w:val="24"/>
              </w:rPr>
              <w:t>公司是行业内率先实现垂直一体化生产的光伏企业，业务涵盖拉晶、铸锭、切片、电池、组件和光伏发电。</w:t>
            </w:r>
            <w:r w:rsidR="0040626E" w:rsidRPr="0040626E">
              <w:rPr>
                <w:rFonts w:hint="eastAsia"/>
                <w:sz w:val="24"/>
                <w:szCs w:val="24"/>
              </w:rPr>
              <w:t>2019</w:t>
            </w:r>
            <w:r w:rsidR="0040626E" w:rsidRPr="0040626E">
              <w:rPr>
                <w:rFonts w:hint="eastAsia"/>
                <w:sz w:val="24"/>
                <w:szCs w:val="24"/>
              </w:rPr>
              <w:t>年</w:t>
            </w:r>
            <w:proofErr w:type="gramStart"/>
            <w:r w:rsidR="0040626E">
              <w:rPr>
                <w:rFonts w:hint="eastAsia"/>
                <w:sz w:val="24"/>
                <w:szCs w:val="24"/>
              </w:rPr>
              <w:t>勤诚达投资</w:t>
            </w:r>
            <w:proofErr w:type="gramEnd"/>
            <w:r w:rsidR="0040626E">
              <w:rPr>
                <w:rFonts w:hint="eastAsia"/>
                <w:sz w:val="24"/>
                <w:szCs w:val="24"/>
              </w:rPr>
              <w:t>成为</w:t>
            </w:r>
            <w:proofErr w:type="gramStart"/>
            <w:r w:rsidR="0040626E" w:rsidRPr="0040626E">
              <w:rPr>
                <w:rFonts w:hint="eastAsia"/>
                <w:sz w:val="24"/>
                <w:szCs w:val="24"/>
              </w:rPr>
              <w:t>亿晶光电</w:t>
            </w:r>
            <w:r w:rsidR="0040626E">
              <w:rPr>
                <w:rFonts w:hint="eastAsia"/>
                <w:sz w:val="24"/>
                <w:szCs w:val="24"/>
              </w:rPr>
              <w:t>第</w:t>
            </w:r>
            <w:proofErr w:type="gramEnd"/>
            <w:r w:rsidR="0040626E">
              <w:rPr>
                <w:rFonts w:hint="eastAsia"/>
                <w:sz w:val="24"/>
                <w:szCs w:val="24"/>
              </w:rPr>
              <w:t>一大股东后</w:t>
            </w:r>
            <w:r w:rsidR="0040626E" w:rsidRPr="0040626E">
              <w:rPr>
                <w:rFonts w:hint="eastAsia"/>
                <w:sz w:val="24"/>
                <w:szCs w:val="24"/>
              </w:rPr>
              <w:t>，在行业大尺寸化的背景下，以及考虑到常州地区电价较高等因素，陆续关停了拉晶和切片产能，目前产能主要集中在电池和组件环节。</w:t>
            </w:r>
            <w:r>
              <w:rPr>
                <w:rFonts w:hint="eastAsia"/>
                <w:sz w:val="24"/>
                <w:szCs w:val="24"/>
              </w:rPr>
              <w:t>目前公司有</w:t>
            </w:r>
            <w:r>
              <w:rPr>
                <w:rFonts w:hint="eastAsia"/>
                <w:sz w:val="24"/>
                <w:szCs w:val="24"/>
              </w:rPr>
              <w:t>5GW</w:t>
            </w:r>
            <w:r w:rsidR="0040626E">
              <w:rPr>
                <w:rFonts w:hint="eastAsia"/>
                <w:sz w:val="24"/>
                <w:szCs w:val="24"/>
              </w:rPr>
              <w:t>高效晶硅电池</w:t>
            </w:r>
            <w:r>
              <w:rPr>
                <w:rFonts w:hint="eastAsia"/>
                <w:sz w:val="24"/>
                <w:szCs w:val="24"/>
              </w:rPr>
              <w:t>产能，电池片作为组件生产的原材料，是否对外销售及销售数量主要由公司根据组件的生产、销售订单情况以及电池片的市场情况而决定及调整。组件是公司的主要销售产品，目前公司有</w:t>
            </w:r>
            <w:r>
              <w:rPr>
                <w:rFonts w:hint="eastAsia"/>
                <w:sz w:val="24"/>
                <w:szCs w:val="24"/>
              </w:rPr>
              <w:t>5GW</w:t>
            </w:r>
            <w:r>
              <w:rPr>
                <w:rFonts w:hint="eastAsia"/>
                <w:sz w:val="24"/>
                <w:szCs w:val="24"/>
              </w:rPr>
              <w:t>组件产能，另有</w:t>
            </w:r>
            <w:r>
              <w:rPr>
                <w:rFonts w:hint="eastAsia"/>
                <w:sz w:val="24"/>
                <w:szCs w:val="24"/>
              </w:rPr>
              <w:t>5GW</w:t>
            </w:r>
            <w:r>
              <w:rPr>
                <w:rFonts w:hint="eastAsia"/>
                <w:sz w:val="24"/>
                <w:szCs w:val="24"/>
              </w:rPr>
              <w:t>在建项目，主体工程</w:t>
            </w:r>
            <w:r w:rsidR="0040626E">
              <w:rPr>
                <w:rFonts w:hint="eastAsia"/>
                <w:sz w:val="24"/>
                <w:szCs w:val="24"/>
              </w:rPr>
              <w:t>将于本月封顶</w:t>
            </w:r>
            <w:r>
              <w:rPr>
                <w:rFonts w:hint="eastAsia"/>
                <w:sz w:val="24"/>
                <w:szCs w:val="24"/>
              </w:rPr>
              <w:t>，预计今年</w:t>
            </w:r>
            <w:r>
              <w:rPr>
                <w:rFonts w:hint="eastAsia"/>
                <w:sz w:val="24"/>
                <w:szCs w:val="24"/>
              </w:rPr>
              <w:t>9</w:t>
            </w:r>
            <w:r>
              <w:rPr>
                <w:rFonts w:hint="eastAsia"/>
                <w:sz w:val="24"/>
                <w:szCs w:val="24"/>
              </w:rPr>
              <w:t>月正式投产。目前公司量产销售的主要电池组件产品转换效率可达</w:t>
            </w:r>
            <w:r>
              <w:rPr>
                <w:rFonts w:hint="eastAsia"/>
                <w:sz w:val="24"/>
                <w:szCs w:val="24"/>
              </w:rPr>
              <w:t>23.28%-23.5%</w:t>
            </w:r>
            <w:r>
              <w:rPr>
                <w:rFonts w:hint="eastAsia"/>
                <w:sz w:val="24"/>
                <w:szCs w:val="24"/>
              </w:rPr>
              <w:t>，处于业内先进水平。</w:t>
            </w:r>
          </w:p>
          <w:p w:rsidR="00DB6E4F" w:rsidRDefault="0062103F" w:rsidP="00E119FF">
            <w:pPr>
              <w:spacing w:line="360" w:lineRule="auto"/>
              <w:ind w:firstLineChars="200" w:firstLine="480"/>
              <w:rPr>
                <w:sz w:val="24"/>
                <w:szCs w:val="24"/>
              </w:rPr>
            </w:pPr>
            <w:r>
              <w:rPr>
                <w:rFonts w:hint="eastAsia"/>
                <w:sz w:val="24"/>
                <w:szCs w:val="24"/>
              </w:rPr>
              <w:t>出货方面，今年一季度海外出货同比增长</w:t>
            </w:r>
            <w:r>
              <w:rPr>
                <w:rFonts w:hint="eastAsia"/>
                <w:sz w:val="24"/>
                <w:szCs w:val="24"/>
              </w:rPr>
              <w:t>3.3</w:t>
            </w:r>
            <w:r>
              <w:rPr>
                <w:rFonts w:hint="eastAsia"/>
                <w:sz w:val="24"/>
                <w:szCs w:val="24"/>
              </w:rPr>
              <w:t>倍，出口额位居金坛区第一、常州市第三。二季度国内外出货量均同比大幅增加。今年一季度和上半年海外出货量占比均超过</w:t>
            </w:r>
            <w:r>
              <w:rPr>
                <w:rFonts w:hint="eastAsia"/>
                <w:sz w:val="24"/>
                <w:szCs w:val="24"/>
              </w:rPr>
              <w:t>50%</w:t>
            </w:r>
            <w:r>
              <w:rPr>
                <w:rFonts w:hint="eastAsia"/>
                <w:sz w:val="24"/>
                <w:szCs w:val="24"/>
              </w:rPr>
              <w:t>。今年全年的出货目标是</w:t>
            </w:r>
            <w:r>
              <w:rPr>
                <w:rFonts w:hint="eastAsia"/>
                <w:sz w:val="24"/>
                <w:szCs w:val="24"/>
              </w:rPr>
              <w:t>6GW</w:t>
            </w:r>
            <w:r>
              <w:rPr>
                <w:rFonts w:hint="eastAsia"/>
                <w:sz w:val="24"/>
                <w:szCs w:val="24"/>
              </w:rPr>
              <w:t>。</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2</w:t>
            </w:r>
            <w:r>
              <w:rPr>
                <w:rFonts w:hint="eastAsia"/>
                <w:sz w:val="24"/>
                <w:szCs w:val="24"/>
              </w:rPr>
              <w:t>、公司</w:t>
            </w:r>
            <w:r>
              <w:rPr>
                <w:rFonts w:hint="eastAsia"/>
                <w:sz w:val="24"/>
                <w:szCs w:val="24"/>
              </w:rPr>
              <w:t>Q2</w:t>
            </w:r>
            <w:r>
              <w:rPr>
                <w:rFonts w:hint="eastAsia"/>
                <w:sz w:val="24"/>
                <w:szCs w:val="24"/>
              </w:rPr>
              <w:t>、今年全年、明年的经营和盈利情况展望？</w:t>
            </w:r>
          </w:p>
          <w:p w:rsidR="00DB6E4F" w:rsidRDefault="0062103F" w:rsidP="00E119FF">
            <w:pPr>
              <w:spacing w:line="360" w:lineRule="auto"/>
              <w:ind w:firstLineChars="200" w:firstLine="480"/>
              <w:rPr>
                <w:sz w:val="24"/>
                <w:szCs w:val="24"/>
              </w:rPr>
            </w:pPr>
            <w:r>
              <w:rPr>
                <w:rFonts w:hint="eastAsia"/>
                <w:sz w:val="24"/>
                <w:szCs w:val="24"/>
              </w:rPr>
              <w:t>答：今年第二季度国内外出货同比都有较大幅度增长，毛利率也同比有所修复。公司于</w:t>
            </w:r>
            <w:r>
              <w:rPr>
                <w:rFonts w:hint="eastAsia"/>
                <w:sz w:val="24"/>
                <w:szCs w:val="24"/>
              </w:rPr>
              <w:t>7</w:t>
            </w:r>
            <w:r>
              <w:rPr>
                <w:rFonts w:hint="eastAsia"/>
                <w:sz w:val="24"/>
                <w:szCs w:val="24"/>
              </w:rPr>
              <w:t>月初已发布了半年度业绩预</w:t>
            </w:r>
            <w:r>
              <w:rPr>
                <w:rFonts w:hint="eastAsia"/>
                <w:sz w:val="24"/>
                <w:szCs w:val="24"/>
              </w:rPr>
              <w:lastRenderedPageBreak/>
              <w:t>告，预计今年上半年实现归属于母公司所有者的净利润为</w:t>
            </w:r>
            <w:r>
              <w:rPr>
                <w:rFonts w:hint="eastAsia"/>
                <w:sz w:val="24"/>
                <w:szCs w:val="24"/>
              </w:rPr>
              <w:t>1900</w:t>
            </w:r>
            <w:r>
              <w:rPr>
                <w:rFonts w:hint="eastAsia"/>
                <w:sz w:val="24"/>
                <w:szCs w:val="24"/>
              </w:rPr>
              <w:t>万元到</w:t>
            </w:r>
            <w:r>
              <w:rPr>
                <w:rFonts w:hint="eastAsia"/>
                <w:sz w:val="24"/>
                <w:szCs w:val="24"/>
              </w:rPr>
              <w:t>2500</w:t>
            </w:r>
            <w:r>
              <w:rPr>
                <w:rFonts w:hint="eastAsia"/>
                <w:sz w:val="24"/>
                <w:szCs w:val="24"/>
              </w:rPr>
              <w:t>万元，将实现扭亏为盈。</w:t>
            </w:r>
          </w:p>
          <w:p w:rsidR="00DB6E4F" w:rsidRDefault="0062103F" w:rsidP="00E119FF">
            <w:pPr>
              <w:spacing w:line="360" w:lineRule="auto"/>
              <w:ind w:firstLineChars="200" w:firstLine="480"/>
              <w:rPr>
                <w:sz w:val="24"/>
                <w:szCs w:val="24"/>
              </w:rPr>
            </w:pPr>
            <w:r>
              <w:rPr>
                <w:rFonts w:hint="eastAsia"/>
                <w:sz w:val="24"/>
                <w:szCs w:val="24"/>
              </w:rPr>
              <w:t>根据公司</w:t>
            </w:r>
            <w:r w:rsidR="0040626E">
              <w:rPr>
                <w:rFonts w:hint="eastAsia"/>
                <w:sz w:val="24"/>
                <w:szCs w:val="24"/>
              </w:rPr>
              <w:t>已披露的</w:t>
            </w:r>
            <w:r>
              <w:rPr>
                <w:rFonts w:hint="eastAsia"/>
                <w:sz w:val="24"/>
                <w:szCs w:val="24"/>
              </w:rPr>
              <w:t>股权激励计划的目标设定，公司</w:t>
            </w:r>
            <w:r>
              <w:rPr>
                <w:rFonts w:hint="eastAsia"/>
                <w:sz w:val="24"/>
                <w:szCs w:val="24"/>
              </w:rPr>
              <w:t>2022</w:t>
            </w:r>
            <w:r>
              <w:rPr>
                <w:rFonts w:hint="eastAsia"/>
                <w:sz w:val="24"/>
                <w:szCs w:val="24"/>
              </w:rPr>
              <w:t>年至</w:t>
            </w:r>
            <w:r>
              <w:rPr>
                <w:rFonts w:hint="eastAsia"/>
                <w:sz w:val="24"/>
                <w:szCs w:val="24"/>
              </w:rPr>
              <w:t>2025</w:t>
            </w:r>
            <w:r>
              <w:rPr>
                <w:rFonts w:hint="eastAsia"/>
                <w:sz w:val="24"/>
                <w:szCs w:val="24"/>
              </w:rPr>
              <w:t>年年度净利润目标分别为</w:t>
            </w:r>
            <w:r>
              <w:rPr>
                <w:rFonts w:hint="eastAsia"/>
                <w:sz w:val="24"/>
                <w:szCs w:val="24"/>
              </w:rPr>
              <w:t>1</w:t>
            </w:r>
            <w:r>
              <w:rPr>
                <w:rFonts w:hint="eastAsia"/>
                <w:sz w:val="24"/>
                <w:szCs w:val="24"/>
              </w:rPr>
              <w:t>亿元、</w:t>
            </w:r>
            <w:r>
              <w:rPr>
                <w:rFonts w:hint="eastAsia"/>
                <w:sz w:val="24"/>
                <w:szCs w:val="24"/>
              </w:rPr>
              <w:t>1.5</w:t>
            </w:r>
            <w:r>
              <w:rPr>
                <w:rFonts w:hint="eastAsia"/>
                <w:sz w:val="24"/>
                <w:szCs w:val="24"/>
              </w:rPr>
              <w:t>亿元、</w:t>
            </w:r>
            <w:r>
              <w:rPr>
                <w:rFonts w:hint="eastAsia"/>
                <w:sz w:val="24"/>
                <w:szCs w:val="24"/>
              </w:rPr>
              <w:t>2</w:t>
            </w:r>
            <w:r>
              <w:rPr>
                <w:rFonts w:hint="eastAsia"/>
                <w:sz w:val="24"/>
                <w:szCs w:val="24"/>
              </w:rPr>
              <w:t>亿元、</w:t>
            </w:r>
            <w:r>
              <w:rPr>
                <w:rFonts w:hint="eastAsia"/>
                <w:sz w:val="24"/>
                <w:szCs w:val="24"/>
              </w:rPr>
              <w:t>3</w:t>
            </w:r>
            <w:r>
              <w:rPr>
                <w:rFonts w:hint="eastAsia"/>
                <w:sz w:val="24"/>
                <w:szCs w:val="24"/>
              </w:rPr>
              <w:t>亿元，年度营业收入目标分别为</w:t>
            </w:r>
            <w:r>
              <w:rPr>
                <w:rFonts w:hint="eastAsia"/>
                <w:sz w:val="24"/>
                <w:szCs w:val="24"/>
              </w:rPr>
              <w:t>96</w:t>
            </w:r>
            <w:r>
              <w:rPr>
                <w:rFonts w:hint="eastAsia"/>
                <w:sz w:val="24"/>
                <w:szCs w:val="24"/>
              </w:rPr>
              <w:t>亿元、</w:t>
            </w:r>
            <w:r>
              <w:rPr>
                <w:rFonts w:hint="eastAsia"/>
                <w:sz w:val="24"/>
                <w:szCs w:val="24"/>
              </w:rPr>
              <w:t>150</w:t>
            </w:r>
            <w:r>
              <w:rPr>
                <w:rFonts w:hint="eastAsia"/>
                <w:sz w:val="24"/>
                <w:szCs w:val="24"/>
              </w:rPr>
              <w:t>亿元、</w:t>
            </w:r>
            <w:r>
              <w:rPr>
                <w:rFonts w:hint="eastAsia"/>
                <w:sz w:val="24"/>
                <w:szCs w:val="24"/>
              </w:rPr>
              <w:t>210</w:t>
            </w:r>
            <w:r>
              <w:rPr>
                <w:rFonts w:hint="eastAsia"/>
                <w:sz w:val="24"/>
                <w:szCs w:val="24"/>
              </w:rPr>
              <w:t>亿元、</w:t>
            </w:r>
            <w:r>
              <w:rPr>
                <w:rFonts w:hint="eastAsia"/>
                <w:sz w:val="24"/>
                <w:szCs w:val="24"/>
              </w:rPr>
              <w:t>260</w:t>
            </w:r>
            <w:r>
              <w:rPr>
                <w:rFonts w:hint="eastAsia"/>
                <w:sz w:val="24"/>
                <w:szCs w:val="24"/>
              </w:rPr>
              <w:t>亿元，组件出货量目标分别为</w:t>
            </w:r>
            <w:r>
              <w:rPr>
                <w:rFonts w:hint="eastAsia"/>
                <w:sz w:val="24"/>
                <w:szCs w:val="24"/>
              </w:rPr>
              <w:t>6GW</w:t>
            </w:r>
            <w:r>
              <w:rPr>
                <w:rFonts w:hint="eastAsia"/>
                <w:sz w:val="24"/>
                <w:szCs w:val="24"/>
              </w:rPr>
              <w:t>、</w:t>
            </w:r>
            <w:r>
              <w:rPr>
                <w:rFonts w:hint="eastAsia"/>
                <w:sz w:val="24"/>
                <w:szCs w:val="24"/>
              </w:rPr>
              <w:t>10GW</w:t>
            </w:r>
            <w:r>
              <w:rPr>
                <w:rFonts w:hint="eastAsia"/>
                <w:sz w:val="24"/>
                <w:szCs w:val="24"/>
              </w:rPr>
              <w:t>、</w:t>
            </w:r>
            <w:r>
              <w:rPr>
                <w:rFonts w:hint="eastAsia"/>
                <w:sz w:val="24"/>
                <w:szCs w:val="24"/>
              </w:rPr>
              <w:t>15GW</w:t>
            </w:r>
            <w:r>
              <w:rPr>
                <w:rFonts w:hint="eastAsia"/>
                <w:sz w:val="24"/>
                <w:szCs w:val="24"/>
              </w:rPr>
              <w:t>、</w:t>
            </w:r>
            <w:r>
              <w:rPr>
                <w:rFonts w:hint="eastAsia"/>
                <w:sz w:val="24"/>
                <w:szCs w:val="24"/>
              </w:rPr>
              <w:t>20GW</w:t>
            </w:r>
            <w:r>
              <w:rPr>
                <w:rFonts w:hint="eastAsia"/>
                <w:sz w:val="24"/>
                <w:szCs w:val="24"/>
              </w:rPr>
              <w:t>。为实现公司业绩目标，公司将逐步</w:t>
            </w:r>
            <w:r w:rsidR="0040626E">
              <w:rPr>
                <w:rFonts w:hint="eastAsia"/>
                <w:sz w:val="24"/>
                <w:szCs w:val="24"/>
              </w:rPr>
              <w:t>扩大</w:t>
            </w:r>
            <w:r>
              <w:rPr>
                <w:rFonts w:hint="eastAsia"/>
                <w:sz w:val="24"/>
                <w:szCs w:val="24"/>
              </w:rPr>
              <w:t>产能规模，完善优化产业链结构。</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3</w:t>
            </w:r>
            <w:r>
              <w:rPr>
                <w:rFonts w:hint="eastAsia"/>
                <w:sz w:val="24"/>
                <w:szCs w:val="24"/>
              </w:rPr>
              <w:t>、细分地区市场的出货情况分享？</w:t>
            </w:r>
          </w:p>
          <w:p w:rsidR="00DB6E4F" w:rsidRDefault="0062103F" w:rsidP="00E119FF">
            <w:pPr>
              <w:spacing w:line="360" w:lineRule="auto"/>
              <w:ind w:firstLineChars="200" w:firstLine="480"/>
              <w:rPr>
                <w:sz w:val="24"/>
                <w:szCs w:val="24"/>
              </w:rPr>
            </w:pPr>
            <w:r>
              <w:rPr>
                <w:rFonts w:hint="eastAsia"/>
                <w:sz w:val="24"/>
                <w:szCs w:val="24"/>
              </w:rPr>
              <w:t>答：公司在德国设立了分公司，</w:t>
            </w:r>
            <w:r w:rsidR="00E119FF">
              <w:rPr>
                <w:rFonts w:hint="eastAsia"/>
                <w:sz w:val="24"/>
                <w:szCs w:val="24"/>
              </w:rPr>
              <w:t>海外销售市场以欧洲为主</w:t>
            </w:r>
            <w:r>
              <w:rPr>
                <w:rFonts w:hint="eastAsia"/>
                <w:sz w:val="24"/>
                <w:szCs w:val="24"/>
              </w:rPr>
              <w:t>，</w:t>
            </w:r>
            <w:r w:rsidR="00E119FF">
              <w:rPr>
                <w:rFonts w:hint="eastAsia"/>
                <w:sz w:val="24"/>
                <w:szCs w:val="24"/>
              </w:rPr>
              <w:t>2</w:t>
            </w:r>
            <w:r w:rsidR="00E119FF">
              <w:rPr>
                <w:sz w:val="24"/>
                <w:szCs w:val="24"/>
              </w:rPr>
              <w:t>022</w:t>
            </w:r>
            <w:r w:rsidR="00E119FF">
              <w:rPr>
                <w:rFonts w:hint="eastAsia"/>
                <w:sz w:val="24"/>
                <w:szCs w:val="24"/>
              </w:rPr>
              <w:t>年上半年，公司在南美等新兴市场取得了较好的销售业绩，</w:t>
            </w:r>
            <w:r>
              <w:rPr>
                <w:rFonts w:hint="eastAsia"/>
                <w:sz w:val="24"/>
                <w:szCs w:val="24"/>
              </w:rPr>
              <w:t>公司销售范围</w:t>
            </w:r>
            <w:r w:rsidR="00E119FF">
              <w:rPr>
                <w:rFonts w:hint="eastAsia"/>
                <w:sz w:val="24"/>
                <w:szCs w:val="24"/>
              </w:rPr>
              <w:t>超过</w:t>
            </w:r>
            <w:r w:rsidR="00E119FF">
              <w:rPr>
                <w:rFonts w:hint="eastAsia"/>
                <w:sz w:val="24"/>
                <w:szCs w:val="24"/>
              </w:rPr>
              <w:t>5</w:t>
            </w:r>
            <w:r w:rsidR="00E119FF">
              <w:rPr>
                <w:sz w:val="24"/>
                <w:szCs w:val="24"/>
              </w:rPr>
              <w:t>0</w:t>
            </w:r>
            <w:r>
              <w:rPr>
                <w:rFonts w:hint="eastAsia"/>
                <w:sz w:val="24"/>
                <w:szCs w:val="24"/>
              </w:rPr>
              <w:t>个国家和地区。</w:t>
            </w:r>
            <w:r w:rsidR="0040626E">
              <w:rPr>
                <w:rFonts w:hint="eastAsia"/>
                <w:sz w:val="24"/>
                <w:szCs w:val="24"/>
              </w:rPr>
              <w:t>2</w:t>
            </w:r>
            <w:r w:rsidR="0040626E">
              <w:rPr>
                <w:sz w:val="24"/>
                <w:szCs w:val="24"/>
              </w:rPr>
              <w:t>022</w:t>
            </w:r>
            <w:r w:rsidR="0040626E">
              <w:rPr>
                <w:rFonts w:hint="eastAsia"/>
                <w:sz w:val="24"/>
                <w:szCs w:val="24"/>
              </w:rPr>
              <w:t>年以来，</w:t>
            </w:r>
            <w:r>
              <w:rPr>
                <w:rFonts w:hint="eastAsia"/>
                <w:sz w:val="24"/>
                <w:szCs w:val="24"/>
              </w:rPr>
              <w:t>新签海外订单同比</w:t>
            </w:r>
            <w:r w:rsidR="00E119FF">
              <w:rPr>
                <w:rFonts w:hint="eastAsia"/>
                <w:sz w:val="24"/>
                <w:szCs w:val="24"/>
              </w:rPr>
              <w:t>大幅增长</w:t>
            </w:r>
            <w:r>
              <w:rPr>
                <w:rFonts w:hint="eastAsia"/>
                <w:sz w:val="24"/>
                <w:szCs w:val="24"/>
              </w:rPr>
              <w:t>，海外出口势头强劲，新增海外客户</w:t>
            </w:r>
            <w:r>
              <w:rPr>
                <w:rFonts w:hint="eastAsia"/>
                <w:sz w:val="24"/>
                <w:szCs w:val="24"/>
              </w:rPr>
              <w:t>2</w:t>
            </w:r>
            <w:r>
              <w:rPr>
                <w:sz w:val="24"/>
                <w:szCs w:val="24"/>
              </w:rPr>
              <w:t>2</w:t>
            </w:r>
            <w:r>
              <w:rPr>
                <w:rFonts w:hint="eastAsia"/>
                <w:sz w:val="24"/>
                <w:szCs w:val="24"/>
              </w:rPr>
              <w:t>家，新增</w:t>
            </w:r>
            <w:r w:rsidR="006A21A8">
              <w:rPr>
                <w:rFonts w:hint="eastAsia"/>
                <w:sz w:val="24"/>
                <w:szCs w:val="24"/>
              </w:rPr>
              <w:t>海外</w:t>
            </w:r>
            <w:r>
              <w:rPr>
                <w:rFonts w:hint="eastAsia"/>
                <w:sz w:val="24"/>
                <w:szCs w:val="24"/>
              </w:rPr>
              <w:t>客户占</w:t>
            </w:r>
            <w:r w:rsidR="006A21A8">
              <w:rPr>
                <w:rFonts w:hint="eastAsia"/>
                <w:sz w:val="24"/>
                <w:szCs w:val="24"/>
              </w:rPr>
              <w:t>海外</w:t>
            </w:r>
            <w:r>
              <w:rPr>
                <w:rFonts w:hint="eastAsia"/>
                <w:sz w:val="24"/>
                <w:szCs w:val="24"/>
              </w:rPr>
              <w:t>总签约数量</w:t>
            </w:r>
            <w:bookmarkStart w:id="0" w:name="_GoBack"/>
            <w:bookmarkEnd w:id="0"/>
            <w:r>
              <w:rPr>
                <w:rFonts w:hint="eastAsia"/>
                <w:sz w:val="24"/>
                <w:szCs w:val="24"/>
              </w:rPr>
              <w:t>的六成以上。</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4</w:t>
            </w:r>
            <w:r>
              <w:rPr>
                <w:rFonts w:hint="eastAsia"/>
                <w:sz w:val="24"/>
                <w:szCs w:val="24"/>
              </w:rPr>
              <w:t>、在电池技术变革比较快速的今天，公司准备如何布局未来的电池技术？</w:t>
            </w:r>
          </w:p>
          <w:p w:rsidR="00DB6E4F" w:rsidRDefault="0062103F" w:rsidP="00E119FF">
            <w:pPr>
              <w:spacing w:line="360" w:lineRule="auto"/>
              <w:ind w:firstLineChars="200" w:firstLine="480"/>
              <w:rPr>
                <w:sz w:val="24"/>
                <w:szCs w:val="24"/>
              </w:rPr>
            </w:pPr>
            <w:r>
              <w:rPr>
                <w:rFonts w:hint="eastAsia"/>
                <w:sz w:val="24"/>
                <w:szCs w:val="24"/>
              </w:rPr>
              <w:t>答：目前业内</w:t>
            </w:r>
            <w:r>
              <w:rPr>
                <w:rFonts w:hint="eastAsia"/>
                <w:sz w:val="24"/>
                <w:szCs w:val="24"/>
              </w:rPr>
              <w:t>HJT</w:t>
            </w:r>
            <w:r>
              <w:rPr>
                <w:rFonts w:hint="eastAsia"/>
                <w:sz w:val="24"/>
                <w:szCs w:val="24"/>
              </w:rPr>
              <w:t>电池技术尚未成熟，成本较高，不具备经济可行性。目前公司</w:t>
            </w:r>
            <w:proofErr w:type="gramStart"/>
            <w:r>
              <w:rPr>
                <w:rFonts w:hint="eastAsia"/>
                <w:sz w:val="24"/>
                <w:szCs w:val="24"/>
              </w:rPr>
              <w:t>现有产线主要</w:t>
            </w:r>
            <w:proofErr w:type="gramEnd"/>
            <w:r>
              <w:rPr>
                <w:rFonts w:hint="eastAsia"/>
                <w:sz w:val="24"/>
                <w:szCs w:val="24"/>
              </w:rPr>
              <w:t>为</w:t>
            </w:r>
            <w:r>
              <w:rPr>
                <w:rFonts w:hint="eastAsia"/>
                <w:sz w:val="24"/>
                <w:szCs w:val="24"/>
              </w:rPr>
              <w:t>PERC</w:t>
            </w:r>
            <w:r w:rsidR="00E119FF">
              <w:rPr>
                <w:rFonts w:hint="eastAsia"/>
                <w:sz w:val="24"/>
                <w:szCs w:val="24"/>
              </w:rPr>
              <w:t>技术</w:t>
            </w:r>
            <w:r>
              <w:rPr>
                <w:rFonts w:hint="eastAsia"/>
                <w:sz w:val="24"/>
                <w:szCs w:val="24"/>
              </w:rPr>
              <w:t>路线。公司通过对生产技术的不断研发和改进，公司目前效率最高的产品“极光</w:t>
            </w:r>
            <w:r>
              <w:rPr>
                <w:rFonts w:hint="eastAsia"/>
                <w:sz w:val="24"/>
                <w:szCs w:val="24"/>
              </w:rPr>
              <w:t>PRO</w:t>
            </w:r>
            <w:r>
              <w:rPr>
                <w:rFonts w:hint="eastAsia"/>
                <w:sz w:val="24"/>
                <w:szCs w:val="24"/>
              </w:rPr>
              <w:t>”系列为</w:t>
            </w:r>
            <w:r>
              <w:rPr>
                <w:rFonts w:hint="eastAsia"/>
                <w:sz w:val="24"/>
                <w:szCs w:val="24"/>
              </w:rPr>
              <w:t>210mm</w:t>
            </w:r>
            <w:r>
              <w:rPr>
                <w:rFonts w:hint="eastAsia"/>
                <w:sz w:val="24"/>
                <w:szCs w:val="24"/>
              </w:rPr>
              <w:t>规格</w:t>
            </w:r>
            <w:r>
              <w:rPr>
                <w:rFonts w:hint="eastAsia"/>
                <w:sz w:val="24"/>
                <w:szCs w:val="24"/>
              </w:rPr>
              <w:t>N</w:t>
            </w:r>
            <w:r>
              <w:rPr>
                <w:rFonts w:hint="eastAsia"/>
                <w:sz w:val="24"/>
                <w:szCs w:val="24"/>
              </w:rPr>
              <w:t>型双面双</w:t>
            </w:r>
            <w:proofErr w:type="gramStart"/>
            <w:r>
              <w:rPr>
                <w:rFonts w:hint="eastAsia"/>
                <w:sz w:val="24"/>
                <w:szCs w:val="24"/>
              </w:rPr>
              <w:t>玻</w:t>
            </w:r>
            <w:proofErr w:type="gramEnd"/>
            <w:r>
              <w:rPr>
                <w:rFonts w:hint="eastAsia"/>
                <w:sz w:val="24"/>
                <w:szCs w:val="24"/>
              </w:rPr>
              <w:t>132</w:t>
            </w:r>
            <w:r>
              <w:rPr>
                <w:rFonts w:hint="eastAsia"/>
                <w:sz w:val="24"/>
                <w:szCs w:val="24"/>
              </w:rPr>
              <w:t>半片版型组件，其最高研发功率为</w:t>
            </w:r>
            <w:r>
              <w:rPr>
                <w:rFonts w:hint="eastAsia"/>
                <w:sz w:val="24"/>
                <w:szCs w:val="24"/>
              </w:rPr>
              <w:t>690W</w:t>
            </w:r>
            <w:r>
              <w:rPr>
                <w:rFonts w:hint="eastAsia"/>
                <w:sz w:val="24"/>
                <w:szCs w:val="24"/>
              </w:rPr>
              <w:t>，首年衰减率低于</w:t>
            </w:r>
            <w:r>
              <w:rPr>
                <w:rFonts w:hint="eastAsia"/>
                <w:sz w:val="24"/>
                <w:szCs w:val="24"/>
              </w:rPr>
              <w:t>1%</w:t>
            </w:r>
            <w:r>
              <w:rPr>
                <w:rFonts w:hint="eastAsia"/>
                <w:sz w:val="24"/>
                <w:szCs w:val="24"/>
              </w:rPr>
              <w:t>，具有稳定的温度系数，较常规</w:t>
            </w:r>
            <w:r>
              <w:rPr>
                <w:rFonts w:hint="eastAsia"/>
                <w:sz w:val="24"/>
                <w:szCs w:val="24"/>
              </w:rPr>
              <w:t>PREC</w:t>
            </w:r>
            <w:r>
              <w:rPr>
                <w:rFonts w:hint="eastAsia"/>
                <w:sz w:val="24"/>
                <w:szCs w:val="24"/>
              </w:rPr>
              <w:t>产品发电能力提升</w:t>
            </w:r>
            <w:r>
              <w:rPr>
                <w:rFonts w:hint="eastAsia"/>
                <w:sz w:val="24"/>
                <w:szCs w:val="24"/>
              </w:rPr>
              <w:t>3%</w:t>
            </w:r>
            <w:r>
              <w:rPr>
                <w:rFonts w:hint="eastAsia"/>
                <w:sz w:val="24"/>
                <w:szCs w:val="24"/>
              </w:rPr>
              <w:t>。与此同时公司也在跟踪新的技术热点，公司研发团队一直在进行各种新型电池的研究以及光伏电池在各种应用场景的课题研究，今年计划进行的研究课题包括“新型</w:t>
            </w:r>
            <w:proofErr w:type="spellStart"/>
            <w:r>
              <w:rPr>
                <w:rFonts w:hint="eastAsia"/>
                <w:sz w:val="24"/>
                <w:szCs w:val="24"/>
              </w:rPr>
              <w:t>TopCon</w:t>
            </w:r>
            <w:proofErr w:type="spellEnd"/>
            <w:r>
              <w:rPr>
                <w:rFonts w:hint="eastAsia"/>
                <w:sz w:val="24"/>
                <w:szCs w:val="24"/>
              </w:rPr>
              <w:t>电池研究”、</w:t>
            </w:r>
            <w:r>
              <w:rPr>
                <w:rFonts w:hint="eastAsia"/>
                <w:sz w:val="24"/>
                <w:szCs w:val="24"/>
              </w:rPr>
              <w:t>"</w:t>
            </w:r>
            <w:r>
              <w:rPr>
                <w:rFonts w:hint="eastAsia"/>
                <w:sz w:val="24"/>
                <w:szCs w:val="24"/>
              </w:rPr>
              <w:t>高效电池（</w:t>
            </w:r>
            <w:r>
              <w:rPr>
                <w:rFonts w:hint="eastAsia"/>
                <w:sz w:val="24"/>
                <w:szCs w:val="24"/>
              </w:rPr>
              <w:t>PERC</w:t>
            </w:r>
            <w:r>
              <w:rPr>
                <w:rFonts w:hint="eastAsia"/>
                <w:sz w:val="24"/>
                <w:szCs w:val="24"/>
              </w:rPr>
              <w:t>、</w:t>
            </w:r>
            <w:r>
              <w:rPr>
                <w:rFonts w:hint="eastAsia"/>
                <w:sz w:val="24"/>
                <w:szCs w:val="24"/>
              </w:rPr>
              <w:t>Topcon</w:t>
            </w:r>
            <w:r>
              <w:rPr>
                <w:rFonts w:hint="eastAsia"/>
                <w:sz w:val="24"/>
                <w:szCs w:val="24"/>
              </w:rPr>
              <w:t>、</w:t>
            </w:r>
            <w:r>
              <w:rPr>
                <w:rFonts w:hint="eastAsia"/>
                <w:sz w:val="24"/>
                <w:szCs w:val="24"/>
              </w:rPr>
              <w:t>HJT</w:t>
            </w:r>
            <w:r>
              <w:rPr>
                <w:rFonts w:hint="eastAsia"/>
                <w:sz w:val="24"/>
                <w:szCs w:val="24"/>
              </w:rPr>
              <w:t>）户外衰减测试及研究</w:t>
            </w:r>
            <w:r>
              <w:rPr>
                <w:rFonts w:hint="eastAsia"/>
                <w:sz w:val="24"/>
                <w:szCs w:val="24"/>
              </w:rPr>
              <w:t>"</w:t>
            </w:r>
            <w:r>
              <w:rPr>
                <w:rFonts w:hint="eastAsia"/>
                <w:sz w:val="24"/>
                <w:szCs w:val="24"/>
              </w:rPr>
              <w:t>、</w:t>
            </w:r>
            <w:r>
              <w:rPr>
                <w:rFonts w:hint="eastAsia"/>
                <w:sz w:val="24"/>
                <w:szCs w:val="24"/>
              </w:rPr>
              <w:t>"</w:t>
            </w:r>
            <w:r>
              <w:rPr>
                <w:rFonts w:hint="eastAsia"/>
                <w:sz w:val="24"/>
                <w:szCs w:val="24"/>
              </w:rPr>
              <w:t>高效</w:t>
            </w:r>
            <w:r>
              <w:rPr>
                <w:rFonts w:hint="eastAsia"/>
                <w:sz w:val="24"/>
                <w:szCs w:val="24"/>
              </w:rPr>
              <w:t>HJT</w:t>
            </w:r>
            <w:r>
              <w:rPr>
                <w:rFonts w:hint="eastAsia"/>
                <w:sz w:val="24"/>
                <w:szCs w:val="24"/>
              </w:rPr>
              <w:t>电池研究</w:t>
            </w:r>
            <w:r>
              <w:rPr>
                <w:rFonts w:hint="eastAsia"/>
                <w:sz w:val="24"/>
                <w:szCs w:val="24"/>
              </w:rPr>
              <w:t>"</w:t>
            </w:r>
            <w:r>
              <w:rPr>
                <w:rFonts w:hint="eastAsia"/>
                <w:sz w:val="24"/>
                <w:szCs w:val="24"/>
              </w:rPr>
              <w:t>等。目前公司已经有</w:t>
            </w:r>
            <w:proofErr w:type="spellStart"/>
            <w:r>
              <w:rPr>
                <w:rFonts w:hint="eastAsia"/>
                <w:sz w:val="24"/>
                <w:szCs w:val="24"/>
              </w:rPr>
              <w:t>T</w:t>
            </w:r>
            <w:r>
              <w:rPr>
                <w:sz w:val="24"/>
                <w:szCs w:val="24"/>
              </w:rPr>
              <w:t>opCon</w:t>
            </w:r>
            <w:proofErr w:type="spellEnd"/>
            <w:r>
              <w:rPr>
                <w:rFonts w:hint="eastAsia"/>
                <w:sz w:val="24"/>
                <w:szCs w:val="24"/>
              </w:rPr>
              <w:t>中试线，为后续投资扩产</w:t>
            </w:r>
            <w:r>
              <w:rPr>
                <w:rFonts w:hint="eastAsia"/>
                <w:sz w:val="24"/>
                <w:szCs w:val="24"/>
              </w:rPr>
              <w:lastRenderedPageBreak/>
              <w:t>做好技术准备。公司为实现出货量目标和盈利目标，正在积极寻求机会向产业上游布局，未来将打通公司产业链，发挥各环节的协同效应，并也将向</w:t>
            </w:r>
            <w:r>
              <w:rPr>
                <w:rFonts w:hint="eastAsia"/>
                <w:sz w:val="24"/>
                <w:szCs w:val="24"/>
              </w:rPr>
              <w:t>N</w:t>
            </w:r>
            <w:r>
              <w:rPr>
                <w:rFonts w:hint="eastAsia"/>
                <w:sz w:val="24"/>
                <w:szCs w:val="24"/>
              </w:rPr>
              <w:t>型电池组件布局。</w:t>
            </w:r>
          </w:p>
          <w:p w:rsidR="00DB6E4F" w:rsidRDefault="00DB6E4F" w:rsidP="00E119FF">
            <w:pPr>
              <w:spacing w:line="360" w:lineRule="auto"/>
              <w:ind w:firstLineChars="200" w:firstLine="480"/>
              <w:rPr>
                <w:sz w:val="24"/>
                <w:szCs w:val="24"/>
              </w:rPr>
            </w:pPr>
          </w:p>
          <w:p w:rsidR="00DB6E4F" w:rsidRDefault="0062103F" w:rsidP="00E119FF">
            <w:pPr>
              <w:spacing w:line="360" w:lineRule="auto"/>
              <w:ind w:firstLineChars="200" w:firstLine="480"/>
              <w:rPr>
                <w:sz w:val="24"/>
                <w:szCs w:val="24"/>
              </w:rPr>
            </w:pPr>
            <w:r>
              <w:rPr>
                <w:rFonts w:hint="eastAsia"/>
                <w:sz w:val="24"/>
                <w:szCs w:val="24"/>
              </w:rPr>
              <w:t>5</w:t>
            </w:r>
            <w:r>
              <w:rPr>
                <w:rFonts w:hint="eastAsia"/>
                <w:sz w:val="24"/>
                <w:szCs w:val="24"/>
              </w:rPr>
              <w:t>、公司在幕墙组件的进度如何？</w:t>
            </w:r>
          </w:p>
          <w:p w:rsidR="00DB6E4F" w:rsidRDefault="0062103F" w:rsidP="00E119FF">
            <w:pPr>
              <w:spacing w:line="360" w:lineRule="auto"/>
              <w:ind w:firstLineChars="200" w:firstLine="480"/>
              <w:rPr>
                <w:sz w:val="24"/>
                <w:szCs w:val="24"/>
              </w:rPr>
            </w:pPr>
            <w:r>
              <w:rPr>
                <w:rFonts w:hint="eastAsia"/>
                <w:sz w:val="24"/>
                <w:szCs w:val="24"/>
              </w:rPr>
              <w:t>答：公司今年计划推出</w:t>
            </w:r>
            <w:r>
              <w:rPr>
                <w:rFonts w:hint="eastAsia"/>
                <w:sz w:val="24"/>
                <w:szCs w:val="24"/>
              </w:rPr>
              <w:t>BIPV</w:t>
            </w:r>
            <w:r>
              <w:rPr>
                <w:rFonts w:hint="eastAsia"/>
                <w:sz w:val="24"/>
                <w:szCs w:val="24"/>
              </w:rPr>
              <w:t>新品“星云”和“幻彩”系列，这两个系列的</w:t>
            </w:r>
            <w:r>
              <w:rPr>
                <w:rFonts w:hint="eastAsia"/>
                <w:sz w:val="24"/>
                <w:szCs w:val="24"/>
              </w:rPr>
              <w:t>BIPV</w:t>
            </w:r>
            <w:r>
              <w:rPr>
                <w:rFonts w:hint="eastAsia"/>
                <w:sz w:val="24"/>
                <w:szCs w:val="24"/>
              </w:rPr>
              <w:t>产品是彩色玻璃制成的</w:t>
            </w:r>
            <w:r>
              <w:rPr>
                <w:rFonts w:hint="eastAsia"/>
                <w:sz w:val="24"/>
                <w:szCs w:val="24"/>
              </w:rPr>
              <w:t>182mm</w:t>
            </w:r>
            <w:r>
              <w:rPr>
                <w:rFonts w:hint="eastAsia"/>
                <w:sz w:val="24"/>
                <w:szCs w:val="24"/>
              </w:rPr>
              <w:t>规格双玻组件，满足建材和光伏双标准要求，可用来替代玻璃幕墙，实现光伏建筑一体化，发电的同时也能满足客户的不同色彩装饰需求。目前还有全黑高效单面单</w:t>
            </w:r>
            <w:proofErr w:type="gramStart"/>
            <w:r>
              <w:rPr>
                <w:rFonts w:hint="eastAsia"/>
                <w:sz w:val="24"/>
                <w:szCs w:val="24"/>
              </w:rPr>
              <w:t>玻</w:t>
            </w:r>
            <w:proofErr w:type="gramEnd"/>
            <w:r>
              <w:rPr>
                <w:rFonts w:hint="eastAsia"/>
                <w:sz w:val="24"/>
                <w:szCs w:val="24"/>
              </w:rPr>
              <w:t>108</w:t>
            </w:r>
            <w:r>
              <w:rPr>
                <w:rFonts w:hint="eastAsia"/>
                <w:sz w:val="24"/>
                <w:szCs w:val="24"/>
              </w:rPr>
              <w:t>半片版型组件，其最高研发功率为</w:t>
            </w:r>
            <w:r>
              <w:rPr>
                <w:rFonts w:hint="eastAsia"/>
                <w:sz w:val="24"/>
                <w:szCs w:val="24"/>
              </w:rPr>
              <w:t>405W</w:t>
            </w:r>
            <w:r>
              <w:rPr>
                <w:rFonts w:hint="eastAsia"/>
                <w:sz w:val="24"/>
                <w:szCs w:val="24"/>
              </w:rPr>
              <w:t>，外型美观，适用于国内外分布式屋顶等高外观要求的应用场景。</w:t>
            </w:r>
          </w:p>
        </w:tc>
      </w:tr>
      <w:tr w:rsidR="00DB6E4F">
        <w:trPr>
          <w:trHeight w:val="90"/>
        </w:trPr>
        <w:tc>
          <w:tcPr>
            <w:tcW w:w="1921" w:type="dxa"/>
            <w:vAlign w:val="center"/>
          </w:tcPr>
          <w:p w:rsidR="00DB6E4F" w:rsidRDefault="0062103F" w:rsidP="00E119FF">
            <w:pPr>
              <w:spacing w:line="360" w:lineRule="auto"/>
              <w:rPr>
                <w:b/>
                <w:bCs/>
                <w:sz w:val="24"/>
                <w:szCs w:val="24"/>
              </w:rPr>
            </w:pPr>
            <w:r>
              <w:rPr>
                <w:rFonts w:hint="eastAsia"/>
                <w:b/>
                <w:bCs/>
                <w:sz w:val="24"/>
                <w:szCs w:val="24"/>
              </w:rPr>
              <w:lastRenderedPageBreak/>
              <w:t>附件清单</w:t>
            </w:r>
          </w:p>
        </w:tc>
        <w:tc>
          <w:tcPr>
            <w:tcW w:w="6611" w:type="dxa"/>
          </w:tcPr>
          <w:p w:rsidR="00DB6E4F" w:rsidRDefault="0062103F" w:rsidP="00E119FF">
            <w:pPr>
              <w:spacing w:line="360" w:lineRule="auto"/>
              <w:rPr>
                <w:sz w:val="24"/>
                <w:szCs w:val="24"/>
              </w:rPr>
            </w:pPr>
            <w:r>
              <w:rPr>
                <w:rFonts w:hint="eastAsia"/>
                <w:sz w:val="24"/>
                <w:szCs w:val="24"/>
              </w:rPr>
              <w:t>无</w:t>
            </w:r>
          </w:p>
        </w:tc>
      </w:tr>
      <w:tr w:rsidR="00DB6E4F">
        <w:trPr>
          <w:trHeight w:val="466"/>
        </w:trPr>
        <w:tc>
          <w:tcPr>
            <w:tcW w:w="1921" w:type="dxa"/>
            <w:vAlign w:val="center"/>
          </w:tcPr>
          <w:p w:rsidR="00DB6E4F" w:rsidRDefault="0062103F" w:rsidP="00E119FF">
            <w:pPr>
              <w:spacing w:line="360" w:lineRule="auto"/>
              <w:rPr>
                <w:b/>
                <w:bCs/>
                <w:sz w:val="24"/>
                <w:szCs w:val="24"/>
              </w:rPr>
            </w:pPr>
            <w:r>
              <w:rPr>
                <w:rFonts w:hint="eastAsia"/>
                <w:b/>
                <w:bCs/>
                <w:sz w:val="24"/>
                <w:szCs w:val="24"/>
              </w:rPr>
              <w:t>日期</w:t>
            </w:r>
          </w:p>
        </w:tc>
        <w:tc>
          <w:tcPr>
            <w:tcW w:w="6611" w:type="dxa"/>
          </w:tcPr>
          <w:p w:rsidR="00DB6E4F" w:rsidRDefault="0062103F" w:rsidP="00E119FF">
            <w:pPr>
              <w:spacing w:line="360" w:lineRule="auto"/>
              <w:rPr>
                <w:sz w:val="24"/>
                <w:szCs w:val="24"/>
              </w:rPr>
            </w:pPr>
            <w:r>
              <w:rPr>
                <w:rFonts w:hint="eastAsia"/>
                <w:sz w:val="24"/>
                <w:szCs w:val="24"/>
              </w:rPr>
              <w:t>2022</w:t>
            </w:r>
            <w:r>
              <w:rPr>
                <w:rFonts w:hint="eastAsia"/>
                <w:sz w:val="24"/>
                <w:szCs w:val="24"/>
              </w:rPr>
              <w:t>年</w:t>
            </w:r>
            <w:r>
              <w:rPr>
                <w:rFonts w:hint="eastAsia"/>
                <w:sz w:val="24"/>
                <w:szCs w:val="24"/>
              </w:rPr>
              <w:t>7</w:t>
            </w:r>
            <w:r>
              <w:rPr>
                <w:rFonts w:hint="eastAsia"/>
                <w:sz w:val="24"/>
                <w:szCs w:val="24"/>
              </w:rPr>
              <w:t>月</w:t>
            </w:r>
            <w:r>
              <w:rPr>
                <w:rFonts w:hint="eastAsia"/>
                <w:sz w:val="24"/>
                <w:szCs w:val="24"/>
              </w:rPr>
              <w:t>20</w:t>
            </w:r>
            <w:r>
              <w:rPr>
                <w:rFonts w:hint="eastAsia"/>
                <w:sz w:val="24"/>
                <w:szCs w:val="24"/>
              </w:rPr>
              <w:t>日</w:t>
            </w:r>
          </w:p>
        </w:tc>
      </w:tr>
    </w:tbl>
    <w:p w:rsidR="00DB6E4F" w:rsidRDefault="00DB6E4F" w:rsidP="00E119FF">
      <w:pPr>
        <w:ind w:firstLineChars="200" w:firstLine="420"/>
      </w:pPr>
    </w:p>
    <w:p w:rsidR="00DB6E4F" w:rsidRDefault="00DB6E4F" w:rsidP="00E119FF">
      <w:pPr>
        <w:ind w:firstLineChars="200" w:firstLine="420"/>
      </w:pPr>
    </w:p>
    <w:p w:rsidR="00DB6E4F" w:rsidRDefault="00DB6E4F" w:rsidP="00E119FF">
      <w:pPr>
        <w:ind w:firstLineChars="200" w:firstLine="420"/>
      </w:pPr>
    </w:p>
    <w:p w:rsidR="00DB6E4F" w:rsidRDefault="00DB6E4F" w:rsidP="00E119FF">
      <w:pPr>
        <w:ind w:firstLineChars="200" w:firstLine="420"/>
      </w:pPr>
    </w:p>
    <w:sectPr w:rsidR="00DB6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BlNzAwYzFkZTYwN2FiMDU2ZjBkNmNiMWYzZGE3ZDEifQ=="/>
  </w:docVars>
  <w:rsids>
    <w:rsidRoot w:val="0039513B"/>
    <w:rsid w:val="00015D73"/>
    <w:rsid w:val="000423A4"/>
    <w:rsid w:val="00056D46"/>
    <w:rsid w:val="000728D4"/>
    <w:rsid w:val="000972F6"/>
    <w:rsid w:val="000E2B93"/>
    <w:rsid w:val="000F34D5"/>
    <w:rsid w:val="001170A1"/>
    <w:rsid w:val="00151196"/>
    <w:rsid w:val="001575F6"/>
    <w:rsid w:val="001576DF"/>
    <w:rsid w:val="0016788B"/>
    <w:rsid w:val="00170284"/>
    <w:rsid w:val="0017671C"/>
    <w:rsid w:val="001809C8"/>
    <w:rsid w:val="00193B2C"/>
    <w:rsid w:val="001D3B59"/>
    <w:rsid w:val="001D6B0E"/>
    <w:rsid w:val="001E01F3"/>
    <w:rsid w:val="001E664E"/>
    <w:rsid w:val="00213F70"/>
    <w:rsid w:val="0023667B"/>
    <w:rsid w:val="002400AC"/>
    <w:rsid w:val="00246D74"/>
    <w:rsid w:val="00250FD3"/>
    <w:rsid w:val="0025748C"/>
    <w:rsid w:val="00294281"/>
    <w:rsid w:val="002B4159"/>
    <w:rsid w:val="00310F9B"/>
    <w:rsid w:val="0032747F"/>
    <w:rsid w:val="00346B68"/>
    <w:rsid w:val="00364774"/>
    <w:rsid w:val="00372655"/>
    <w:rsid w:val="003924C9"/>
    <w:rsid w:val="0039513B"/>
    <w:rsid w:val="003A7F4D"/>
    <w:rsid w:val="0040626E"/>
    <w:rsid w:val="00407871"/>
    <w:rsid w:val="00414D1C"/>
    <w:rsid w:val="00460F4B"/>
    <w:rsid w:val="004613A8"/>
    <w:rsid w:val="004714A1"/>
    <w:rsid w:val="004725D2"/>
    <w:rsid w:val="00497D55"/>
    <w:rsid w:val="004A601C"/>
    <w:rsid w:val="004B6C2F"/>
    <w:rsid w:val="004F470D"/>
    <w:rsid w:val="0050412A"/>
    <w:rsid w:val="00516A18"/>
    <w:rsid w:val="00535AFD"/>
    <w:rsid w:val="005A197F"/>
    <w:rsid w:val="005D1E23"/>
    <w:rsid w:val="006156B5"/>
    <w:rsid w:val="0062103F"/>
    <w:rsid w:val="0064126A"/>
    <w:rsid w:val="006534B1"/>
    <w:rsid w:val="006A21A8"/>
    <w:rsid w:val="006F619B"/>
    <w:rsid w:val="00713198"/>
    <w:rsid w:val="0071524B"/>
    <w:rsid w:val="007163B3"/>
    <w:rsid w:val="00722124"/>
    <w:rsid w:val="0076389A"/>
    <w:rsid w:val="00793387"/>
    <w:rsid w:val="007C2039"/>
    <w:rsid w:val="008439C1"/>
    <w:rsid w:val="008C5C42"/>
    <w:rsid w:val="008D3CA5"/>
    <w:rsid w:val="008D5501"/>
    <w:rsid w:val="008E1A22"/>
    <w:rsid w:val="00930A34"/>
    <w:rsid w:val="009539E2"/>
    <w:rsid w:val="009739C2"/>
    <w:rsid w:val="009C671C"/>
    <w:rsid w:val="009F117D"/>
    <w:rsid w:val="00A0151D"/>
    <w:rsid w:val="00A80799"/>
    <w:rsid w:val="00A95F5C"/>
    <w:rsid w:val="00AA02D5"/>
    <w:rsid w:val="00AA5B39"/>
    <w:rsid w:val="00AC1CF3"/>
    <w:rsid w:val="00AD5CAF"/>
    <w:rsid w:val="00AF6B26"/>
    <w:rsid w:val="00B22FBE"/>
    <w:rsid w:val="00B32327"/>
    <w:rsid w:val="00B741F7"/>
    <w:rsid w:val="00B74D9E"/>
    <w:rsid w:val="00B96AF1"/>
    <w:rsid w:val="00BB6AA1"/>
    <w:rsid w:val="00BD0CE6"/>
    <w:rsid w:val="00BE0CEC"/>
    <w:rsid w:val="00C07CE3"/>
    <w:rsid w:val="00C15092"/>
    <w:rsid w:val="00C15A5E"/>
    <w:rsid w:val="00C42D1F"/>
    <w:rsid w:val="00C53CA5"/>
    <w:rsid w:val="00C86E26"/>
    <w:rsid w:val="00CE7C56"/>
    <w:rsid w:val="00D01AA8"/>
    <w:rsid w:val="00D01AF8"/>
    <w:rsid w:val="00D4517D"/>
    <w:rsid w:val="00D52C5B"/>
    <w:rsid w:val="00D55524"/>
    <w:rsid w:val="00D70DD8"/>
    <w:rsid w:val="00D83262"/>
    <w:rsid w:val="00D9646D"/>
    <w:rsid w:val="00DB38EE"/>
    <w:rsid w:val="00DB6E4F"/>
    <w:rsid w:val="00DD3B90"/>
    <w:rsid w:val="00DD6846"/>
    <w:rsid w:val="00DF463C"/>
    <w:rsid w:val="00E013D4"/>
    <w:rsid w:val="00E119FF"/>
    <w:rsid w:val="00E1600C"/>
    <w:rsid w:val="00E730EA"/>
    <w:rsid w:val="00E76B96"/>
    <w:rsid w:val="00E85D1C"/>
    <w:rsid w:val="00ED7107"/>
    <w:rsid w:val="00F044DD"/>
    <w:rsid w:val="00F04FC5"/>
    <w:rsid w:val="00F21BA4"/>
    <w:rsid w:val="00F23839"/>
    <w:rsid w:val="00F33EAD"/>
    <w:rsid w:val="00F36637"/>
    <w:rsid w:val="00F54650"/>
    <w:rsid w:val="00F64A80"/>
    <w:rsid w:val="00F80CBF"/>
    <w:rsid w:val="00F96E65"/>
    <w:rsid w:val="00FF4745"/>
    <w:rsid w:val="00FF6D52"/>
    <w:rsid w:val="0B422D73"/>
    <w:rsid w:val="10302E86"/>
    <w:rsid w:val="20FC10C3"/>
    <w:rsid w:val="254E7BFA"/>
    <w:rsid w:val="32DF15D5"/>
    <w:rsid w:val="4A0F79A2"/>
    <w:rsid w:val="6D4F440A"/>
    <w:rsid w:val="6F5726F4"/>
    <w:rsid w:val="6F8D16BF"/>
    <w:rsid w:val="742C6D05"/>
    <w:rsid w:val="7DE6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D2E4"/>
  <w15:docId w15:val="{130DD602-969B-4D87-A0DF-80221B6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冉艳</dc:creator>
  <cp:lastModifiedBy>Cjm</cp:lastModifiedBy>
  <cp:revision>6</cp:revision>
  <dcterms:created xsi:type="dcterms:W3CDTF">2022-07-20T09:45:00Z</dcterms:created>
  <dcterms:modified xsi:type="dcterms:W3CDTF">2022-07-20T10:08:00Z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76DFD7AAE2FA4F82B1210177C6F128CE</vt:lpwstr>
  </property>
</Properties>
</file>