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杭萧钢构股份有限公司投资者关系活动记录表</w:t>
      </w:r>
    </w:p>
    <w:tbl>
      <w:tblPr>
        <w:tblStyle w:val="10"/>
        <w:tblpPr w:leftFromText="180" w:rightFromText="180" w:vertAnchor="page" w:horzAnchor="page" w:tblpX="1325" w:tblpY="21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7"/>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rFonts w:ascii="宋体" w:hAnsi="宋体" w:eastAsia="宋体" w:cs="宋体"/>
                <w:b/>
                <w:bCs/>
                <w:sz w:val="24"/>
              </w:rPr>
            </w:pPr>
            <w:r>
              <w:rPr>
                <w:rFonts w:ascii="宋体" w:hAnsi="宋体" w:eastAsia="宋体" w:cs="宋体"/>
                <w:b/>
                <w:bCs/>
                <w:sz w:val="24"/>
              </w:rPr>
              <w:t>投资者关系</w:t>
            </w:r>
          </w:p>
          <w:p>
            <w:pPr>
              <w:jc w:val="center"/>
              <w:rPr>
                <w:b/>
                <w:bCs/>
              </w:rPr>
            </w:pPr>
            <w:r>
              <w:rPr>
                <w:rFonts w:ascii="宋体" w:hAnsi="宋体" w:eastAsia="宋体" w:cs="宋体"/>
                <w:b/>
                <w:bCs/>
                <w:sz w:val="24"/>
              </w:rPr>
              <w:t>活动类别</w:t>
            </w:r>
          </w:p>
        </w:tc>
        <w:tc>
          <w:tcPr>
            <w:tcW w:w="6145" w:type="dxa"/>
          </w:tcPr>
          <w:p>
            <w:r>
              <w:rPr>
                <w:rFonts w:ascii="MS Gothic" w:hAnsi="MS Gothic" w:eastAsia="宋体" w:cs="宋体"/>
                <w:kern w:val="2"/>
                <w:sz w:val="21"/>
                <w:szCs w:val="24"/>
                <w:lang w:val="en-US" w:eastAsia="zh-CN" w:bidi="ar-SA"/>
              </w:rPr>
              <w:t>☐</w:t>
            </w:r>
            <w:r>
              <w:rPr>
                <w:rFonts w:hint="eastAsia"/>
              </w:rPr>
              <w:t xml:space="preserve">特定对象调研          </w:t>
            </w:r>
            <w:r>
              <w:rPr>
                <w:rFonts w:ascii="MS Gothic" w:hAnsi="MS Gothic"/>
              </w:rPr>
              <w:t>☐</w:t>
            </w:r>
            <w:r>
              <w:rPr>
                <w:rFonts w:hint="eastAsia"/>
              </w:rPr>
              <w:t>分析师会议</w:t>
            </w:r>
          </w:p>
          <w:p>
            <w:r>
              <w:rPr>
                <w:rFonts w:ascii="MS Gothic" w:hAnsi="MS Gothic"/>
              </w:rPr>
              <w:t>☐</w:t>
            </w:r>
            <w:r>
              <w:rPr>
                <w:rFonts w:hint="eastAsia"/>
              </w:rPr>
              <w:t xml:space="preserve">媒体采访              </w:t>
            </w:r>
            <w:r>
              <w:rPr>
                <w:rFonts w:ascii="MS Gothic" w:hAnsi="MS Gothic"/>
              </w:rPr>
              <w:t>☐</w:t>
            </w:r>
            <w:r>
              <w:rPr>
                <w:rFonts w:hint="eastAsia"/>
              </w:rPr>
              <w:t>业绩说明会</w:t>
            </w:r>
          </w:p>
          <w:p>
            <w:r>
              <w:rPr>
                <w:rFonts w:ascii="MS Gothic" w:hAnsi="MS Gothic"/>
              </w:rPr>
              <w:t>☐</w:t>
            </w:r>
            <w:r>
              <w:rPr>
                <w:rFonts w:hint="eastAsia"/>
              </w:rPr>
              <w:t xml:space="preserve">新闻发布会            </w:t>
            </w:r>
            <w:r>
              <w:rPr>
                <w:rFonts w:ascii="MS Gothic" w:hAnsi="MS Gothic"/>
              </w:rPr>
              <w:t>☐</w:t>
            </w:r>
            <w:r>
              <w:rPr>
                <w:rFonts w:hint="eastAsia"/>
              </w:rPr>
              <w:t>路演活动</w:t>
            </w:r>
          </w:p>
          <w:p>
            <w:r>
              <w:rPr>
                <w:rFonts w:ascii="MS Gothic" w:hAnsi="MS Gothic" w:eastAsia="宋体" w:cs="宋体"/>
                <w:kern w:val="2"/>
                <w:sz w:val="21"/>
                <w:szCs w:val="24"/>
                <w:lang w:val="en-US" w:eastAsia="zh-CN" w:bidi="ar-SA"/>
              </w:rPr>
              <w:t>☒</w:t>
            </w:r>
            <w:r>
              <w:rPr>
                <w:rFonts w:hint="eastAsia"/>
              </w:rPr>
              <w:t xml:space="preserve">现场参观              </w:t>
            </w:r>
            <w:r>
              <w:rPr>
                <w:rFonts w:ascii="MS Gothic" w:hAnsi="MS Gothic"/>
              </w:rPr>
              <w:t>☐</w:t>
            </w:r>
            <w:r>
              <w:rPr>
                <w:rFonts w:hint="eastAsia"/>
              </w:rPr>
              <w:t>电话调研</w:t>
            </w:r>
          </w:p>
          <w:p>
            <w:r>
              <w:rPr>
                <w:rFonts w:ascii="MS Gothic" w:hAnsi="MS Gothic"/>
              </w:rPr>
              <w:t>☐</w:t>
            </w: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rFonts w:hint="default" w:eastAsia="宋体"/>
                <w:b/>
                <w:bCs/>
                <w:lang w:val="en-US" w:eastAsia="zh-CN"/>
              </w:rPr>
            </w:pPr>
            <w:r>
              <w:rPr>
                <w:rFonts w:hint="eastAsia" w:ascii="宋体" w:hAnsi="宋体" w:cs="宋体"/>
                <w:b/>
                <w:bCs/>
                <w:sz w:val="24"/>
                <w:lang w:val="en-US" w:eastAsia="zh-CN"/>
              </w:rPr>
              <w:t>调研时间/</w:t>
            </w:r>
            <w:r>
              <w:rPr>
                <w:rFonts w:ascii="宋体" w:hAnsi="宋体" w:eastAsia="宋体" w:cs="宋体"/>
                <w:b/>
                <w:bCs/>
                <w:sz w:val="24"/>
              </w:rPr>
              <w:t>调研人员单位</w:t>
            </w:r>
          </w:p>
        </w:tc>
        <w:tc>
          <w:tcPr>
            <w:tcW w:w="6145" w:type="dxa"/>
          </w:tcPr>
          <w:p>
            <w:pPr>
              <w:rPr>
                <w:rFonts w:hint="default" w:ascii="楷体" w:hAnsi="楷体" w:eastAsia="楷体" w:cs="楷体"/>
                <w:b w:val="0"/>
                <w:bCs w:val="0"/>
                <w:color w:val="auto"/>
                <w:sz w:val="22"/>
                <w:szCs w:val="22"/>
                <w:highlight w:val="none"/>
                <w:lang w:val="en-US" w:eastAsia="zh-CN"/>
              </w:rPr>
            </w:pPr>
            <w:r>
              <w:rPr>
                <w:rFonts w:hint="eastAsia" w:ascii="楷体" w:hAnsi="楷体" w:eastAsia="楷体" w:cs="楷体"/>
                <w:b w:val="0"/>
                <w:bCs w:val="0"/>
                <w:color w:val="auto"/>
                <w:sz w:val="22"/>
                <w:szCs w:val="22"/>
                <w:highlight w:val="none"/>
                <w:lang w:val="en-US" w:eastAsia="zh-CN"/>
              </w:rPr>
              <w:t>2022年7月22日 14：00-16：00</w:t>
            </w:r>
          </w:p>
          <w:p>
            <w:pPr>
              <w:rPr>
                <w:rFonts w:hint="default" w:eastAsia="宋体"/>
                <w:lang w:val="en-US" w:eastAsia="zh-CN"/>
              </w:rPr>
            </w:pPr>
            <w:r>
              <w:rPr>
                <w:rFonts w:hint="default" w:eastAsia="宋体"/>
                <w:lang w:val="en-US" w:eastAsia="zh-CN"/>
              </w:rPr>
              <w:t>光大证券</w:t>
            </w:r>
            <w:r>
              <w:rPr>
                <w:rFonts w:hint="eastAsia"/>
                <w:lang w:val="en-US" w:eastAsia="zh-CN"/>
              </w:rPr>
              <w:t>、华西证券、天风证券、</w:t>
            </w:r>
            <w:r>
              <w:rPr>
                <w:rFonts w:hint="default" w:eastAsia="宋体"/>
                <w:lang w:val="en-US" w:eastAsia="zh-CN"/>
              </w:rPr>
              <w:t>广发证券股份有限公司</w:t>
            </w:r>
            <w:r>
              <w:rPr>
                <w:rFonts w:hint="eastAsia"/>
                <w:lang w:val="en-US" w:eastAsia="zh-CN"/>
              </w:rPr>
              <w:t>、</w:t>
            </w:r>
            <w:r>
              <w:rPr>
                <w:rFonts w:hint="default" w:eastAsia="宋体"/>
                <w:lang w:val="en-US" w:eastAsia="zh-CN"/>
              </w:rPr>
              <w:t>浙江探骊私募基金有限公司</w:t>
            </w:r>
            <w:r>
              <w:rPr>
                <w:rFonts w:hint="eastAsia"/>
                <w:lang w:val="en-US" w:eastAsia="zh-CN"/>
              </w:rPr>
              <w:t>、伟晟投资、厦门坤易投资管理有限公司、上海翀云私募基金、灏浚投资、杭州九禄投资、上海优思投资管理有限公司、上海盛宇投资、长城证券、华泰证券、上海甄投资产有限公司、鹏扬基金、浙江开元股权投资有限公司、杭州弘础私募基金管理有限公司、浙江辰沣资产管理有限公司、杭州鼎维投资管理合伙企业、上海从容投资管理有限公司、巨子私募、物产中大集团投资有限公司、上海耀之资产、绿城建筑科技集团、海南晶石、诚熠投资、上海亘曦私募基金管理有限公司、浙江墨钜资产管理有限公司、浙江俊皓控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ascii="宋体" w:hAnsi="宋体" w:eastAsia="宋体" w:cs="宋体"/>
                <w:b/>
                <w:bCs/>
                <w:sz w:val="24"/>
                <w:highlight w:val="none"/>
              </w:rPr>
              <w:t>调研</w:t>
            </w:r>
            <w:r>
              <w:rPr>
                <w:rFonts w:ascii="宋体" w:hAnsi="宋体" w:eastAsia="宋体" w:cs="宋体"/>
                <w:b/>
                <w:bCs/>
                <w:sz w:val="24"/>
                <w:highlight w:val="none"/>
              </w:rPr>
              <w:t>时间</w:t>
            </w:r>
          </w:p>
        </w:tc>
        <w:tc>
          <w:tcPr>
            <w:tcW w:w="6145" w:type="dxa"/>
          </w:tcPr>
          <w:p>
            <w:pPr>
              <w:rPr>
                <w:rFonts w:hint="default" w:eastAsia="宋体"/>
                <w:lang w:val="en-US" w:eastAsia="zh-CN"/>
              </w:rPr>
            </w:pPr>
            <w:r>
              <w:rPr>
                <w:rFonts w:hint="eastAsia" w:ascii="宋体" w:hAnsi="宋体"/>
              </w:rPr>
              <w:t>202</w:t>
            </w:r>
            <w:r>
              <w:rPr>
                <w:rFonts w:hint="eastAsia" w:ascii="宋体" w:hAnsi="宋体"/>
                <w:lang w:val="en-US" w:eastAsia="zh-CN"/>
              </w:rPr>
              <w:t>2</w:t>
            </w:r>
            <w:r>
              <w:rPr>
                <w:rFonts w:hint="eastAsia" w:ascii="宋体" w:hAnsi="宋体"/>
              </w:rPr>
              <w:t>年</w:t>
            </w:r>
            <w:r>
              <w:rPr>
                <w:rFonts w:hint="eastAsia" w:ascii="宋体" w:hAnsi="宋体"/>
                <w:lang w:val="en-US" w:eastAsia="zh-CN"/>
              </w:rPr>
              <w:t>7</w:t>
            </w:r>
            <w:r>
              <w:rPr>
                <w:rFonts w:hint="eastAsia" w:ascii="宋体" w:hAnsi="宋体"/>
              </w:rPr>
              <w:t>月</w:t>
            </w:r>
            <w:r>
              <w:rPr>
                <w:rFonts w:hint="eastAsia" w:ascii="宋体" w:hAnsi="宋体"/>
                <w:lang w:val="en-US" w:eastAsia="zh-CN"/>
              </w:rPr>
              <w:t>22</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b/>
                <w:bCs/>
                <w:sz w:val="24"/>
              </w:rPr>
              <w:t>调研地点</w:t>
            </w:r>
          </w:p>
        </w:tc>
        <w:tc>
          <w:tcPr>
            <w:tcW w:w="6145" w:type="dxa"/>
          </w:tcPr>
          <w:p>
            <w:pPr>
              <w:rPr>
                <w:rFonts w:hint="default" w:eastAsia="宋体"/>
                <w:lang w:val="en-US" w:eastAsia="zh-CN"/>
              </w:rPr>
            </w:pPr>
            <w:r>
              <w:rPr>
                <w:rFonts w:hint="eastAsia"/>
                <w:lang w:val="en-US" w:eastAsia="zh-CN"/>
              </w:rPr>
              <w:t>浙江合特光电有限公司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ascii="宋体" w:hAnsi="宋体" w:eastAsia="宋体" w:cs="宋体"/>
                <w:b/>
                <w:bCs/>
                <w:sz w:val="24"/>
              </w:rPr>
              <w:t>上市</w:t>
            </w:r>
            <w:r>
              <w:rPr>
                <w:rFonts w:ascii="宋体" w:hAnsi="宋体" w:eastAsia="宋体" w:cs="宋体"/>
                <w:b/>
                <w:bCs/>
                <w:sz w:val="24"/>
              </w:rPr>
              <w:t>公司接待人员</w:t>
            </w:r>
          </w:p>
        </w:tc>
        <w:tc>
          <w:tcPr>
            <w:tcW w:w="6145" w:type="dxa"/>
          </w:tcPr>
          <w:p>
            <w:pPr>
              <w:rPr>
                <w:rFonts w:hint="default" w:eastAsia="宋体"/>
                <w:lang w:val="en-US" w:eastAsia="zh-CN"/>
              </w:rPr>
            </w:pPr>
            <w:r>
              <w:rPr>
                <w:rFonts w:hint="eastAsia"/>
                <w:lang w:val="en-US" w:eastAsia="zh-CN"/>
              </w:rPr>
              <w:t>公司</w:t>
            </w:r>
            <w:r>
              <w:rPr>
                <w:rFonts w:hint="eastAsia"/>
              </w:rPr>
              <w:t>副总裁兼董事会秘书</w:t>
            </w:r>
            <w:r>
              <w:rPr>
                <w:rFonts w:hint="eastAsia"/>
                <w:lang w:val="en-US" w:eastAsia="zh-CN"/>
              </w:rPr>
              <w:t>宋蓓蓓、合特光电董事长张群芳、合特光电董事任建强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7" w:type="dxa"/>
          </w:tcPr>
          <w:p>
            <w:pPr>
              <w:jc w:val="center"/>
              <w:rPr>
                <w:rFonts w:ascii="宋体" w:hAnsi="宋体" w:eastAsia="宋体" w:cs="宋体"/>
                <w:b/>
                <w:bCs/>
                <w:sz w:val="24"/>
              </w:rPr>
            </w:pPr>
            <w:r>
              <w:rPr>
                <w:rFonts w:ascii="宋体" w:hAnsi="宋体" w:eastAsia="宋体" w:cs="宋体"/>
                <w:b/>
                <w:bCs/>
                <w:sz w:val="24"/>
              </w:rPr>
              <w:t xml:space="preserve">投资者关系活动 </w:t>
            </w:r>
          </w:p>
          <w:p>
            <w:pPr>
              <w:jc w:val="center"/>
              <w:rPr>
                <w:b/>
                <w:bCs/>
              </w:rPr>
            </w:pPr>
            <w:r>
              <w:rPr>
                <w:rFonts w:ascii="宋体" w:hAnsi="宋体" w:eastAsia="宋体" w:cs="宋体"/>
                <w:b/>
                <w:bCs/>
                <w:sz w:val="24"/>
              </w:rPr>
              <w:t>主要内容介绍</w:t>
            </w:r>
          </w:p>
        </w:tc>
        <w:tc>
          <w:tcPr>
            <w:tcW w:w="61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22" w:firstLineChars="200"/>
              <w:textAlignment w:val="auto"/>
              <w:rPr>
                <w:rFonts w:hint="eastAsia"/>
                <w:b/>
                <w:bCs/>
              </w:rPr>
            </w:pPr>
            <w:r>
              <w:rPr>
                <w:rFonts w:hint="eastAsia"/>
                <w:b/>
                <w:bCs/>
              </w:rPr>
              <w:t>公司副总裁兼董事会秘书宋蓓蓓</w:t>
            </w:r>
            <w:r>
              <w:rPr>
                <w:rFonts w:hint="eastAsia"/>
                <w:b/>
                <w:bCs/>
                <w:lang w:val="en-US" w:eastAsia="zh-CN"/>
              </w:rPr>
              <w:t>带队参观合特光电展厅，随后与合特光电董事长张群芳一起，</w:t>
            </w:r>
            <w:r>
              <w:rPr>
                <w:rFonts w:hint="eastAsia"/>
                <w:b/>
                <w:bCs/>
              </w:rPr>
              <w:t>针对投资者关心的重点问题作了具体问答交流，纪要如下：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b/>
                <w:bCs/>
                <w:sz w:val="24"/>
              </w:rPr>
            </w:pPr>
            <w:r>
              <w:rPr>
                <w:rFonts w:hint="eastAsia"/>
                <w:b/>
                <w:bCs/>
                <w:lang w:val="en-US" w:eastAsia="zh-CN"/>
              </w:rPr>
              <w:t>1、合特光电的钙钛矿叠层电池，是否会有效率衰减和稳定性的问题？电池使用寿命是多久？</w:t>
            </w:r>
          </w:p>
          <w:p>
            <w:pPr>
              <w:numPr>
                <w:ilvl w:val="0"/>
                <w:numId w:val="0"/>
              </w:numPr>
              <w:spacing w:line="360" w:lineRule="auto"/>
              <w:ind w:firstLine="420" w:firstLineChars="200"/>
              <w:rPr>
                <w:rFonts w:hint="eastAsia"/>
                <w:sz w:val="21"/>
                <w:szCs w:val="21"/>
              </w:rPr>
            </w:pPr>
            <w:r>
              <w:rPr>
                <w:rFonts w:hint="eastAsia"/>
                <w:sz w:val="21"/>
                <w:szCs w:val="21"/>
              </w:rPr>
              <w:t>答：合特光电的电池技术是“高效异质结+钙钛矿叠层电池”，这个技术路线与单节钙钛矿电池，两者是有根本性差异的。目前纯钙钛矿电池在大尺寸组件产品的市场化进程上，尚未克服“寿命短、稳定性差”的问题，因此，效率衰减过快成为钙钛矿技术产业化落地的最大掣肘。</w:t>
            </w:r>
          </w:p>
          <w:p>
            <w:pPr>
              <w:numPr>
                <w:ilvl w:val="0"/>
                <w:numId w:val="0"/>
              </w:numPr>
              <w:spacing w:line="360" w:lineRule="auto"/>
              <w:ind w:firstLine="420" w:firstLineChars="200"/>
              <w:rPr>
                <w:rFonts w:hint="eastAsia"/>
                <w:sz w:val="21"/>
                <w:szCs w:val="21"/>
              </w:rPr>
            </w:pPr>
            <w:r>
              <w:rPr>
                <w:rFonts w:hint="eastAsia"/>
                <w:sz w:val="21"/>
                <w:szCs w:val="21"/>
              </w:rPr>
              <w:t>合特光电采用的技术路线，是将异质结电池与钙钛矿制成叠层太阳能电池，拓宽吸收光谱，通过组合方式取得高于顶部和底部单个子电池的转换效率，进而可实现突破单结电池的极限转换率。异质结/钙钛矿叠层电池中，钙钛矿电池比硅电池更有效利用高能量紫外和蓝绿可见光，硅电池可以有效利用钙钛矿材料无法吸收的红外光。在转化率贡献上，异质结可以贡献25%-26%的转化率，而钙钛矿叠层则是增加其3%-5%增量效益。在叠层电池上，钙钛矿材料用量及效率贡献，与纯钙钛矿电池相比，材料性能诉求是有巨大差异的，这使得我们这样的技术方向，能在当前工艺下最大化回避了效率衰减产生的重大影响。在电池使用寿命上，中试线产品也是按照行业标准25年使用寿命来进行设计生产的，即保证电池在 25 年后能够以高于其额定效率的 80% 工作。</w:t>
            </w:r>
          </w:p>
          <w:p>
            <w:pPr>
              <w:numPr>
                <w:ilvl w:val="0"/>
                <w:numId w:val="0"/>
              </w:numPr>
              <w:spacing w:line="360" w:lineRule="auto"/>
              <w:rPr>
                <w:rFonts w:hint="eastAsia"/>
                <w:b/>
                <w:bCs/>
                <w:sz w:val="21"/>
                <w:szCs w:val="21"/>
                <w:lang w:val="en-US" w:eastAsia="zh-CN"/>
              </w:rPr>
            </w:pPr>
          </w:p>
          <w:p>
            <w:pPr>
              <w:numPr>
                <w:ilvl w:val="0"/>
                <w:numId w:val="0"/>
              </w:numPr>
              <w:spacing w:line="360" w:lineRule="auto"/>
              <w:rPr>
                <w:rFonts w:hint="eastAsia"/>
                <w:b/>
                <w:bCs/>
                <w:sz w:val="21"/>
                <w:szCs w:val="21"/>
                <w:lang w:val="en-US" w:eastAsia="zh-CN"/>
              </w:rPr>
            </w:pPr>
            <w:r>
              <w:rPr>
                <w:rFonts w:hint="eastAsia"/>
                <w:b/>
                <w:bCs/>
                <w:sz w:val="21"/>
                <w:szCs w:val="21"/>
                <w:lang w:val="en-US" w:eastAsia="zh-CN"/>
              </w:rPr>
              <w:t>2、根据公司发布的信息，合特光电下半年投建异质结钙钛矿叠层电池的中试线，转化效率不低于28%。目前该项工作的进展如何？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答：在今年</w:t>
            </w:r>
            <w:r>
              <w:rPr>
                <w:rFonts w:hint="eastAsia" w:ascii="宋体" w:hAnsi="宋体" w:cs="宋体"/>
                <w:sz w:val="21"/>
                <w:szCs w:val="21"/>
                <w:lang w:val="en-US" w:eastAsia="zh-CN"/>
              </w:rPr>
              <w:t>4月份公司</w:t>
            </w:r>
            <w:r>
              <w:rPr>
                <w:rFonts w:hint="eastAsia" w:ascii="宋体" w:hAnsi="宋体" w:eastAsia="宋体" w:cs="宋体"/>
                <w:sz w:val="21"/>
                <w:szCs w:val="21"/>
                <w:lang w:val="en-US" w:eastAsia="zh-CN"/>
              </w:rPr>
              <w:t>专门就合特光电的中高层管理者及核心骨干员工进行了股权激励的设计，在4月28日发布了《杭萧钢构股份有限公司 2022 年员工持股计划（草案）》。根据持股计划中约定的“业绩考核”要求，合特光电要在不晚于2023年5月10日实现高转化效率钙钛矿/晶硅薄膜叠层电池100兆瓦中试线投产，且电池转化效率达到28%以上。当然，在合特今年重点工作的推进中，我们对此尽量作了时间的前置性倒排。关于中试线的筹备进展情况，目前已完成了各供应商的技术交底，陆续推进各类设备的下单采购及进场计划安排，目标在2022年底完成生产线的建设。上述情况，还需要考虑上游进口零部件及相关设备供应商的进展，因此也会根据现实情况动态调整进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1"/>
                <w:szCs w:val="21"/>
                <w:lang w:val="en-US" w:eastAsia="zh-CN"/>
              </w:rPr>
            </w:pPr>
            <w:r>
              <w:rPr>
                <w:rFonts w:hint="eastAsia"/>
                <w:b/>
                <w:bCs/>
                <w:sz w:val="21"/>
                <w:szCs w:val="21"/>
                <w:lang w:val="en-US" w:eastAsia="zh-CN"/>
              </w:rPr>
              <w:t>3、合特光电的异质结钙钛矿叠层相关技术，竞争壁垒高吗？同行有相关入局者吗？</w:t>
            </w:r>
          </w:p>
          <w:p>
            <w:pPr>
              <w:spacing w:line="360" w:lineRule="auto"/>
              <w:ind w:firstLine="420" w:firstLineChars="200"/>
              <w:rPr>
                <w:rFonts w:hint="eastAsia"/>
                <w:b w:val="0"/>
                <w:bCs w:val="0"/>
                <w:sz w:val="21"/>
                <w:szCs w:val="21"/>
                <w:lang w:val="en-US" w:eastAsia="zh-CN"/>
              </w:rPr>
            </w:pPr>
            <w:r>
              <w:rPr>
                <w:rFonts w:hint="eastAsia"/>
                <w:b w:val="0"/>
                <w:bCs w:val="0"/>
                <w:sz w:val="21"/>
                <w:szCs w:val="21"/>
                <w:lang w:val="en-US" w:eastAsia="zh-CN"/>
              </w:rPr>
              <w:t>答：目前据我们了解，行业里可能也有相关科研团队，开始朝着这个方向进行研发，但走到产业化应用的，我们应该算是业内最早的一拨人。科研成果走向产业化，首先是方向的选择要正确，否则可能研究了很久都出不来成果；其二是经验的积累和时间的花费，在对的方向上不断找到一些具体问题，优化工艺和方法，简化程序及降低成本等，这期间既需要从业者的长期经验积累，更多的是时间的成本。我们在这个方向上提前完成了实验室阶段的研究，较同行进展在时间上是有领先优势的。下半年的中试线，正是希望将这样的技术先发优势转化为市场竞争力，从而让合特的产品在BIPV新蓝海市场有更强大的竞争优势。</w:t>
            </w:r>
          </w:p>
          <w:p>
            <w:pPr>
              <w:spacing w:line="360" w:lineRule="auto"/>
              <w:ind w:firstLine="420" w:firstLineChars="200"/>
              <w:rPr>
                <w:rFonts w:hint="eastAsia"/>
                <w:b w:val="0"/>
                <w:bCs w:val="0"/>
                <w:sz w:val="21"/>
                <w:szCs w:val="21"/>
                <w:lang w:val="en-US" w:eastAsia="zh-CN"/>
              </w:rPr>
            </w:pPr>
          </w:p>
          <w:p>
            <w:pPr>
              <w:numPr>
                <w:ilvl w:val="0"/>
                <w:numId w:val="1"/>
              </w:numPr>
              <w:spacing w:line="360" w:lineRule="auto"/>
              <w:rPr>
                <w:rFonts w:hint="default"/>
                <w:b/>
                <w:bCs/>
                <w:sz w:val="21"/>
                <w:szCs w:val="21"/>
                <w:lang w:val="en-US" w:eastAsia="zh-CN"/>
              </w:rPr>
            </w:pPr>
            <w:r>
              <w:rPr>
                <w:rFonts w:hint="default"/>
                <w:b/>
                <w:bCs/>
                <w:sz w:val="21"/>
                <w:szCs w:val="21"/>
                <w:lang w:val="en-US" w:eastAsia="zh-CN"/>
              </w:rPr>
              <w:t>晶硅电池的BIPV幕墙产品，与薄膜电池的BIPV幕墙，差异在哪？ 哪类更有市场？</w:t>
            </w:r>
          </w:p>
          <w:p>
            <w:pPr>
              <w:numPr>
                <w:ilvl w:val="0"/>
                <w:numId w:val="0"/>
              </w:numPr>
              <w:spacing w:line="360" w:lineRule="auto"/>
              <w:ind w:firstLine="420"/>
              <w:rPr>
                <w:rFonts w:hint="eastAsia"/>
                <w:b w:val="0"/>
                <w:bCs w:val="0"/>
                <w:sz w:val="21"/>
                <w:szCs w:val="21"/>
                <w:lang w:val="en-US" w:eastAsia="zh-CN"/>
              </w:rPr>
            </w:pPr>
            <w:r>
              <w:rPr>
                <w:rFonts w:hint="eastAsia"/>
                <w:b w:val="0"/>
                <w:bCs w:val="0"/>
                <w:sz w:val="21"/>
                <w:szCs w:val="21"/>
                <w:lang w:val="en-US" w:eastAsia="zh-CN"/>
              </w:rPr>
              <w:t>答：基于高效晶硅电池的BIPV幕墙产品与基于薄膜电池的BIPV幕墙产品根本区别在于采用的太阳能电池材料不同，高效晶硅电池BIPV发电单元采用23%以上效率的晶体硅太阳能电池，而薄膜电池BIPV发电单元采用15%左右转化效率的碲化镉CdTe薄膜电池或者铜铟镓硒CIGS薄膜电池。光伏发电的底层逻辑本就是将照射的太阳光能量吸收转化成为电能，无论是高效晶硅电池、还是薄膜电池中的发电部分，都是不透光的（吸收光的）。若要做成透光幕墙产品，则需要牺牲单位面积发电性能，晶硅电池的透光幕墙的做法是加大电池片布片间距，从而让部分光透过，形成百叶窗的效果；薄膜电池的透光幕墙做法是用激光把需要透光部分的薄膜发电材料清除掉（透光的这部分不发电），从而能产生一种类似纱窗的光亮透视；两种BIPV透光幕墙产品透光效果各有千秋。合特的幕墙BIPV产品目前使用的是晶硅电池（未来用自己生产的叠层电池），我们在场景上提供两类解决方案：一是将需要透光的玻璃幕墙，做成细条形的透光组件（肉眼观感类似百叶窗的效果），因为晶硅组件始终效率相对更好，单独对比发电效率也能优于薄膜电池；二是优先考虑居住舒适感，将透光部分用普通的玻璃幕墙，不需要透光的立面上用晶硅电池的BIPV幕墙，同时相对加大电池组件的排布密度，使得全部立面面积下平均的发电效能也较为理想，而且采用晶硅电池的BIPV幕墙性价比更高，从而经济效益端基本可以实现5-7年成本回收。</w:t>
            </w:r>
          </w:p>
          <w:p>
            <w:pPr>
              <w:numPr>
                <w:ilvl w:val="0"/>
                <w:numId w:val="0"/>
              </w:numPr>
              <w:spacing w:line="360" w:lineRule="auto"/>
              <w:ind w:firstLine="420"/>
              <w:rPr>
                <w:rFonts w:hint="default"/>
                <w:b w:val="0"/>
                <w:bCs w:val="0"/>
                <w:sz w:val="21"/>
                <w:szCs w:val="21"/>
                <w:lang w:val="en-US" w:eastAsia="zh-CN"/>
              </w:rPr>
            </w:pPr>
          </w:p>
          <w:p>
            <w:pPr>
              <w:numPr>
                <w:ilvl w:val="0"/>
                <w:numId w:val="0"/>
              </w:numPr>
              <w:spacing w:line="360" w:lineRule="auto"/>
              <w:rPr>
                <w:rFonts w:hint="eastAsia"/>
                <w:b/>
                <w:bCs/>
                <w:sz w:val="21"/>
                <w:szCs w:val="21"/>
                <w:lang w:val="en-US" w:eastAsia="zh-CN"/>
              </w:rPr>
            </w:pPr>
            <w:r>
              <w:rPr>
                <w:rFonts w:hint="eastAsia"/>
                <w:b/>
                <w:bCs/>
                <w:sz w:val="21"/>
                <w:szCs w:val="21"/>
                <w:lang w:val="en-US" w:eastAsia="zh-CN"/>
              </w:rPr>
              <w:t>5、当前传统建材商、建筑工程类企业、光伏产业链的相关企业，都在纷纷入局BIPV市场，如何看待未来的发展趋势？您认为哪类企业更具有优势？</w:t>
            </w:r>
          </w:p>
          <w:p>
            <w:pPr>
              <w:numPr>
                <w:ilvl w:val="0"/>
                <w:numId w:val="0"/>
              </w:numPr>
              <w:spacing w:line="360" w:lineRule="auto"/>
              <w:rPr>
                <w:rFonts w:hint="eastAsia"/>
                <w:b w:val="0"/>
                <w:bCs w:val="0"/>
                <w:sz w:val="21"/>
                <w:szCs w:val="21"/>
                <w:lang w:val="en-US" w:eastAsia="zh-CN"/>
              </w:rPr>
            </w:pPr>
            <w:r>
              <w:rPr>
                <w:rFonts w:hint="eastAsia"/>
                <w:b w:val="0"/>
                <w:bCs w:val="0"/>
                <w:sz w:val="21"/>
                <w:szCs w:val="21"/>
                <w:lang w:val="en-US" w:eastAsia="zh-CN"/>
              </w:rPr>
              <w:t xml:space="preserve">    答：传统建筑建材企业与当前光伏技术企业结合，是一种必然趋势。这是光伏产业的整个产业链布局与产业发展的必然规律所决定的。 BIPV 上游为硅料、硅片、电池等生产制造商和设备供应商，整体而言，目前BIPV电池组件技术已相对成熟，上游竞争已相对激烈，少数龙头在供应链环节上拥有较高市场份额和较强的定价权，以隆基为国内代表，目前均已逐渐切入中游市场，向中游的应用场景端进行拓展和布局。 </w:t>
            </w:r>
          </w:p>
          <w:p>
            <w:pPr>
              <w:numPr>
                <w:ilvl w:val="0"/>
                <w:numId w:val="0"/>
              </w:numPr>
              <w:spacing w:line="360" w:lineRule="auto"/>
              <w:ind w:firstLine="420" w:firstLineChars="200"/>
              <w:rPr>
                <w:rFonts w:hint="default"/>
                <w:b w:val="0"/>
                <w:bCs w:val="0"/>
                <w:sz w:val="21"/>
                <w:szCs w:val="21"/>
                <w:lang w:val="en-US" w:eastAsia="zh-CN"/>
              </w:rPr>
            </w:pPr>
            <w:r>
              <w:rPr>
                <w:rFonts w:hint="eastAsia"/>
                <w:b w:val="0"/>
                <w:bCs w:val="0"/>
                <w:sz w:val="21"/>
                <w:szCs w:val="21"/>
                <w:lang w:val="en-US" w:eastAsia="zh-CN"/>
              </w:rPr>
              <w:t>从产品形式和市场定位来看，虽然都是建筑与光伏的结合，但各家有所区别，隆基的思路更偏向从光伏产品去适配建筑场景，在安装上也仍旧是把光伏组件搭载在建筑屋顶上；而我们以绿色建筑的集成服务商出发，走的是光伏绿色建材的技术路线，我们的产品首先是建筑材料，无论是幕墙、瓦片还是地砖，它首先符合建材的性能要求（如抗风压、防火等），并且有着优异的光电转化效能，既有投资意义，也更有建筑应用价值，在建筑结构与施工工艺的具体解决上，杭萧在这个领域积累的经验更是可以贡献“软实力”价值，是光伏和建筑比较完美的融合。 未来无论是哪个角度的入局者，胜出的一定是能够为客户提供最优的解决方案的企业，既要考虑发电效能与成本因素，也要考虑建筑使用的舒适性和耐用性，更能有效解决绿电“储并”结合的复杂场景问题等，最终一定是用户价值最大化的企业在终局更能胜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7" w:type="dxa"/>
          </w:tcPr>
          <w:p>
            <w:pPr>
              <w:jc w:val="center"/>
              <w:rPr>
                <w:b/>
                <w:bCs/>
              </w:rPr>
            </w:pPr>
            <w:r>
              <w:rPr>
                <w:rFonts w:hint="eastAsia"/>
                <w:b/>
                <w:bCs/>
              </w:rPr>
              <w:t>附件清单（如有）</w:t>
            </w:r>
          </w:p>
        </w:tc>
        <w:tc>
          <w:tcPr>
            <w:tcW w:w="6145" w:type="dxa"/>
          </w:tcPr>
          <w:p>
            <w:pPr>
              <w:jc w:val="center"/>
            </w:pPr>
            <w:r>
              <w:rPr>
                <w:rFonts w:hint="eastAsia"/>
              </w:rPr>
              <w:t>/</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宋体"/>
        <w:sz w:val="24"/>
        <w:lang w:val="en-US" w:eastAsia="zh-CN"/>
      </w:rPr>
    </w:pPr>
    <w:r>
      <w:rPr>
        <w:rFonts w:hint="eastAsia"/>
        <w:sz w:val="24"/>
      </w:rPr>
      <w:t>证券代码：600477          证券简称：杭萧钢构           编号：202</w:t>
    </w:r>
    <w:r>
      <w:rPr>
        <w:rFonts w:hint="eastAsia"/>
        <w:sz w:val="24"/>
        <w:lang w:val="en-US" w:eastAsia="zh-CN"/>
      </w:rPr>
      <w:t>2</w:t>
    </w:r>
    <w:r>
      <w:rPr>
        <w:rFonts w:hint="eastAsia"/>
        <w:sz w:val="24"/>
      </w:rPr>
      <w:t>-</w:t>
    </w:r>
    <w:r>
      <w:rPr>
        <w:rFonts w:hint="eastAsia"/>
        <w:sz w:val="24"/>
        <w:lang w:val="en-US" w:eastAsia="zh-CN"/>
      </w:rPr>
      <w:t>0</w:t>
    </w:r>
    <w:r>
      <w:rPr>
        <w:rFonts w:hint="default"/>
        <w:sz w:val="24"/>
        <w:lang w:val="en-US" w:eastAsia="zh-CN"/>
      </w:rPr>
      <w:t>0</w:t>
    </w:r>
    <w:r>
      <w:rPr>
        <w:rFonts w:hint="eastAsia"/>
        <w:sz w:val="24"/>
        <w:lang w:val="en-US" w:eastAsia="zh-CN"/>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B5F7B5"/>
    <w:multiLevelType w:val="singleLevel"/>
    <w:tmpl w:val="45B5F7B5"/>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MzU3OWI3MDE1YTQyYmI1MjhiZTAzY2I4M2QxNDYifQ=="/>
  </w:docVars>
  <w:rsids>
    <w:rsidRoot w:val="00000000"/>
    <w:rsid w:val="002C4449"/>
    <w:rsid w:val="002E6E8D"/>
    <w:rsid w:val="002F4E22"/>
    <w:rsid w:val="004254F8"/>
    <w:rsid w:val="00A77DC2"/>
    <w:rsid w:val="011B4DD4"/>
    <w:rsid w:val="01AA3877"/>
    <w:rsid w:val="0202336F"/>
    <w:rsid w:val="021533E7"/>
    <w:rsid w:val="026B74AB"/>
    <w:rsid w:val="02906F11"/>
    <w:rsid w:val="032C4E8C"/>
    <w:rsid w:val="036D68D5"/>
    <w:rsid w:val="03C9092D"/>
    <w:rsid w:val="03E017D2"/>
    <w:rsid w:val="04477AA3"/>
    <w:rsid w:val="047B6353"/>
    <w:rsid w:val="04D23811"/>
    <w:rsid w:val="054364BD"/>
    <w:rsid w:val="05510B15"/>
    <w:rsid w:val="0559183C"/>
    <w:rsid w:val="056735C4"/>
    <w:rsid w:val="06935222"/>
    <w:rsid w:val="06C54CB0"/>
    <w:rsid w:val="07A9481B"/>
    <w:rsid w:val="09652EA6"/>
    <w:rsid w:val="096D58B6"/>
    <w:rsid w:val="0A544CC8"/>
    <w:rsid w:val="0B76450E"/>
    <w:rsid w:val="0BA955D1"/>
    <w:rsid w:val="0C104C1F"/>
    <w:rsid w:val="0C536B10"/>
    <w:rsid w:val="0C59309E"/>
    <w:rsid w:val="0C70789D"/>
    <w:rsid w:val="0CA57A5D"/>
    <w:rsid w:val="0D67292C"/>
    <w:rsid w:val="0EB930D3"/>
    <w:rsid w:val="0EEA668C"/>
    <w:rsid w:val="0F76123D"/>
    <w:rsid w:val="0FA1450C"/>
    <w:rsid w:val="101B5E63"/>
    <w:rsid w:val="11052878"/>
    <w:rsid w:val="124B69B1"/>
    <w:rsid w:val="126C5CB9"/>
    <w:rsid w:val="12AA2F4B"/>
    <w:rsid w:val="12E0359D"/>
    <w:rsid w:val="13586DA6"/>
    <w:rsid w:val="1376180B"/>
    <w:rsid w:val="140D6614"/>
    <w:rsid w:val="14773A8D"/>
    <w:rsid w:val="155B6F0B"/>
    <w:rsid w:val="160E21CF"/>
    <w:rsid w:val="167B6C54"/>
    <w:rsid w:val="167C538B"/>
    <w:rsid w:val="16DC051F"/>
    <w:rsid w:val="178B7795"/>
    <w:rsid w:val="179B5CE4"/>
    <w:rsid w:val="17D86F39"/>
    <w:rsid w:val="187F73B4"/>
    <w:rsid w:val="188E75F7"/>
    <w:rsid w:val="189712A8"/>
    <w:rsid w:val="18F845CE"/>
    <w:rsid w:val="19CC487B"/>
    <w:rsid w:val="1A077661"/>
    <w:rsid w:val="1A66082C"/>
    <w:rsid w:val="1A701673"/>
    <w:rsid w:val="1A7A7E33"/>
    <w:rsid w:val="1B2B0976"/>
    <w:rsid w:val="1BC7354C"/>
    <w:rsid w:val="1BD956BB"/>
    <w:rsid w:val="1C760A5D"/>
    <w:rsid w:val="1C9378D2"/>
    <w:rsid w:val="1DCC309C"/>
    <w:rsid w:val="1F0B39CB"/>
    <w:rsid w:val="1F143285"/>
    <w:rsid w:val="1F2B7041"/>
    <w:rsid w:val="20144886"/>
    <w:rsid w:val="20254CE5"/>
    <w:rsid w:val="20476A09"/>
    <w:rsid w:val="20A7394C"/>
    <w:rsid w:val="20AE6205"/>
    <w:rsid w:val="20E76FA8"/>
    <w:rsid w:val="21130FE1"/>
    <w:rsid w:val="2151118D"/>
    <w:rsid w:val="223F0877"/>
    <w:rsid w:val="2326278E"/>
    <w:rsid w:val="238A349D"/>
    <w:rsid w:val="242C77E2"/>
    <w:rsid w:val="2435301D"/>
    <w:rsid w:val="24A361D8"/>
    <w:rsid w:val="24BE1264"/>
    <w:rsid w:val="25F107EE"/>
    <w:rsid w:val="273E668C"/>
    <w:rsid w:val="277125BE"/>
    <w:rsid w:val="27CA35A8"/>
    <w:rsid w:val="28724840"/>
    <w:rsid w:val="290D4568"/>
    <w:rsid w:val="29A1018B"/>
    <w:rsid w:val="2A6D2B5B"/>
    <w:rsid w:val="2A8651A4"/>
    <w:rsid w:val="2AD66D6B"/>
    <w:rsid w:val="2AE65071"/>
    <w:rsid w:val="2BEE0681"/>
    <w:rsid w:val="2D32006F"/>
    <w:rsid w:val="2D32459D"/>
    <w:rsid w:val="2D7832F7"/>
    <w:rsid w:val="2DEF248E"/>
    <w:rsid w:val="2EA126FE"/>
    <w:rsid w:val="2EB67DC7"/>
    <w:rsid w:val="2F014CD8"/>
    <w:rsid w:val="2F080EAC"/>
    <w:rsid w:val="3037149A"/>
    <w:rsid w:val="30872FBC"/>
    <w:rsid w:val="315076E8"/>
    <w:rsid w:val="31EA35E4"/>
    <w:rsid w:val="32024E86"/>
    <w:rsid w:val="320329AC"/>
    <w:rsid w:val="325C1C1C"/>
    <w:rsid w:val="32D3412D"/>
    <w:rsid w:val="348F6779"/>
    <w:rsid w:val="35385D91"/>
    <w:rsid w:val="35675892"/>
    <w:rsid w:val="35D42696"/>
    <w:rsid w:val="360B340E"/>
    <w:rsid w:val="36236C21"/>
    <w:rsid w:val="366C0B20"/>
    <w:rsid w:val="37960C5E"/>
    <w:rsid w:val="37D111DD"/>
    <w:rsid w:val="3851592F"/>
    <w:rsid w:val="38A327F3"/>
    <w:rsid w:val="39897C3B"/>
    <w:rsid w:val="399B2F4B"/>
    <w:rsid w:val="3A325BDD"/>
    <w:rsid w:val="3AE726A8"/>
    <w:rsid w:val="3C2D4BF2"/>
    <w:rsid w:val="3CE94582"/>
    <w:rsid w:val="3D023F8C"/>
    <w:rsid w:val="3D0E1CEF"/>
    <w:rsid w:val="3D2959BD"/>
    <w:rsid w:val="3E947456"/>
    <w:rsid w:val="3EFD0EAF"/>
    <w:rsid w:val="3F204B9E"/>
    <w:rsid w:val="3F2A1578"/>
    <w:rsid w:val="3F505E3C"/>
    <w:rsid w:val="400C003A"/>
    <w:rsid w:val="40442B0E"/>
    <w:rsid w:val="40F956A6"/>
    <w:rsid w:val="4130498B"/>
    <w:rsid w:val="41FD4D22"/>
    <w:rsid w:val="42664FBD"/>
    <w:rsid w:val="43A0005B"/>
    <w:rsid w:val="43A7763B"/>
    <w:rsid w:val="43D83C99"/>
    <w:rsid w:val="43D9356D"/>
    <w:rsid w:val="45796DB6"/>
    <w:rsid w:val="45847A4F"/>
    <w:rsid w:val="461940F5"/>
    <w:rsid w:val="464E5895"/>
    <w:rsid w:val="469A4D38"/>
    <w:rsid w:val="46AE2A8F"/>
    <w:rsid w:val="46D317A3"/>
    <w:rsid w:val="46E91D19"/>
    <w:rsid w:val="472114B3"/>
    <w:rsid w:val="47A83982"/>
    <w:rsid w:val="484713ED"/>
    <w:rsid w:val="4864183A"/>
    <w:rsid w:val="48706C19"/>
    <w:rsid w:val="48786788"/>
    <w:rsid w:val="490B241B"/>
    <w:rsid w:val="49831044"/>
    <w:rsid w:val="49971F00"/>
    <w:rsid w:val="49C83840"/>
    <w:rsid w:val="49D04732"/>
    <w:rsid w:val="49E23124"/>
    <w:rsid w:val="4A510301"/>
    <w:rsid w:val="4A5971B6"/>
    <w:rsid w:val="4AA541A9"/>
    <w:rsid w:val="4AF15640"/>
    <w:rsid w:val="4AF55130"/>
    <w:rsid w:val="4B306168"/>
    <w:rsid w:val="4BBA082E"/>
    <w:rsid w:val="4BF54CBC"/>
    <w:rsid w:val="4C0833E5"/>
    <w:rsid w:val="4C9E4B60"/>
    <w:rsid w:val="4D410BFF"/>
    <w:rsid w:val="4D565C2E"/>
    <w:rsid w:val="4D634FEA"/>
    <w:rsid w:val="4D761E2D"/>
    <w:rsid w:val="4D951904"/>
    <w:rsid w:val="4DCF6C72"/>
    <w:rsid w:val="4DF421B5"/>
    <w:rsid w:val="4E0B4C6B"/>
    <w:rsid w:val="4E6328E6"/>
    <w:rsid w:val="4EB946C7"/>
    <w:rsid w:val="51A76A58"/>
    <w:rsid w:val="521D5BDA"/>
    <w:rsid w:val="52214D9D"/>
    <w:rsid w:val="530D6D8F"/>
    <w:rsid w:val="53E9054E"/>
    <w:rsid w:val="55564A1D"/>
    <w:rsid w:val="55F85AD5"/>
    <w:rsid w:val="56222B52"/>
    <w:rsid w:val="563958B2"/>
    <w:rsid w:val="565D6F39"/>
    <w:rsid w:val="578F1707"/>
    <w:rsid w:val="57C80D9F"/>
    <w:rsid w:val="586219CC"/>
    <w:rsid w:val="58C223CA"/>
    <w:rsid w:val="58CB5722"/>
    <w:rsid w:val="596A0A97"/>
    <w:rsid w:val="59E50DB7"/>
    <w:rsid w:val="5A6B2E2A"/>
    <w:rsid w:val="5A81078E"/>
    <w:rsid w:val="5ACD39D4"/>
    <w:rsid w:val="5AD86E8D"/>
    <w:rsid w:val="5B4B7893"/>
    <w:rsid w:val="5BB46CD3"/>
    <w:rsid w:val="5BE87F94"/>
    <w:rsid w:val="5BFD2097"/>
    <w:rsid w:val="5D0134C1"/>
    <w:rsid w:val="5D0631CD"/>
    <w:rsid w:val="5D443CF5"/>
    <w:rsid w:val="5DA12869"/>
    <w:rsid w:val="5DAE64E4"/>
    <w:rsid w:val="5DCF4033"/>
    <w:rsid w:val="5DD706C5"/>
    <w:rsid w:val="5E101475"/>
    <w:rsid w:val="60022429"/>
    <w:rsid w:val="60516822"/>
    <w:rsid w:val="607410C5"/>
    <w:rsid w:val="60FC3340"/>
    <w:rsid w:val="61011E5D"/>
    <w:rsid w:val="61535D36"/>
    <w:rsid w:val="619863BE"/>
    <w:rsid w:val="61F61A18"/>
    <w:rsid w:val="620E3F5D"/>
    <w:rsid w:val="626C5880"/>
    <w:rsid w:val="627322B2"/>
    <w:rsid w:val="62B47227"/>
    <w:rsid w:val="62F22528"/>
    <w:rsid w:val="62F90612"/>
    <w:rsid w:val="62FD297C"/>
    <w:rsid w:val="631B51D2"/>
    <w:rsid w:val="63254FB9"/>
    <w:rsid w:val="63730E90"/>
    <w:rsid w:val="63A83964"/>
    <w:rsid w:val="6454481E"/>
    <w:rsid w:val="64AB211A"/>
    <w:rsid w:val="64DA345B"/>
    <w:rsid w:val="651641C9"/>
    <w:rsid w:val="65321035"/>
    <w:rsid w:val="65562818"/>
    <w:rsid w:val="65982E30"/>
    <w:rsid w:val="67551568"/>
    <w:rsid w:val="67D6379C"/>
    <w:rsid w:val="68A9069F"/>
    <w:rsid w:val="68E048D2"/>
    <w:rsid w:val="69B23B9D"/>
    <w:rsid w:val="69B67D29"/>
    <w:rsid w:val="69C71570"/>
    <w:rsid w:val="6A18529F"/>
    <w:rsid w:val="6A495EB8"/>
    <w:rsid w:val="6A6432E1"/>
    <w:rsid w:val="6A645B73"/>
    <w:rsid w:val="6B96571C"/>
    <w:rsid w:val="6BDA3AAD"/>
    <w:rsid w:val="6CB22A29"/>
    <w:rsid w:val="6CB87914"/>
    <w:rsid w:val="6CCE4EEE"/>
    <w:rsid w:val="6D061E46"/>
    <w:rsid w:val="6D2C52A2"/>
    <w:rsid w:val="6D3E250F"/>
    <w:rsid w:val="6D4B0788"/>
    <w:rsid w:val="6E453572"/>
    <w:rsid w:val="6ED055E1"/>
    <w:rsid w:val="6F3A05FC"/>
    <w:rsid w:val="6F8F0E00"/>
    <w:rsid w:val="6F974654"/>
    <w:rsid w:val="709114D5"/>
    <w:rsid w:val="712B2DAA"/>
    <w:rsid w:val="71D13952"/>
    <w:rsid w:val="72574A5D"/>
    <w:rsid w:val="72D1172F"/>
    <w:rsid w:val="72EE0533"/>
    <w:rsid w:val="73D50634"/>
    <w:rsid w:val="73D9089C"/>
    <w:rsid w:val="7507768A"/>
    <w:rsid w:val="75680129"/>
    <w:rsid w:val="756E770A"/>
    <w:rsid w:val="75826D11"/>
    <w:rsid w:val="760D0CD1"/>
    <w:rsid w:val="76320737"/>
    <w:rsid w:val="76340085"/>
    <w:rsid w:val="76B80C3C"/>
    <w:rsid w:val="77316C41"/>
    <w:rsid w:val="77444BC6"/>
    <w:rsid w:val="77C70B32"/>
    <w:rsid w:val="7808174F"/>
    <w:rsid w:val="78BD1BF0"/>
    <w:rsid w:val="7931117A"/>
    <w:rsid w:val="796450AB"/>
    <w:rsid w:val="798D4602"/>
    <w:rsid w:val="79915775"/>
    <w:rsid w:val="79AC25AE"/>
    <w:rsid w:val="79D041B3"/>
    <w:rsid w:val="7A2A00A3"/>
    <w:rsid w:val="7B62561B"/>
    <w:rsid w:val="7D2D7454"/>
    <w:rsid w:val="7E0230E5"/>
    <w:rsid w:val="7E0C73F1"/>
    <w:rsid w:val="7E18156E"/>
    <w:rsid w:val="7E447410"/>
    <w:rsid w:val="7E745D91"/>
    <w:rsid w:val="7EAD4DFF"/>
    <w:rsid w:val="7EAF501B"/>
    <w:rsid w:val="7EB07492"/>
    <w:rsid w:val="7F014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character" w:customStyle="1" w:styleId="14">
    <w:name w:val="批注框文本 Char"/>
    <w:basedOn w:val="11"/>
    <w:link w:val="5"/>
    <w:qFormat/>
    <w:uiPriority w:val="0"/>
    <w:rPr>
      <w:rFonts w:ascii="Calibri" w:hAnsi="Calibri" w:eastAsia="宋体" w:cs="宋体"/>
      <w:kern w:val="2"/>
      <w:sz w:val="18"/>
      <w:szCs w:val="18"/>
    </w:rPr>
  </w:style>
  <w:style w:type="paragraph" w:styleId="15">
    <w:name w:val="List Paragraph"/>
    <w:basedOn w:val="1"/>
    <w:qFormat/>
    <w:uiPriority w:val="99"/>
    <w:pPr>
      <w:ind w:firstLine="420" w:firstLineChars="200"/>
    </w:pPr>
  </w:style>
  <w:style w:type="paragraph" w:customStyle="1" w:styleId="16">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ylmfeng.com</Company>
  <Pages>2</Pages>
  <Words>1212</Words>
  <Characters>1269</Characters>
  <Paragraphs>58</Paragraphs>
  <TotalTime>0</TotalTime>
  <ScaleCrop>false</ScaleCrop>
  <LinksUpToDate>false</LinksUpToDate>
  <CharactersWithSpaces>1323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2021-09-22T00:37:00Z</dcterms:created>
  <dc:creator>WPS_1565235691</dc:creator>
  <cp:lastModifiedBy>Joanna Lou</cp:lastModifiedBy>
  <cp:lastPrinted>2021-10-29T04:26:00Z</cp:lastPrinted>
  <dcterms:modified xsi:type="dcterms:W3CDTF">2022-07-26T07:53:08Z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4EA4660AC95E4AD3B1D5C5752F37D16C</vt:lpwstr>
  </property>
  <property fmtid="{D5CDD505-2E9C-101B-9397-08002B2CF9AE}" pid="4" name="commondata">
    <vt:lpwstr>eyJoZGlkIjoiYTlkNjM0ZDM4Y2RiYWJjNjc5Y2M3NGJlODRmOGFjODcifQ==</vt:lpwstr>
  </property>
</Properties>
</file>