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0D47" w14:textId="77777777" w:rsidR="001A24B5" w:rsidRDefault="00000000">
      <w:pPr>
        <w:keepNext/>
        <w:keepLines/>
        <w:spacing w:beforeLines="50" w:before="156" w:afterLines="50" w:after="156" w:line="360" w:lineRule="auto"/>
        <w:jc w:val="center"/>
        <w:outlineLvl w:val="1"/>
        <w:rPr>
          <w:rFonts w:ascii="宋体" w:hAnsi="宋体" w:cs="Times New Roman"/>
          <w:b/>
          <w:bCs/>
          <w:sz w:val="36"/>
          <w:szCs w:val="36"/>
        </w:rPr>
      </w:pPr>
      <w:r>
        <w:rPr>
          <w:rFonts w:ascii="宋体" w:hAnsi="宋体" w:cs="Times New Roman" w:hint="eastAsia"/>
          <w:b/>
          <w:bCs/>
          <w:sz w:val="36"/>
          <w:szCs w:val="36"/>
        </w:rPr>
        <w:t xml:space="preserve">                                                                                                                          昆山东威科技股份有限公司</w:t>
      </w:r>
    </w:p>
    <w:p w14:paraId="44AA039B" w14:textId="77777777" w:rsidR="001A24B5" w:rsidRDefault="00000000">
      <w:pPr>
        <w:keepNext/>
        <w:keepLines/>
        <w:spacing w:beforeLines="50" w:before="156" w:afterLines="50" w:after="156" w:line="360" w:lineRule="auto"/>
        <w:jc w:val="center"/>
        <w:outlineLvl w:val="1"/>
        <w:rPr>
          <w:rFonts w:ascii="宋体" w:hAnsi="宋体" w:cs="Times New Roman"/>
          <w:b/>
          <w:bCs/>
          <w:sz w:val="36"/>
          <w:szCs w:val="36"/>
        </w:rPr>
      </w:pPr>
      <w:r>
        <w:rPr>
          <w:rFonts w:ascii="宋体" w:hAnsi="宋体" w:cs="Times New Roman" w:hint="eastAsia"/>
          <w:b/>
          <w:bCs/>
          <w:sz w:val="36"/>
          <w:szCs w:val="36"/>
        </w:rPr>
        <w:t>投资者关系活动记录表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930"/>
      </w:tblGrid>
      <w:tr w:rsidR="001A24B5" w14:paraId="4D7457CA" w14:textId="77777777">
        <w:tc>
          <w:tcPr>
            <w:tcW w:w="2910" w:type="dxa"/>
            <w:shd w:val="clear" w:color="auto" w:fill="auto"/>
          </w:tcPr>
          <w:p w14:paraId="49592E98" w14:textId="77777777" w:rsidR="001A24B5" w:rsidRDefault="00000000">
            <w:pPr>
              <w:spacing w:line="360" w:lineRule="auto"/>
              <w:rPr>
                <w:rFonts w:ascii="宋体" w:hAnsi="宋体" w:cs="Times New Roman"/>
                <w:b/>
                <w:bCs/>
                <w:iCs/>
                <w:sz w:val="24"/>
                <w:szCs w:val="24"/>
              </w:rPr>
            </w:pPr>
            <w:r>
              <w:rPr>
                <w:rFonts w:ascii="宋体" w:hAnsi="宋体" w:cs="Times New Roman" w:hint="eastAsia"/>
                <w:b/>
                <w:bCs/>
                <w:iCs/>
                <w:sz w:val="24"/>
                <w:szCs w:val="24"/>
              </w:rPr>
              <w:t>投资者关系活动类别</w:t>
            </w:r>
          </w:p>
          <w:p w14:paraId="7D5D5C86" w14:textId="77777777" w:rsidR="001A24B5" w:rsidRDefault="001A24B5">
            <w:pPr>
              <w:spacing w:line="360" w:lineRule="auto"/>
              <w:rPr>
                <w:rFonts w:ascii="宋体" w:hAnsi="宋体" w:cs="Times New Roman"/>
                <w:b/>
                <w:bCs/>
                <w:iCs/>
                <w:sz w:val="24"/>
                <w:szCs w:val="24"/>
              </w:rPr>
            </w:pPr>
          </w:p>
        </w:tc>
        <w:tc>
          <w:tcPr>
            <w:tcW w:w="5930" w:type="dxa"/>
            <w:shd w:val="clear" w:color="auto" w:fill="auto"/>
          </w:tcPr>
          <w:p w14:paraId="01B382AF" w14:textId="77777777" w:rsidR="001A24B5" w:rsidRDefault="00000000">
            <w:pPr>
              <w:spacing w:line="360" w:lineRule="auto"/>
              <w:rPr>
                <w:rFonts w:ascii="宋体" w:hAnsi="宋体" w:cs="Times New Roman"/>
                <w:bCs/>
                <w:iCs/>
                <w:sz w:val="24"/>
                <w:szCs w:val="24"/>
              </w:rPr>
            </w:pPr>
            <w:r>
              <w:rPr>
                <w:rFonts w:ascii="宋体" w:hAnsi="宋体" w:cs="Times New Roman" w:hint="eastAsia"/>
                <w:bCs/>
                <w:iCs/>
                <w:color w:val="000000"/>
                <w:sz w:val="24"/>
                <w:szCs w:val="24"/>
              </w:rPr>
              <w:t>□</w:t>
            </w:r>
            <w:r>
              <w:rPr>
                <w:rFonts w:ascii="宋体" w:hAnsi="宋体" w:cs="Times New Roman" w:hint="eastAsia"/>
                <w:sz w:val="24"/>
                <w:szCs w:val="24"/>
              </w:rPr>
              <w:t xml:space="preserve">特定对象调研        </w:t>
            </w:r>
            <w:r>
              <w:rPr>
                <w:rFonts w:ascii="宋体" w:hAnsi="宋体" w:cs="Times New Roman" w:hint="eastAsia"/>
                <w:bCs/>
                <w:iCs/>
                <w:sz w:val="24"/>
                <w:szCs w:val="24"/>
              </w:rPr>
              <w:t>□</w:t>
            </w:r>
            <w:r>
              <w:rPr>
                <w:rFonts w:ascii="宋体" w:hAnsi="宋体" w:cs="Times New Roman" w:hint="eastAsia"/>
                <w:sz w:val="24"/>
                <w:szCs w:val="24"/>
              </w:rPr>
              <w:t>分析师会议</w:t>
            </w:r>
          </w:p>
          <w:p w14:paraId="5EA92CBE" w14:textId="77777777" w:rsidR="001A24B5" w:rsidRDefault="00000000">
            <w:pPr>
              <w:spacing w:line="360" w:lineRule="auto"/>
              <w:rPr>
                <w:rFonts w:ascii="宋体" w:hAnsi="宋体" w:cs="Times New Roman"/>
                <w:bCs/>
                <w:iCs/>
                <w:sz w:val="24"/>
                <w:szCs w:val="24"/>
              </w:rPr>
            </w:pPr>
            <w:r>
              <w:rPr>
                <w:rFonts w:ascii="宋体" w:hAnsi="宋体" w:cs="Times New Roman" w:hint="eastAsia"/>
                <w:bCs/>
                <w:iCs/>
                <w:sz w:val="24"/>
                <w:szCs w:val="24"/>
              </w:rPr>
              <w:t>□</w:t>
            </w:r>
            <w:r>
              <w:rPr>
                <w:rFonts w:ascii="宋体" w:hAnsi="宋体" w:cs="Times New Roman" w:hint="eastAsia"/>
                <w:sz w:val="24"/>
                <w:szCs w:val="24"/>
              </w:rPr>
              <w:t xml:space="preserve">媒体采访            </w:t>
            </w:r>
            <w:r>
              <w:rPr>
                <w:rFonts w:ascii="宋体" w:hAnsi="宋体" w:cs="Times New Roman" w:hint="eastAsia"/>
                <w:bCs/>
                <w:iCs/>
                <w:sz w:val="24"/>
                <w:szCs w:val="24"/>
              </w:rPr>
              <w:t>□</w:t>
            </w:r>
            <w:r>
              <w:rPr>
                <w:rFonts w:ascii="宋体" w:hAnsi="宋体" w:cs="Times New Roman" w:hint="eastAsia"/>
                <w:sz w:val="24"/>
                <w:szCs w:val="24"/>
              </w:rPr>
              <w:t>业绩说明会</w:t>
            </w:r>
          </w:p>
          <w:p w14:paraId="1B266592" w14:textId="77777777" w:rsidR="001A24B5" w:rsidRDefault="00000000">
            <w:pPr>
              <w:spacing w:line="360" w:lineRule="auto"/>
              <w:rPr>
                <w:rFonts w:ascii="宋体" w:hAnsi="宋体" w:cs="Times New Roman"/>
                <w:bCs/>
                <w:iCs/>
                <w:sz w:val="24"/>
                <w:szCs w:val="24"/>
              </w:rPr>
            </w:pPr>
            <w:r>
              <w:rPr>
                <w:rFonts w:ascii="宋体" w:hAnsi="宋体" w:cs="Times New Roman" w:hint="eastAsia"/>
                <w:bCs/>
                <w:iCs/>
                <w:sz w:val="24"/>
                <w:szCs w:val="24"/>
              </w:rPr>
              <w:t>□</w:t>
            </w:r>
            <w:r>
              <w:rPr>
                <w:rFonts w:ascii="宋体" w:hAnsi="宋体" w:cs="Times New Roman" w:hint="eastAsia"/>
                <w:sz w:val="24"/>
                <w:szCs w:val="24"/>
              </w:rPr>
              <w:t xml:space="preserve">新闻发布会          </w:t>
            </w:r>
            <w:r>
              <w:rPr>
                <w:rFonts w:ascii="宋体" w:hAnsi="宋体" w:cs="Times New Roman" w:hint="eastAsia"/>
                <w:bCs/>
                <w:iCs/>
                <w:sz w:val="24"/>
                <w:szCs w:val="24"/>
              </w:rPr>
              <w:t>□</w:t>
            </w:r>
            <w:r>
              <w:rPr>
                <w:rFonts w:ascii="宋体" w:hAnsi="宋体" w:cs="Times New Roman" w:hint="eastAsia"/>
                <w:sz w:val="24"/>
                <w:szCs w:val="24"/>
              </w:rPr>
              <w:t>路演活动</w:t>
            </w:r>
          </w:p>
          <w:p w14:paraId="2B1355C7" w14:textId="77777777" w:rsidR="001A24B5" w:rsidRDefault="00000000">
            <w:pPr>
              <w:tabs>
                <w:tab w:val="left" w:pos="2690"/>
                <w:tab w:val="center" w:pos="3199"/>
              </w:tabs>
              <w:spacing w:line="360" w:lineRule="auto"/>
              <w:rPr>
                <w:rFonts w:ascii="宋体" w:hAnsi="宋体" w:cs="Times New Roman"/>
                <w:bCs/>
                <w:iCs/>
                <w:sz w:val="24"/>
                <w:szCs w:val="24"/>
              </w:rPr>
            </w:pPr>
            <w:r>
              <w:rPr>
                <w:rFonts w:ascii="宋体" w:hAnsi="宋体" w:cs="Times New Roman" w:hint="eastAsia"/>
                <w:bCs/>
                <w:iCs/>
                <w:color w:val="000000"/>
                <w:sz w:val="24"/>
                <w:szCs w:val="24"/>
              </w:rPr>
              <w:sym w:font="Wingdings 2" w:char="0052"/>
            </w:r>
            <w:r>
              <w:rPr>
                <w:rFonts w:ascii="宋体" w:hAnsi="宋体" w:cs="Times New Roman" w:hint="eastAsia"/>
                <w:sz w:val="24"/>
                <w:szCs w:val="24"/>
              </w:rPr>
              <w:t xml:space="preserve">现场调研 </w:t>
            </w:r>
            <w:r>
              <w:rPr>
                <w:rFonts w:ascii="宋体" w:hAnsi="宋体" w:cs="Times New Roman"/>
                <w:sz w:val="24"/>
                <w:szCs w:val="24"/>
              </w:rPr>
              <w:t xml:space="preserve">           </w:t>
            </w:r>
            <w:r>
              <w:rPr>
                <w:rFonts w:ascii="宋体" w:hAnsi="宋体" w:cs="Times New Roman" w:hint="eastAsia"/>
                <w:bCs/>
                <w:iCs/>
                <w:sz w:val="24"/>
                <w:szCs w:val="24"/>
              </w:rPr>
              <w:sym w:font="Wingdings 2" w:char="00A3"/>
            </w:r>
            <w:r>
              <w:rPr>
                <w:rFonts w:ascii="宋体" w:hAnsi="宋体" w:cs="Times New Roman" w:hint="eastAsia"/>
                <w:sz w:val="24"/>
                <w:szCs w:val="24"/>
              </w:rPr>
              <w:t>电话会议</w:t>
            </w:r>
          </w:p>
          <w:p w14:paraId="1FCE6E90" w14:textId="77777777" w:rsidR="001A24B5" w:rsidRDefault="00000000">
            <w:pPr>
              <w:tabs>
                <w:tab w:val="center" w:pos="3199"/>
              </w:tabs>
              <w:spacing w:line="360" w:lineRule="auto"/>
              <w:rPr>
                <w:rFonts w:ascii="宋体" w:hAnsi="宋体" w:cs="Times New Roman"/>
                <w:bCs/>
                <w:iCs/>
                <w:sz w:val="24"/>
                <w:szCs w:val="24"/>
              </w:rPr>
            </w:pPr>
            <w:r>
              <w:rPr>
                <w:rFonts w:ascii="宋体" w:hAnsi="宋体" w:cs="Times New Roman" w:hint="eastAsia"/>
                <w:bCs/>
                <w:iCs/>
                <w:sz w:val="24"/>
                <w:szCs w:val="24"/>
              </w:rPr>
              <w:t>□</w:t>
            </w:r>
            <w:r>
              <w:rPr>
                <w:rFonts w:ascii="宋体" w:hAnsi="宋体" w:cs="Times New Roman" w:hint="eastAsia"/>
                <w:sz w:val="24"/>
                <w:szCs w:val="24"/>
              </w:rPr>
              <w:t>其他</w:t>
            </w:r>
          </w:p>
        </w:tc>
      </w:tr>
      <w:tr w:rsidR="001A24B5" w14:paraId="5B45116B" w14:textId="77777777">
        <w:tc>
          <w:tcPr>
            <w:tcW w:w="2910" w:type="dxa"/>
            <w:shd w:val="clear" w:color="auto" w:fill="auto"/>
          </w:tcPr>
          <w:p w14:paraId="0358B32F" w14:textId="77777777" w:rsidR="001A24B5" w:rsidRDefault="00000000">
            <w:pPr>
              <w:spacing w:line="360" w:lineRule="auto"/>
              <w:rPr>
                <w:rFonts w:ascii="宋体" w:hAnsi="宋体" w:cs="Times New Roman"/>
                <w:b/>
                <w:bCs/>
                <w:iCs/>
                <w:sz w:val="24"/>
                <w:szCs w:val="24"/>
              </w:rPr>
            </w:pPr>
            <w:r>
              <w:rPr>
                <w:rFonts w:ascii="宋体" w:hAnsi="宋体" w:cs="Times New Roman" w:hint="eastAsia"/>
                <w:b/>
                <w:bCs/>
                <w:iCs/>
                <w:sz w:val="24"/>
                <w:szCs w:val="24"/>
              </w:rPr>
              <w:t>参与单位及人员名称</w:t>
            </w:r>
          </w:p>
        </w:tc>
        <w:tc>
          <w:tcPr>
            <w:tcW w:w="5930" w:type="dxa"/>
            <w:shd w:val="clear" w:color="auto" w:fill="auto"/>
          </w:tcPr>
          <w:p w14:paraId="7CDEBA88" w14:textId="77777777" w:rsidR="001A24B5" w:rsidRDefault="00000000">
            <w:pPr>
              <w:widowControl/>
              <w:spacing w:line="360" w:lineRule="auto"/>
              <w:rPr>
                <w:rFonts w:ascii="宋体" w:hAnsi="宋体"/>
                <w:sz w:val="24"/>
                <w:szCs w:val="24"/>
              </w:rPr>
            </w:pPr>
            <w:r>
              <w:rPr>
                <w:rFonts w:ascii="宋体" w:hAnsi="宋体" w:hint="eastAsia"/>
                <w:sz w:val="24"/>
                <w:szCs w:val="24"/>
              </w:rPr>
              <w:t>1、东方财富证券 周旭辉；中信证券 刘峰玉；2022年7月13日13:30-15:00</w:t>
            </w:r>
          </w:p>
          <w:p w14:paraId="07A6F6E9" w14:textId="77777777" w:rsidR="001A24B5" w:rsidRDefault="00000000">
            <w:pPr>
              <w:widowControl/>
              <w:spacing w:line="360" w:lineRule="auto"/>
              <w:rPr>
                <w:rFonts w:ascii="宋体" w:hAnsi="宋体"/>
                <w:sz w:val="24"/>
                <w:szCs w:val="24"/>
              </w:rPr>
            </w:pPr>
            <w:r>
              <w:rPr>
                <w:rFonts w:ascii="宋体" w:hAnsi="宋体" w:hint="eastAsia"/>
                <w:sz w:val="24"/>
                <w:szCs w:val="24"/>
              </w:rPr>
              <w:t>2、</w:t>
            </w:r>
            <w:r>
              <w:rPr>
                <w:rFonts w:ascii="Arial" w:hAnsi="Arial" w:cs="Arial"/>
                <w:sz w:val="24"/>
                <w:szCs w:val="24"/>
              </w:rPr>
              <w:t>SSE  Tevin Li</w:t>
            </w:r>
            <w:r>
              <w:rPr>
                <w:rFonts w:ascii="Arial" w:hAnsi="Arial" w:cs="Arial"/>
                <w:sz w:val="24"/>
                <w:szCs w:val="24"/>
              </w:rPr>
              <w:t>；</w:t>
            </w:r>
            <w:r>
              <w:rPr>
                <w:rFonts w:ascii="Arial" w:hAnsi="Arial" w:cs="Arial"/>
                <w:sz w:val="24"/>
                <w:szCs w:val="24"/>
              </w:rPr>
              <w:t>Pinpoint  Wenyuan Liu</w:t>
            </w:r>
            <w:r>
              <w:rPr>
                <w:rFonts w:ascii="Arial" w:hAnsi="Arial" w:cs="Arial"/>
                <w:sz w:val="24"/>
                <w:szCs w:val="24"/>
              </w:rPr>
              <w:t>；</w:t>
            </w:r>
            <w:r>
              <w:rPr>
                <w:rFonts w:ascii="Arial" w:hAnsi="Arial" w:cs="Arial"/>
                <w:sz w:val="24"/>
                <w:szCs w:val="24"/>
              </w:rPr>
              <w:t xml:space="preserve">Twin Peaks Capital </w:t>
            </w:r>
            <w:r>
              <w:rPr>
                <w:rFonts w:ascii="Arial" w:hAnsi="Arial" w:cs="Arial" w:hint="eastAsia"/>
                <w:sz w:val="24"/>
                <w:szCs w:val="24"/>
              </w:rPr>
              <w:t xml:space="preserve">  </w:t>
            </w:r>
            <w:r>
              <w:rPr>
                <w:rFonts w:ascii="Arial" w:hAnsi="Arial" w:cs="Arial"/>
                <w:sz w:val="24"/>
                <w:szCs w:val="24"/>
              </w:rPr>
              <w:t>Junqiao Feng</w:t>
            </w:r>
            <w:r>
              <w:rPr>
                <w:rFonts w:ascii="Arial" w:hAnsi="Arial" w:cs="Arial"/>
                <w:sz w:val="24"/>
                <w:szCs w:val="24"/>
              </w:rPr>
              <w:t>；</w:t>
            </w:r>
            <w:r>
              <w:rPr>
                <w:rFonts w:ascii="Arial" w:hAnsi="Arial" w:cs="Arial"/>
                <w:sz w:val="24"/>
                <w:szCs w:val="24"/>
              </w:rPr>
              <w:t>HTSC  Yanhe Fang</w:t>
            </w:r>
            <w:r>
              <w:rPr>
                <w:rFonts w:ascii="Arial" w:hAnsi="Arial" w:cs="Arial"/>
                <w:sz w:val="24"/>
                <w:szCs w:val="24"/>
              </w:rPr>
              <w:t>；</w:t>
            </w:r>
            <w:r>
              <w:rPr>
                <w:rFonts w:ascii="Arial" w:hAnsi="Arial" w:cs="Arial"/>
                <w:sz w:val="24"/>
                <w:szCs w:val="24"/>
              </w:rPr>
              <w:t xml:space="preserve">Schroder Investment </w:t>
            </w:r>
            <w:r>
              <w:rPr>
                <w:rFonts w:ascii="Arial" w:hAnsi="Arial" w:cs="Arial" w:hint="eastAsia"/>
                <w:sz w:val="24"/>
                <w:szCs w:val="24"/>
              </w:rPr>
              <w:t xml:space="preserve"> </w:t>
            </w:r>
            <w:r>
              <w:rPr>
                <w:rFonts w:ascii="Arial" w:hAnsi="Arial" w:cs="Arial"/>
                <w:sz w:val="24"/>
                <w:szCs w:val="24"/>
              </w:rPr>
              <w:t>Jack Lee</w:t>
            </w:r>
            <w:r>
              <w:rPr>
                <w:rFonts w:ascii="Arial" w:hAnsi="Arial" w:cs="Arial"/>
                <w:sz w:val="24"/>
                <w:szCs w:val="24"/>
              </w:rPr>
              <w:t>；</w:t>
            </w:r>
            <w:r>
              <w:rPr>
                <w:rFonts w:ascii="Arial" w:hAnsi="Arial" w:cs="Arial"/>
                <w:sz w:val="24"/>
                <w:szCs w:val="24"/>
              </w:rPr>
              <w:t>Blackrock  Alice Yang</w:t>
            </w:r>
            <w:r>
              <w:rPr>
                <w:rFonts w:ascii="Arial" w:hAnsi="Arial" w:cs="Arial"/>
                <w:sz w:val="24"/>
                <w:szCs w:val="24"/>
              </w:rPr>
              <w:t>；</w:t>
            </w:r>
            <w:r>
              <w:rPr>
                <w:rFonts w:ascii="Arial" w:hAnsi="Arial" w:cs="Arial"/>
                <w:sz w:val="24"/>
                <w:szCs w:val="24"/>
              </w:rPr>
              <w:t xml:space="preserve">Dymon Asia </w:t>
            </w:r>
            <w:r>
              <w:rPr>
                <w:rFonts w:ascii="Arial" w:hAnsi="Arial" w:cs="Arial" w:hint="eastAsia"/>
                <w:sz w:val="24"/>
                <w:szCs w:val="24"/>
              </w:rPr>
              <w:t xml:space="preserve">  </w:t>
            </w:r>
            <w:r>
              <w:rPr>
                <w:rFonts w:ascii="Arial" w:hAnsi="Arial" w:cs="Arial"/>
                <w:sz w:val="24"/>
                <w:szCs w:val="24"/>
              </w:rPr>
              <w:t>Hefei Deng</w:t>
            </w:r>
            <w:r>
              <w:rPr>
                <w:rFonts w:ascii="Arial" w:hAnsi="Arial" w:cs="Arial"/>
                <w:sz w:val="24"/>
                <w:szCs w:val="24"/>
              </w:rPr>
              <w:t>；</w:t>
            </w:r>
            <w:r>
              <w:rPr>
                <w:rFonts w:ascii="Arial" w:hAnsi="Arial" w:cs="Arial"/>
                <w:sz w:val="24"/>
                <w:szCs w:val="24"/>
              </w:rPr>
              <w:t xml:space="preserve">Sumitomo Mitsui DS Asset mgmt. </w:t>
            </w:r>
            <w:r>
              <w:rPr>
                <w:rFonts w:ascii="Arial" w:hAnsi="Arial" w:cs="Arial" w:hint="eastAsia"/>
                <w:sz w:val="24"/>
                <w:szCs w:val="24"/>
              </w:rPr>
              <w:t xml:space="preserve"> </w:t>
            </w:r>
            <w:r>
              <w:rPr>
                <w:rFonts w:ascii="Arial" w:hAnsi="Arial" w:cs="Arial"/>
                <w:sz w:val="24"/>
                <w:szCs w:val="24"/>
              </w:rPr>
              <w:t>Sharon Hu</w:t>
            </w:r>
            <w:r>
              <w:rPr>
                <w:rFonts w:ascii="Arial" w:hAnsi="Arial" w:cs="Arial"/>
                <w:sz w:val="24"/>
                <w:szCs w:val="24"/>
              </w:rPr>
              <w:t>；</w:t>
            </w:r>
            <w:r>
              <w:rPr>
                <w:rFonts w:ascii="Arial" w:hAnsi="Arial" w:cs="Arial"/>
                <w:sz w:val="24"/>
                <w:szCs w:val="24"/>
              </w:rPr>
              <w:t xml:space="preserve">Wellington  </w:t>
            </w:r>
            <w:r>
              <w:rPr>
                <w:rFonts w:ascii="Arial" w:hAnsi="Arial" w:cs="Arial"/>
                <w:sz w:val="24"/>
                <w:szCs w:val="24"/>
              </w:rPr>
              <w:t>张晓冬；</w:t>
            </w:r>
            <w:r>
              <w:rPr>
                <w:rFonts w:ascii="Arial" w:hAnsi="Arial" w:cs="Arial"/>
                <w:sz w:val="24"/>
                <w:szCs w:val="24"/>
              </w:rPr>
              <w:t>Twin Peaks Capital  Tim Xia</w:t>
            </w:r>
            <w:r>
              <w:rPr>
                <w:rFonts w:ascii="Arial" w:hAnsi="Arial" w:cs="Arial"/>
                <w:sz w:val="24"/>
                <w:szCs w:val="24"/>
              </w:rPr>
              <w:t>；国泰君安证券</w:t>
            </w:r>
            <w:r>
              <w:rPr>
                <w:rFonts w:ascii="Arial" w:hAnsi="Arial" w:cs="Arial"/>
                <w:sz w:val="24"/>
                <w:szCs w:val="24"/>
              </w:rPr>
              <w:t xml:space="preserve">  </w:t>
            </w:r>
            <w:r>
              <w:rPr>
                <w:rFonts w:ascii="Arial" w:hAnsi="Arial" w:cs="Arial"/>
                <w:sz w:val="24"/>
                <w:szCs w:val="24"/>
              </w:rPr>
              <w:t>曾大鹏、扶晓婉；</w:t>
            </w:r>
            <w:r>
              <w:rPr>
                <w:rFonts w:ascii="Arial" w:hAnsi="Arial" w:cs="Arial"/>
                <w:sz w:val="24"/>
                <w:szCs w:val="24"/>
              </w:rPr>
              <w:t xml:space="preserve">Polar Capital </w:t>
            </w:r>
            <w:r>
              <w:rPr>
                <w:rFonts w:ascii="Arial" w:hAnsi="Arial" w:cs="Arial" w:hint="eastAsia"/>
                <w:sz w:val="24"/>
                <w:szCs w:val="24"/>
              </w:rPr>
              <w:t xml:space="preserve"> </w:t>
            </w:r>
            <w:r>
              <w:rPr>
                <w:rFonts w:ascii="Arial" w:hAnsi="Arial" w:cs="Arial"/>
                <w:sz w:val="24"/>
                <w:szCs w:val="24"/>
              </w:rPr>
              <w:t>Andy Chen</w:t>
            </w:r>
            <w:r>
              <w:rPr>
                <w:rFonts w:ascii="Arial" w:hAnsi="Arial" w:cs="Arial"/>
                <w:sz w:val="24"/>
                <w:szCs w:val="24"/>
              </w:rPr>
              <w:t>；</w:t>
            </w:r>
            <w:r>
              <w:rPr>
                <w:rFonts w:ascii="Arial" w:hAnsi="Arial" w:cs="Arial"/>
                <w:sz w:val="24"/>
                <w:szCs w:val="24"/>
              </w:rPr>
              <w:t>LyGH Capital  Raymond Hu</w:t>
            </w:r>
            <w:r>
              <w:rPr>
                <w:rFonts w:ascii="Arial" w:hAnsi="Arial" w:cs="Arial"/>
                <w:sz w:val="24"/>
                <w:szCs w:val="24"/>
              </w:rPr>
              <w:t>；</w:t>
            </w:r>
            <w:r>
              <w:rPr>
                <w:rFonts w:ascii="Arial" w:hAnsi="Arial" w:cs="Arial"/>
                <w:sz w:val="24"/>
                <w:szCs w:val="24"/>
              </w:rPr>
              <w:t>Neo-criterion  Qianlin Liu</w:t>
            </w:r>
            <w:r>
              <w:rPr>
                <w:rFonts w:ascii="Arial" w:hAnsi="Arial" w:cs="Arial"/>
                <w:sz w:val="24"/>
                <w:szCs w:val="24"/>
              </w:rPr>
              <w:t>；</w:t>
            </w:r>
            <w:r>
              <w:rPr>
                <w:rFonts w:ascii="Arial" w:hAnsi="Arial" w:cs="Arial"/>
                <w:sz w:val="24"/>
                <w:szCs w:val="24"/>
              </w:rPr>
              <w:t xml:space="preserve">Twin Peaks Capital </w:t>
            </w:r>
            <w:r>
              <w:rPr>
                <w:rFonts w:ascii="Arial" w:hAnsi="Arial" w:cs="Arial"/>
                <w:sz w:val="24"/>
                <w:szCs w:val="24"/>
              </w:rPr>
              <w:t>韦天；</w:t>
            </w:r>
            <w:r>
              <w:rPr>
                <w:rFonts w:ascii="Arial" w:hAnsi="Arial" w:cs="Arial"/>
                <w:sz w:val="24"/>
                <w:szCs w:val="24"/>
              </w:rPr>
              <w:t>WT Asset Management Limited  Yuyang Wu</w:t>
            </w:r>
            <w:r>
              <w:rPr>
                <w:rFonts w:ascii="Arial" w:hAnsi="Arial" w:cs="Arial"/>
                <w:sz w:val="24"/>
                <w:szCs w:val="24"/>
              </w:rPr>
              <w:t>；</w:t>
            </w:r>
            <w:r>
              <w:rPr>
                <w:rFonts w:ascii="Arial" w:hAnsi="Arial" w:cs="Arial"/>
                <w:sz w:val="24"/>
                <w:szCs w:val="24"/>
              </w:rPr>
              <w:t>Dymon  Lin Tang</w:t>
            </w:r>
            <w:r>
              <w:rPr>
                <w:rFonts w:ascii="Arial" w:hAnsi="Arial" w:cs="Arial"/>
                <w:sz w:val="24"/>
                <w:szCs w:val="24"/>
              </w:rPr>
              <w:t>；</w:t>
            </w:r>
            <w:r>
              <w:rPr>
                <w:rFonts w:ascii="Arial" w:hAnsi="Arial" w:cs="Arial"/>
                <w:sz w:val="24"/>
                <w:szCs w:val="24"/>
              </w:rPr>
              <w:t>Grand Alliance Asset Management</w:t>
            </w:r>
            <w:r>
              <w:rPr>
                <w:rFonts w:ascii="Arial" w:hAnsi="Arial" w:cs="Arial"/>
                <w:sz w:val="24"/>
                <w:szCs w:val="24"/>
              </w:rPr>
              <w:tab/>
              <w:t>Annie Su</w:t>
            </w:r>
            <w:r>
              <w:rPr>
                <w:rFonts w:ascii="Arial" w:hAnsi="Arial" w:cs="Arial"/>
                <w:sz w:val="24"/>
                <w:szCs w:val="24"/>
              </w:rPr>
              <w:t>；</w:t>
            </w:r>
            <w:r>
              <w:rPr>
                <w:rFonts w:ascii="Arial" w:hAnsi="Arial" w:cs="Arial"/>
                <w:sz w:val="24"/>
                <w:szCs w:val="24"/>
              </w:rPr>
              <w:t>Strategic Vision Investment  Bin Huang</w:t>
            </w:r>
            <w:r>
              <w:rPr>
                <w:rFonts w:ascii="Arial" w:hAnsi="Arial" w:cs="Arial"/>
                <w:sz w:val="24"/>
                <w:szCs w:val="24"/>
              </w:rPr>
              <w:t>；</w:t>
            </w:r>
            <w:r>
              <w:rPr>
                <w:rFonts w:ascii="Arial" w:hAnsi="Arial" w:cs="Arial"/>
                <w:sz w:val="24"/>
                <w:szCs w:val="24"/>
              </w:rPr>
              <w:t xml:space="preserve">Huatai Int'l </w:t>
            </w:r>
            <w:r>
              <w:rPr>
                <w:rFonts w:ascii="Arial" w:hAnsi="Arial" w:cs="Arial" w:hint="eastAsia"/>
                <w:sz w:val="24"/>
                <w:szCs w:val="24"/>
              </w:rPr>
              <w:t xml:space="preserve"> </w:t>
            </w:r>
            <w:r>
              <w:rPr>
                <w:rFonts w:ascii="Arial" w:hAnsi="Arial" w:cs="Arial"/>
                <w:sz w:val="24"/>
                <w:szCs w:val="24"/>
              </w:rPr>
              <w:t>Cindy Shen</w:t>
            </w:r>
            <w:r>
              <w:rPr>
                <w:rFonts w:ascii="Arial" w:hAnsi="Arial" w:cs="Arial"/>
                <w:sz w:val="24"/>
                <w:szCs w:val="24"/>
              </w:rPr>
              <w:t>；</w:t>
            </w:r>
            <w:r>
              <w:rPr>
                <w:rFonts w:ascii="Arial" w:hAnsi="Arial" w:cs="Arial"/>
                <w:sz w:val="24"/>
                <w:szCs w:val="24"/>
              </w:rPr>
              <w:t>Neuberger Berman  Macon Chen</w:t>
            </w:r>
            <w:r>
              <w:rPr>
                <w:rFonts w:ascii="Arial" w:hAnsi="Arial" w:cs="Arial"/>
                <w:sz w:val="24"/>
                <w:szCs w:val="24"/>
              </w:rPr>
              <w:t>；</w:t>
            </w:r>
            <w:r>
              <w:rPr>
                <w:rFonts w:ascii="宋体" w:hAnsi="宋体" w:hint="eastAsia"/>
                <w:sz w:val="24"/>
                <w:szCs w:val="24"/>
              </w:rPr>
              <w:t>2022年7月22日10:20-11:10</w:t>
            </w:r>
          </w:p>
          <w:p w14:paraId="2B5AF3BB" w14:textId="77777777" w:rsidR="001A24B5" w:rsidRDefault="00000000">
            <w:pPr>
              <w:widowControl/>
              <w:spacing w:line="360" w:lineRule="auto"/>
              <w:rPr>
                <w:rFonts w:ascii="宋体" w:hAnsi="宋体"/>
                <w:sz w:val="24"/>
                <w:szCs w:val="24"/>
              </w:rPr>
            </w:pPr>
            <w:r>
              <w:rPr>
                <w:rFonts w:ascii="宋体" w:hAnsi="宋体" w:hint="eastAsia"/>
                <w:sz w:val="24"/>
                <w:szCs w:val="24"/>
              </w:rPr>
              <w:t>3、龙航资产 李方勇；兴业基金 陈楷月、代鹏举、邹慧；立龙资产 齐蕾；东方财富 周旭辉、杨劲；浙商证券 林子尧、纪茹萱、张菁；瑞银证券 梁泽宇；久盛资产 陈军民、孔鹏；海南瑞团 张志强；准锦投资 陈滢玥；招</w:t>
            </w:r>
            <w:r>
              <w:rPr>
                <w:rFonts w:ascii="宋体" w:hAnsi="宋体" w:hint="eastAsia"/>
                <w:sz w:val="24"/>
                <w:szCs w:val="24"/>
              </w:rPr>
              <w:lastRenderedPageBreak/>
              <w:t>银理财 姚思劼；盈峰资本 李明刚；富国基金 崔宇；中信投资 王丹、梁勤之；永赢基金 王克道；悦溪基金 陈国栋；太平资产 刘亚纬；季胜投资 左军；东北证券 徐光坦；博道基金 郭晓萱；国海证券 姚健；誉辉资本 郝彪；龙云基金 刘高寒；东证资管 蔡志鹏；昶元投资 翟舒浩；宽潭资本 周天羽；中金公司 王思宇；金鹰基金 吴海峰；巴富罗 罗浩、李允飞；华夏基金 张千洋；瑞华控股 陈俪芳；中信证券 刘易；域秀资本 许俊哲、周栋梁；东吴证券 李昊玥、彭翔远；中金公司 丁健；中信建投 秦基栗；汐泰投资 何亚东 ；华能信托 张秦；优思投资 张晨光；嘉世基金 虞芳；中航证券 牧野、闫智；宝盈基金 容志能；东财证券 陈栎熙；广发证券 代川；运舟资产 吕一闻；Elephas 伍啸天；淳厚基金 杨煜城；国投瑞银基金 苏超；国寿资产 麻锦涛、王大鹏、王玉明；圆信永丰基金 丁柔茵；国金证券 姚云峰；华宝基金 陈龙；天风机械 刘思贝；中银基金 张欣仪；鸿富基金 代国栋；2022年7月28日10:00-12:00</w:t>
            </w:r>
          </w:p>
        </w:tc>
      </w:tr>
      <w:tr w:rsidR="001A24B5" w14:paraId="360E63AE" w14:textId="77777777">
        <w:tc>
          <w:tcPr>
            <w:tcW w:w="2910" w:type="dxa"/>
            <w:shd w:val="clear" w:color="auto" w:fill="auto"/>
          </w:tcPr>
          <w:p w14:paraId="03BA1077" w14:textId="77777777" w:rsidR="001A24B5" w:rsidRDefault="00000000">
            <w:pPr>
              <w:spacing w:line="360" w:lineRule="auto"/>
              <w:rPr>
                <w:rFonts w:ascii="宋体" w:hAnsi="宋体" w:cs="Times New Roman"/>
                <w:b/>
                <w:bCs/>
                <w:iCs/>
                <w:sz w:val="24"/>
                <w:szCs w:val="24"/>
              </w:rPr>
            </w:pPr>
            <w:r>
              <w:rPr>
                <w:rFonts w:ascii="宋体" w:hAnsi="宋体" w:cs="Times New Roman" w:hint="eastAsia"/>
                <w:b/>
                <w:bCs/>
                <w:iCs/>
                <w:sz w:val="24"/>
                <w:szCs w:val="24"/>
              </w:rPr>
              <w:lastRenderedPageBreak/>
              <w:t>调研时间</w:t>
            </w:r>
          </w:p>
        </w:tc>
        <w:tc>
          <w:tcPr>
            <w:tcW w:w="5930" w:type="dxa"/>
            <w:shd w:val="clear" w:color="auto" w:fill="auto"/>
          </w:tcPr>
          <w:p w14:paraId="14164980" w14:textId="77777777" w:rsidR="001A24B5" w:rsidRDefault="00000000">
            <w:pPr>
              <w:spacing w:line="360" w:lineRule="auto"/>
              <w:rPr>
                <w:rFonts w:ascii="宋体" w:hAnsi="宋体"/>
                <w:sz w:val="24"/>
              </w:rPr>
            </w:pPr>
            <w:r>
              <w:rPr>
                <w:rFonts w:ascii="宋体" w:hAnsi="宋体" w:hint="eastAsia"/>
                <w:sz w:val="24"/>
              </w:rPr>
              <w:t>2022年7月13日</w:t>
            </w:r>
            <w:r>
              <w:rPr>
                <w:rFonts w:ascii="宋体" w:hAnsi="宋体" w:hint="eastAsia"/>
                <w:sz w:val="24"/>
                <w:szCs w:val="24"/>
              </w:rPr>
              <w:t>-2022年7月28日</w:t>
            </w:r>
          </w:p>
        </w:tc>
      </w:tr>
      <w:tr w:rsidR="001A24B5" w14:paraId="2BD8C590" w14:textId="77777777">
        <w:tc>
          <w:tcPr>
            <w:tcW w:w="2910" w:type="dxa"/>
            <w:shd w:val="clear" w:color="auto" w:fill="auto"/>
          </w:tcPr>
          <w:p w14:paraId="6112DC2E" w14:textId="77777777" w:rsidR="001A24B5" w:rsidRDefault="00000000">
            <w:pPr>
              <w:spacing w:line="360" w:lineRule="auto"/>
              <w:rPr>
                <w:rFonts w:ascii="宋体" w:hAnsi="宋体" w:cs="Times New Roman"/>
                <w:b/>
                <w:bCs/>
                <w:iCs/>
                <w:sz w:val="24"/>
                <w:szCs w:val="24"/>
              </w:rPr>
            </w:pPr>
            <w:r>
              <w:rPr>
                <w:rFonts w:ascii="宋体" w:hAnsi="宋体" w:cs="Times New Roman" w:hint="eastAsia"/>
                <w:b/>
                <w:bCs/>
                <w:iCs/>
                <w:sz w:val="24"/>
                <w:szCs w:val="24"/>
              </w:rPr>
              <w:t>会议地点</w:t>
            </w:r>
          </w:p>
        </w:tc>
        <w:tc>
          <w:tcPr>
            <w:tcW w:w="5930" w:type="dxa"/>
            <w:shd w:val="clear" w:color="auto" w:fill="auto"/>
          </w:tcPr>
          <w:p w14:paraId="2B95C5FA" w14:textId="77777777" w:rsidR="001A24B5" w:rsidRDefault="00000000">
            <w:pPr>
              <w:spacing w:line="360" w:lineRule="auto"/>
              <w:rPr>
                <w:rFonts w:ascii="宋体" w:hAnsi="宋体" w:cs="Times New Roman"/>
                <w:bCs/>
                <w:iCs/>
                <w:sz w:val="24"/>
                <w:szCs w:val="24"/>
              </w:rPr>
            </w:pPr>
            <w:r>
              <w:rPr>
                <w:rFonts w:ascii="宋体" w:hAnsi="宋体" w:cs="Times New Roman" w:hint="eastAsia"/>
                <w:bCs/>
                <w:iCs/>
                <w:color w:val="000000"/>
                <w:sz w:val="24"/>
                <w:szCs w:val="24"/>
              </w:rPr>
              <w:t>现场调研（其中第2场为电话会议）</w:t>
            </w:r>
          </w:p>
        </w:tc>
      </w:tr>
      <w:tr w:rsidR="001A24B5" w14:paraId="76EF0F8C" w14:textId="77777777">
        <w:tc>
          <w:tcPr>
            <w:tcW w:w="2910" w:type="dxa"/>
            <w:shd w:val="clear" w:color="auto" w:fill="auto"/>
          </w:tcPr>
          <w:p w14:paraId="361FF291" w14:textId="77777777" w:rsidR="001A24B5" w:rsidRDefault="00000000">
            <w:pPr>
              <w:spacing w:line="360" w:lineRule="auto"/>
              <w:rPr>
                <w:rFonts w:ascii="宋体" w:hAnsi="宋体" w:cs="Times New Roman"/>
                <w:b/>
                <w:bCs/>
                <w:iCs/>
                <w:sz w:val="24"/>
                <w:szCs w:val="24"/>
              </w:rPr>
            </w:pPr>
            <w:r>
              <w:rPr>
                <w:rFonts w:ascii="宋体" w:hAnsi="宋体" w:cs="Times New Roman" w:hint="eastAsia"/>
                <w:b/>
                <w:bCs/>
                <w:iCs/>
                <w:sz w:val="24"/>
                <w:szCs w:val="24"/>
              </w:rPr>
              <w:t>上市公司接待人员姓名</w:t>
            </w:r>
          </w:p>
        </w:tc>
        <w:tc>
          <w:tcPr>
            <w:tcW w:w="5930" w:type="dxa"/>
            <w:shd w:val="clear" w:color="auto" w:fill="auto"/>
          </w:tcPr>
          <w:p w14:paraId="02A96292" w14:textId="77777777" w:rsidR="001A24B5" w:rsidRDefault="00000000">
            <w:pPr>
              <w:spacing w:line="360" w:lineRule="auto"/>
              <w:rPr>
                <w:rFonts w:ascii="宋体" w:hAnsi="宋体" w:cs="Times New Roman"/>
                <w:bCs/>
                <w:iCs/>
                <w:sz w:val="24"/>
                <w:szCs w:val="24"/>
              </w:rPr>
            </w:pPr>
            <w:r>
              <w:rPr>
                <w:rFonts w:ascii="宋体" w:hAnsi="宋体" w:cs="Times New Roman" w:hint="eastAsia"/>
                <w:bCs/>
                <w:iCs/>
                <w:sz w:val="24"/>
                <w:szCs w:val="24"/>
              </w:rPr>
              <w:t>董事长、总经理：刘建波</w:t>
            </w:r>
          </w:p>
          <w:p w14:paraId="37372FDD" w14:textId="77777777" w:rsidR="001A24B5" w:rsidRDefault="00000000">
            <w:pPr>
              <w:spacing w:line="360" w:lineRule="auto"/>
              <w:rPr>
                <w:rFonts w:ascii="宋体" w:hAnsi="宋体" w:cs="Times New Roman"/>
                <w:bCs/>
                <w:iCs/>
                <w:sz w:val="24"/>
                <w:szCs w:val="24"/>
              </w:rPr>
            </w:pPr>
            <w:r>
              <w:rPr>
                <w:rFonts w:ascii="宋体" w:hAnsi="宋体" w:cs="Times New Roman" w:hint="eastAsia"/>
                <w:bCs/>
                <w:iCs/>
                <w:sz w:val="24"/>
                <w:szCs w:val="24"/>
              </w:rPr>
              <w:t>董事、副总经理：李阳照</w:t>
            </w:r>
          </w:p>
          <w:p w14:paraId="5B340D4C" w14:textId="77777777" w:rsidR="001A24B5" w:rsidRDefault="00000000">
            <w:pPr>
              <w:spacing w:line="360" w:lineRule="auto"/>
              <w:rPr>
                <w:rFonts w:ascii="宋体" w:hAnsi="宋体" w:cs="Times New Roman"/>
                <w:bCs/>
                <w:iCs/>
                <w:sz w:val="24"/>
                <w:szCs w:val="24"/>
              </w:rPr>
            </w:pPr>
            <w:r>
              <w:rPr>
                <w:rFonts w:ascii="宋体" w:hAnsi="宋体" w:cs="Times New Roman" w:hint="eastAsia"/>
                <w:bCs/>
                <w:iCs/>
                <w:sz w:val="24"/>
                <w:szCs w:val="24"/>
              </w:rPr>
              <w:t>副总经理、财务</w:t>
            </w:r>
            <w:r>
              <w:rPr>
                <w:rFonts w:ascii="宋体" w:hAnsi="宋体" w:cs="Times New Roman"/>
                <w:bCs/>
                <w:iCs/>
                <w:sz w:val="24"/>
                <w:szCs w:val="24"/>
              </w:rPr>
              <w:t>总监、</w:t>
            </w:r>
            <w:r>
              <w:rPr>
                <w:rFonts w:ascii="宋体" w:hAnsi="宋体" w:cs="Times New Roman" w:hint="eastAsia"/>
                <w:bCs/>
                <w:iCs/>
                <w:sz w:val="24"/>
                <w:szCs w:val="24"/>
              </w:rPr>
              <w:t>董事会秘书：周湘荣</w:t>
            </w:r>
          </w:p>
        </w:tc>
      </w:tr>
      <w:tr w:rsidR="001A24B5" w14:paraId="4BB01E31" w14:textId="77777777">
        <w:trPr>
          <w:trHeight w:val="90"/>
        </w:trPr>
        <w:tc>
          <w:tcPr>
            <w:tcW w:w="2910" w:type="dxa"/>
            <w:shd w:val="clear" w:color="auto" w:fill="auto"/>
            <w:vAlign w:val="center"/>
          </w:tcPr>
          <w:p w14:paraId="4C346020" w14:textId="77777777" w:rsidR="001A24B5" w:rsidRDefault="00000000">
            <w:pPr>
              <w:spacing w:line="360" w:lineRule="auto"/>
              <w:rPr>
                <w:rFonts w:ascii="宋体" w:hAnsi="宋体" w:cs="Times New Roman"/>
                <w:b/>
                <w:bCs/>
                <w:iCs/>
                <w:sz w:val="24"/>
                <w:szCs w:val="24"/>
              </w:rPr>
            </w:pPr>
            <w:r>
              <w:rPr>
                <w:rFonts w:hint="eastAsia"/>
                <w:b/>
                <w:sz w:val="24"/>
                <w:szCs w:val="24"/>
              </w:rPr>
              <w:t>投资者关系活动内容记录</w:t>
            </w:r>
          </w:p>
        </w:tc>
        <w:tc>
          <w:tcPr>
            <w:tcW w:w="5930" w:type="dxa"/>
            <w:shd w:val="clear" w:color="auto" w:fill="auto"/>
          </w:tcPr>
          <w:p w14:paraId="1058859E"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color w:val="262626"/>
                <w:sz w:val="24"/>
                <w:szCs w:val="24"/>
                <w:shd w:val="clear" w:color="auto" w:fill="FFFFFF"/>
              </w:rPr>
            </w:pPr>
            <w:r>
              <w:rPr>
                <w:rFonts w:ascii="宋体" w:hAnsi="宋体" w:hint="eastAsia"/>
                <w:b/>
                <w:bCs/>
                <w:sz w:val="24"/>
                <w:szCs w:val="24"/>
              </w:rPr>
              <w:t>一、公司介绍</w:t>
            </w:r>
          </w:p>
          <w:p w14:paraId="2F0AB7A5"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1、公司概览</w:t>
            </w:r>
          </w:p>
          <w:p w14:paraId="49340617" w14:textId="50ADFA43"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东威公司成立于2005年，注册资本14,720万元，是专注于高端精密电镀设备研发、制造和技术服务的企业，公司目前主要面向 PCB 电镀设备（包括 VCP、水平化铜、水平镀等设备）、通用五金电镀设备（包括龙</w:t>
            </w:r>
            <w:r>
              <w:rPr>
                <w:rFonts w:ascii="宋体" w:hAnsi="宋体" w:hint="eastAsia"/>
                <w:color w:val="262626"/>
                <w:sz w:val="24"/>
                <w:szCs w:val="24"/>
                <w:shd w:val="clear" w:color="auto" w:fill="FFFFFF"/>
              </w:rPr>
              <w:lastRenderedPageBreak/>
              <w:t>门、五金连续</w:t>
            </w:r>
            <w:r w:rsidR="0079498D">
              <w:rPr>
                <w:rFonts w:ascii="宋体" w:hAnsi="宋体" w:hint="eastAsia"/>
                <w:color w:val="262626"/>
                <w:sz w:val="24"/>
                <w:szCs w:val="24"/>
                <w:shd w:val="clear" w:color="auto" w:fill="FFFFFF"/>
              </w:rPr>
              <w:t>电</w:t>
            </w:r>
            <w:r>
              <w:rPr>
                <w:rFonts w:ascii="宋体" w:hAnsi="宋体" w:hint="eastAsia"/>
                <w:color w:val="262626"/>
                <w:sz w:val="24"/>
                <w:szCs w:val="24"/>
                <w:shd w:val="clear" w:color="auto" w:fill="FFFFFF"/>
              </w:rPr>
              <w:t>镀等设备）、新能源动力电池负极材料专用设备、光伏领域专用设备、磁控溅射卷绕镀膜设备等领域。东威公司是目前唯一一家以精密电镀设备及技术服务上市的科创版企业，拥有专利170项，其中发明专利26项、实用新型专利141项、外观设计专利3项，先后获得国家高新技术企业、江苏省工程技术中心、江苏省专精特新小巨人、优秀民族品牌企业等多项荣誉。</w:t>
            </w:r>
          </w:p>
          <w:p w14:paraId="6BDA6F54" w14:textId="5CF36542"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东威公司成立于2005年；2011年6月东威机械有限公司成立，2013年10月，广德东威电镀设备技术有限公司成立，这是东威公司第一个自有生产基地，主要制造VCP设备；2014年2月，深圳东威电镀设备技术有限公司成立；2019年5月，公司进行股份制改制；2021年6月15日在上海证券交易所科创板挂牌上市。</w:t>
            </w:r>
          </w:p>
          <w:p w14:paraId="35EDD497"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公司架构主要包括广德东威（VCP设备生产基地）、深圳东威（VCP设备销售及售后中心）、昆山东威（新能源膜材装备事业部、水平设备事业部、五金连续线事业部、龙门电镀设备事业部（光伏设备研发制造））及东莞东威（水平设备事业部）。</w:t>
            </w:r>
          </w:p>
          <w:p w14:paraId="00016E11"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目前公司总人数1,189人，其中管理及行政人员 169人，占比14.21%；生产及安装人员743人，占比62.49%；研发人员173人，占比14.55%；销售及售后人员104人，占比8.75%。</w:t>
            </w:r>
          </w:p>
          <w:p w14:paraId="51E8210C"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2、经营情况</w:t>
            </w:r>
          </w:p>
          <w:p w14:paraId="51489CE8"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公司2022年上半年度实现营业收入41,177万元，同比增长17.8%；2019、2020、2021年度营业收入分别较上年度实现8.4%、25.57%、45.11%的增长率；2018年至2021年营业收入复合增长率为25.47%。</w:t>
            </w:r>
          </w:p>
          <w:p w14:paraId="69B845EC"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lastRenderedPageBreak/>
              <w:t>公司2022年上半年度净利润为9,312万元，同比增长34.37%；2019、2020、2021年度净利润分别较上年度实现17.43%、18.28%、83.21%的增长率；2018年至2021年净利润复合增长率为36.53%。净利润增长大幅高于营业收入的原因主要是因为成本费用降低、税收优惠等其他收益增加等。</w:t>
            </w:r>
          </w:p>
          <w:p w14:paraId="5D5F602D"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公司目前</w:t>
            </w:r>
            <w:r>
              <w:rPr>
                <w:rFonts w:ascii="宋体" w:hAnsi="宋体"/>
                <w:color w:val="262626"/>
                <w:sz w:val="24"/>
                <w:szCs w:val="24"/>
                <w:shd w:val="clear" w:color="auto" w:fill="FFFFFF"/>
              </w:rPr>
              <w:t>存货合计金额42</w:t>
            </w:r>
            <w:r>
              <w:rPr>
                <w:rFonts w:ascii="宋体" w:hAnsi="宋体" w:hint="eastAsia"/>
                <w:color w:val="262626"/>
                <w:sz w:val="24"/>
                <w:szCs w:val="24"/>
                <w:shd w:val="clear" w:color="auto" w:fill="FFFFFF"/>
              </w:rPr>
              <w:t>,</w:t>
            </w:r>
            <w:r>
              <w:rPr>
                <w:rFonts w:ascii="宋体" w:hAnsi="宋体"/>
                <w:color w:val="262626"/>
                <w:sz w:val="24"/>
                <w:szCs w:val="24"/>
                <w:shd w:val="clear" w:color="auto" w:fill="FFFFFF"/>
              </w:rPr>
              <w:t>169万元</w:t>
            </w:r>
            <w:r>
              <w:rPr>
                <w:rFonts w:ascii="宋体" w:hAnsi="宋体" w:hint="eastAsia"/>
                <w:color w:val="262626"/>
                <w:sz w:val="24"/>
                <w:szCs w:val="24"/>
                <w:shd w:val="clear" w:color="auto" w:fill="FFFFFF"/>
              </w:rPr>
              <w:t>。其中原材料5,846万元，半成品452万元，库存商品4,144万元，发出商品19,596万元，在制品12,131万元，其中在制品和半成品都保留原材料价格，发出商品和库存商品仅有制造成本，另外还有10%左右的安装成本。以此可以推算出在手订单的大概金额。</w:t>
            </w:r>
          </w:p>
          <w:p w14:paraId="2EF97857"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3、产品介绍</w:t>
            </w:r>
          </w:p>
          <w:p w14:paraId="338A5ADA"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一是PCB电镀专用设备，主要包括VCP（刚性板VCP、柔性板卷对卷VCP、柔性板片对片VCP）、水平式除胶化铜设备、水平镀设备；公司自主研发的VCP设备在性能指标、安全环保性等方面均有显著提高，生产效率、产品品质与设备价格上相比进口的PCB电镀专用设备具有比较优势。</w:t>
            </w:r>
          </w:p>
          <w:p w14:paraId="5DCC2E57"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二是通用五金电镀设备，主要包括龙门式电镀设备、五金连续电镀等设备。其中五金连读电镀设备，是公司重点发展项目之一，技术为国内外首创，今年放量明显。</w:t>
            </w:r>
          </w:p>
          <w:p w14:paraId="7D1AB4F1"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b/>
                <w:bCs/>
                <w:sz w:val="24"/>
                <w:szCs w:val="24"/>
              </w:rPr>
            </w:pPr>
            <w:r>
              <w:rPr>
                <w:rFonts w:ascii="宋体" w:hAnsi="宋体" w:hint="eastAsia"/>
                <w:color w:val="262626"/>
                <w:sz w:val="24"/>
                <w:szCs w:val="24"/>
                <w:shd w:val="clear" w:color="auto" w:fill="FFFFFF"/>
              </w:rPr>
              <w:t>三是新能源动力电池负极材料专用设备、光伏领域专用设备、磁控溅射卷绕镀膜设备等。其中：1）锂电领域的复合铜膜电镀装备包括卷式水平膜材电镀设备（滚筒导电）、卷式水平膜材电镀设备（双边夹导电）,公司是目前国内唯一能量产该设备的企业。2）真空镀膜设</w:t>
            </w:r>
            <w:r>
              <w:rPr>
                <w:rFonts w:ascii="宋体" w:hAnsi="宋体" w:hint="eastAsia"/>
                <w:color w:val="262626"/>
                <w:sz w:val="24"/>
                <w:szCs w:val="24"/>
                <w:shd w:val="clear" w:color="auto" w:fill="FFFFFF"/>
              </w:rPr>
              <w:lastRenderedPageBreak/>
              <w:t>备，市场上多为单面镀，公司的设备是双面镀，主要配套镀膜设备。受疫情影响，厂房建设还未完成，预计今年10月首台真空镀膜设备将完成出货。3）光伏镀铜设备，公司已经完成样机交付并与终端客户做了中试线。</w:t>
            </w:r>
          </w:p>
          <w:p w14:paraId="049C6CA1"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color w:val="262626"/>
                <w:sz w:val="24"/>
                <w:szCs w:val="24"/>
                <w:shd w:val="clear" w:color="auto" w:fill="FFFFFF"/>
              </w:rPr>
            </w:pPr>
            <w:r>
              <w:rPr>
                <w:rFonts w:ascii="宋体" w:hAnsi="宋体" w:hint="eastAsia"/>
                <w:b/>
                <w:bCs/>
                <w:sz w:val="24"/>
                <w:szCs w:val="24"/>
              </w:rPr>
              <w:t>二、主要问题</w:t>
            </w:r>
          </w:p>
          <w:p w14:paraId="7FFFFF54"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b/>
                <w:bCs/>
                <w:color w:val="262626"/>
                <w:sz w:val="24"/>
                <w:szCs w:val="24"/>
                <w:shd w:val="clear" w:color="auto" w:fill="FFFFFF"/>
              </w:rPr>
            </w:pPr>
            <w:r>
              <w:rPr>
                <w:rFonts w:ascii="宋体" w:hAnsi="宋体" w:hint="eastAsia"/>
                <w:b/>
                <w:bCs/>
                <w:color w:val="262626"/>
                <w:sz w:val="24"/>
                <w:szCs w:val="24"/>
                <w:shd w:val="clear" w:color="auto" w:fill="FFFFFF"/>
              </w:rPr>
              <w:t>1、公司有下游客户开始扩产复合铜膜，是不是意味着下游开始放量？</w:t>
            </w:r>
          </w:p>
          <w:p w14:paraId="1AF3251E"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答：目前公司镀膜设备已有多家客户，主要有PET薄膜生产厂商、电池负极集流体材料生产厂商、电池生产厂商及跨行业新增镀膜厂商等；是否放量需要综合考量，可关注行业应用的进展以及行业的发展趋势。</w:t>
            </w:r>
          </w:p>
          <w:p w14:paraId="7CE39D14"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b/>
                <w:bCs/>
                <w:color w:val="262626"/>
                <w:sz w:val="24"/>
                <w:szCs w:val="24"/>
                <w:shd w:val="clear" w:color="auto" w:fill="FFFFFF"/>
              </w:rPr>
            </w:pPr>
            <w:r>
              <w:rPr>
                <w:rFonts w:ascii="宋体" w:hAnsi="宋体" w:hint="eastAsia"/>
                <w:b/>
                <w:bCs/>
                <w:color w:val="262626"/>
                <w:sz w:val="24"/>
                <w:szCs w:val="24"/>
                <w:shd w:val="clear" w:color="auto" w:fill="FFFFFF"/>
              </w:rPr>
              <w:t>2、目前磁控溅射设备市场已经比较成熟，公司是基于什么原因引入磁控溅射设备技术团队？公司制作该设备的优势在哪？</w:t>
            </w:r>
          </w:p>
          <w:p w14:paraId="430DF669"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答：在镀膜设备推广过程中，存在镀膜设备与磁控溅射设备前后端技术条件衔接及产品质量归属问题，为更好地服务下游客户，公司引入了技术团队制作磁控溅射设备，为客户提供一体化服务。</w:t>
            </w:r>
          </w:p>
          <w:p w14:paraId="09B2F496"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目前市场上的磁控溅射设备是单面的，相关技术方面国外比国内先进，但是国外交货期较慢。公司真空镀膜装备事业部拥有长期从事产品开发与研制的专业技术团队，生产真空镀膜设备已有多年的历史，积累了丰富的设计制造经验，在塑料、陶瓷、玻璃等材料上制备各种金属膜层的镀膜设备已形成系列化产品。团队在已有的多年磁控溅射镀膜技术基础之上，将其运用到新能源锂电池领域，并借鉴国际先进技术，开发出适合产业化发展的磁控溅射类双面镀铜镀膜设备，能与公司镀膜</w:t>
            </w:r>
            <w:r>
              <w:rPr>
                <w:rFonts w:ascii="宋体" w:hAnsi="宋体" w:hint="eastAsia"/>
                <w:color w:val="262626"/>
                <w:sz w:val="24"/>
                <w:szCs w:val="24"/>
                <w:shd w:val="clear" w:color="auto" w:fill="FFFFFF"/>
              </w:rPr>
              <w:lastRenderedPageBreak/>
              <w:t>设备工艺密切衔接，打造一体化PET复合铜膜生产线，此技术国内领先。</w:t>
            </w:r>
          </w:p>
          <w:p w14:paraId="315DDB2F"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b/>
                <w:bCs/>
                <w:color w:val="262626"/>
                <w:sz w:val="24"/>
                <w:szCs w:val="24"/>
                <w:shd w:val="clear" w:color="auto" w:fill="FFFFFF"/>
              </w:rPr>
            </w:pPr>
            <w:r>
              <w:rPr>
                <w:rFonts w:ascii="宋体" w:hAnsi="宋体" w:hint="eastAsia"/>
                <w:b/>
                <w:bCs/>
                <w:color w:val="262626"/>
                <w:sz w:val="24"/>
                <w:szCs w:val="24"/>
                <w:shd w:val="clear" w:color="auto" w:fill="FFFFFF"/>
              </w:rPr>
              <w:t>3、镀膜设备下游客户中哪些有重复订单的可能性比较高？</w:t>
            </w:r>
          </w:p>
          <w:p w14:paraId="78AE78DB"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答：都有可能，上半年受疫情、整体经济形势影响，很多公司都在观望，投资也更加谨慎；随着市场接受度提高及疫情好转，下半年有望进一步发展。</w:t>
            </w:r>
          </w:p>
          <w:p w14:paraId="585F6125"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b/>
                <w:bCs/>
                <w:color w:val="262626"/>
                <w:sz w:val="24"/>
                <w:szCs w:val="24"/>
                <w:shd w:val="clear" w:color="auto" w:fill="FFFFFF"/>
              </w:rPr>
            </w:pPr>
            <w:r>
              <w:rPr>
                <w:rFonts w:ascii="宋体" w:hAnsi="宋体" w:hint="eastAsia"/>
                <w:b/>
                <w:bCs/>
                <w:color w:val="262626"/>
                <w:sz w:val="24"/>
                <w:szCs w:val="24"/>
                <w:shd w:val="clear" w:color="auto" w:fill="FFFFFF"/>
              </w:rPr>
              <w:t>4、公司2022年半年度报告中光伏设备每个小时6,000片代表什么含义？</w:t>
            </w:r>
          </w:p>
          <w:p w14:paraId="5E1E9E62"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sz w:val="28"/>
                <w:szCs w:val="28"/>
              </w:rPr>
            </w:pPr>
            <w:r>
              <w:rPr>
                <w:rFonts w:ascii="宋体" w:hAnsi="宋体" w:hint="eastAsia"/>
                <w:color w:val="262626"/>
                <w:sz w:val="24"/>
                <w:szCs w:val="24"/>
                <w:shd w:val="clear" w:color="auto" w:fill="FFFFFF"/>
              </w:rPr>
              <w:t>答：每个小时6,000片是指公司光伏设备在硅片上镀铜的速度。目前在光伏领域，电镀铜与传统光伏方式不一样；传统方式可能每小时9,000-10,000片左右。电镀作为新制程，公司设备能做到每小时6,000片，1GWH大概需要三条线，目前行业内以电镀方式能做到6,000片的只有东威。公司与几家终端客户做了中试线，数据测试和应用也在进一步跟进；随着技术成熟化，针对硅片金属化来讲6,000片也可能会变成一个标准而不是电镀方式的最快速度。</w:t>
            </w:r>
          </w:p>
          <w:p w14:paraId="57AEFC8D"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b/>
                <w:bCs/>
                <w:color w:val="262626"/>
                <w:sz w:val="24"/>
                <w:szCs w:val="24"/>
                <w:shd w:val="clear" w:color="auto" w:fill="FFFFFF"/>
              </w:rPr>
            </w:pPr>
            <w:r>
              <w:rPr>
                <w:rFonts w:ascii="宋体" w:hAnsi="宋体" w:hint="eastAsia"/>
                <w:b/>
                <w:bCs/>
                <w:color w:val="262626"/>
                <w:sz w:val="24"/>
                <w:szCs w:val="24"/>
                <w:shd w:val="clear" w:color="auto" w:fill="FFFFFF"/>
              </w:rPr>
              <w:t>5、关于PET复合铜箔，电池厂客户是拿到车端认证还是什么状态？PET复合铜箔现在上车，在性能方面是处于即将爆发的状态还是说存在某些性能还需要改进的状态？</w:t>
            </w:r>
          </w:p>
          <w:p w14:paraId="6F1B9D17"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sz w:val="28"/>
                <w:szCs w:val="28"/>
              </w:rPr>
            </w:pPr>
            <w:r>
              <w:rPr>
                <w:rFonts w:ascii="宋体" w:hAnsi="宋体" w:hint="eastAsia"/>
                <w:color w:val="262626"/>
                <w:sz w:val="24"/>
                <w:szCs w:val="24"/>
                <w:shd w:val="clear" w:color="auto" w:fill="FFFFFF"/>
              </w:rPr>
              <w:t>答：公司自五年前接触这个项目，一直持续改进技术和设备，致力于为下游提供更优的技术解决方案，同时也持续关注行业相关信息，目前已有车型将PET复合铜箔作为负极的电池装车测试，负极使用复合电极的电</w:t>
            </w:r>
            <w:r>
              <w:rPr>
                <w:rFonts w:ascii="宋体" w:hAnsi="宋体" w:hint="eastAsia"/>
                <w:color w:val="262626"/>
                <w:sz w:val="24"/>
                <w:szCs w:val="24"/>
                <w:shd w:val="clear" w:color="auto" w:fill="FFFFFF"/>
              </w:rPr>
              <w:lastRenderedPageBreak/>
              <w:t>池确实达到不起火的效果，目前为止，用复合铜箔装的电池还没有起火的案例。</w:t>
            </w:r>
          </w:p>
          <w:p w14:paraId="11665C77"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b/>
                <w:bCs/>
                <w:color w:val="262626"/>
                <w:sz w:val="24"/>
                <w:szCs w:val="24"/>
                <w:shd w:val="clear" w:color="auto" w:fill="FFFFFF"/>
              </w:rPr>
            </w:pPr>
            <w:r>
              <w:rPr>
                <w:rFonts w:ascii="宋体" w:hAnsi="宋体" w:hint="eastAsia"/>
                <w:b/>
                <w:bCs/>
                <w:color w:val="262626"/>
                <w:sz w:val="24"/>
                <w:szCs w:val="24"/>
                <w:shd w:val="clear" w:color="auto" w:fill="FFFFFF"/>
              </w:rPr>
              <w:t>6、公司的镀铜技术可以迁移到镀铝吗？</w:t>
            </w:r>
          </w:p>
          <w:p w14:paraId="1EF6044B"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答：公司的镀铜属于化学电镀；目前没有适用于铝电镀的电镀液，所以铝箔多为蒸镀。但是公司新成立的真空镀膜装备事业部可以做正极材料，并具备相关技术储备，目前该部门主要制作与镀膜设备配套的磁控溅射设备，未来真空镀相关技术可进一步拓展到正极材料。</w:t>
            </w:r>
          </w:p>
          <w:p w14:paraId="5F0F7A86"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b/>
                <w:bCs/>
                <w:color w:val="262626"/>
                <w:sz w:val="24"/>
                <w:szCs w:val="24"/>
                <w:shd w:val="clear" w:color="auto" w:fill="FFFFFF"/>
              </w:rPr>
            </w:pPr>
            <w:r>
              <w:rPr>
                <w:rFonts w:ascii="宋体" w:hAnsi="宋体" w:hint="eastAsia"/>
                <w:b/>
                <w:bCs/>
                <w:color w:val="262626"/>
                <w:sz w:val="24"/>
                <w:szCs w:val="24"/>
                <w:shd w:val="clear" w:color="auto" w:fill="FFFFFF"/>
              </w:rPr>
              <w:t>7、现在市场上公认的PET复合铜箔的特点是安全性、能量密度、成本，对于复合铜箔这三个因素是出于什么出发点在推进？公司和C公司已经合作很长时间，现在大家都说渗透率到了风口，估计到2025年渗透率趋势是怎样的？</w:t>
            </w:r>
          </w:p>
          <w:p w14:paraId="6FDC593E"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答：从作为消费者的个人角度，新能源汽车发生碰撞、挤压变形以后，不起火、不爆炸，安全性肯定是首选的；能量密度是第二考虑的因素，如果用复合电极替代纯金属电极，续航里程能有效提升，对于消费者来说是非常值得的；基于安全性和能量密度两个因素，成本略高也不是制约因素；未来在大规模生产且技术非常成熟后，成本将会有效降低。</w:t>
            </w:r>
          </w:p>
          <w:p w14:paraId="7358954F"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sz w:val="28"/>
                <w:szCs w:val="28"/>
              </w:rPr>
            </w:pPr>
            <w:r>
              <w:rPr>
                <w:rFonts w:ascii="宋体" w:hAnsi="宋体" w:hint="eastAsia"/>
                <w:color w:val="262626"/>
                <w:sz w:val="24"/>
                <w:szCs w:val="24"/>
                <w:shd w:val="clear" w:color="auto" w:fill="FFFFFF"/>
              </w:rPr>
              <w:t>至于估计2025年渗透率，个人觉得走完以下三步以后，未来的发展趋势、渗透率等会更加明朗：一是市场能够公开寻找到PET复合铜箔样品；二是行业内有一家大规模、能批量供货的电池厂或汽车厂，能明确其汽车或电池是用复合电极且不受材料限制；三是对于复合电极电池的生产，各大汽车厂或电池厂能达成平衡或一致意见。</w:t>
            </w:r>
          </w:p>
          <w:p w14:paraId="2864E638"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b/>
                <w:bCs/>
                <w:color w:val="262626"/>
                <w:sz w:val="24"/>
                <w:szCs w:val="24"/>
                <w:shd w:val="clear" w:color="auto" w:fill="FFFFFF"/>
              </w:rPr>
            </w:pPr>
            <w:r>
              <w:rPr>
                <w:rFonts w:ascii="宋体" w:hAnsi="宋体" w:hint="eastAsia"/>
                <w:b/>
                <w:bCs/>
                <w:color w:val="262626"/>
                <w:sz w:val="24"/>
                <w:szCs w:val="24"/>
                <w:shd w:val="clear" w:color="auto" w:fill="FFFFFF"/>
              </w:rPr>
              <w:lastRenderedPageBreak/>
              <w:t>8、真空镀设备市场竞争格局怎样？新能源膜材需要两款设备，公司切入光伏做电镀铜是包括几个设备?公司是在做哪个设备？</w:t>
            </w:r>
          </w:p>
          <w:p w14:paraId="41E0C930"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答：真空溅射发展到现在已经有几十年，市场已经比较成熟，国内外都有很多厂商在做，就目前来说日本、德国等国家磁控溅射技术更加成熟。东威做磁控溅射是立足于超薄复合铜箔，这是一个新的市场，公司有超薄复合铜箔的镀膜设备，在超薄复合铜箔新的市场上有先天优势。</w:t>
            </w:r>
          </w:p>
          <w:p w14:paraId="6792FDEB"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目前公司切入光伏做电镀铜只包括电镀阶段的光伏镀铜设备，未来随着光伏电镀的兴起，磁控溅射技术会也会随之在光伏领域做产业链上的配套设备。</w:t>
            </w:r>
          </w:p>
          <w:p w14:paraId="0D240527"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sz w:val="28"/>
                <w:szCs w:val="28"/>
              </w:rPr>
            </w:pPr>
            <w:r>
              <w:rPr>
                <w:rFonts w:ascii="宋体" w:hAnsi="宋体" w:hint="eastAsia"/>
                <w:b/>
                <w:bCs/>
                <w:color w:val="262626"/>
                <w:sz w:val="24"/>
                <w:szCs w:val="24"/>
                <w:shd w:val="clear" w:color="auto" w:fill="FFFFFF"/>
              </w:rPr>
              <w:t>9、新能源下游客户大幅度增加这块投资，造成了设备和基膜的短缺，在设备上通过刚刚的介绍了解到公司在这方面的先发性和技术的弥补，从第三方的角度判断，您觉得基膜的储备怎么样？未来是否会形成短缺的状态?</w:t>
            </w:r>
          </w:p>
          <w:p w14:paraId="39E66868"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答：基膜供应量是很充足的；基膜在各行各业都有应用，光学薄膜上也有相应的设备，把现有做基膜的设备稍作修改就能做生产复合铜箔的基膜。一台2亿的拉膜设备，产速高达几百米，一台这样规格的拉膜设备，需要一百台左右的镀膜设备才能与之相匹配。基膜已经成为传统产业，市场、技术很成熟，只要扩能即可。做复合铜箔的基膜可能比传统包装膜难度系数高一些，但基膜供应链上不存在瓶颈。</w:t>
            </w:r>
          </w:p>
          <w:p w14:paraId="5740434F"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b/>
                <w:bCs/>
                <w:color w:val="262626"/>
                <w:sz w:val="24"/>
                <w:szCs w:val="24"/>
                <w:shd w:val="clear" w:color="auto" w:fill="FFFFFF"/>
              </w:rPr>
            </w:pPr>
            <w:r>
              <w:rPr>
                <w:rFonts w:ascii="宋体" w:hAnsi="宋体" w:hint="eastAsia"/>
                <w:b/>
                <w:bCs/>
                <w:color w:val="262626"/>
                <w:sz w:val="24"/>
                <w:szCs w:val="24"/>
                <w:shd w:val="clear" w:color="auto" w:fill="FFFFFF"/>
              </w:rPr>
              <w:lastRenderedPageBreak/>
              <w:t>10、公司在不断更新迭代镀膜设备，从一代到二代，良率提升很明显，接下来进一步迭代和提升的时候还有哪几个问题值得进一步更新为三代或四代的状态？</w:t>
            </w:r>
          </w:p>
          <w:p w14:paraId="57630C42"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答：就公司内部而言，没有一代二代之分，只不过是在原有机型基础上进行进一步研发和创新，使之性能更优良、良品率更高。滚筒导电设备的优势是宽幅任意可调，缺点是表面微观性能、微观品质做不到高要求，设备维护成本略高。双边夹机型的优点是解决了表面的微观品质效果，良率高，品质好，但是尺寸宽幅是确定的；两种机型是互补的关系。接下来发展方向是大产能和灵活性，力争让宽度能在一定小范围内进行自由变换调节。</w:t>
            </w:r>
          </w:p>
          <w:p w14:paraId="0DDA22A9"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b/>
                <w:bCs/>
                <w:color w:val="262626"/>
                <w:sz w:val="24"/>
                <w:szCs w:val="24"/>
                <w:shd w:val="clear" w:color="auto" w:fill="FFFFFF"/>
              </w:rPr>
            </w:pPr>
            <w:r>
              <w:rPr>
                <w:rFonts w:ascii="宋体" w:hAnsi="宋体" w:hint="eastAsia"/>
                <w:b/>
                <w:bCs/>
                <w:color w:val="262626"/>
                <w:sz w:val="24"/>
                <w:szCs w:val="24"/>
                <w:shd w:val="clear" w:color="auto" w:fill="FFFFFF"/>
              </w:rPr>
              <w:t>11、公司的镀膜设备会先于膜材放量，在下游大规模扩产的情况下，镀膜对设备产能的规划大概是怎么样的?</w:t>
            </w:r>
          </w:p>
          <w:p w14:paraId="04706957"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答：最近行业内来公司询价、洽谈、询问设备规格的企业比较多，上市公司、非上市公司都有。针对消化产能，昆山总部是以研发、孵化为主，仅昆山目前的产能满足不了大客户的订单需求；如有大订单，公司可以把广德生产基地部分产能切换来消化，广德生产基地是流水线生产，速度更快。最终解决方案还是扩建，广德年底将有两栋厂房投入使用，能够增加50,000m</w:t>
            </w:r>
            <w:r>
              <w:rPr>
                <w:rFonts w:ascii="宋体" w:hAnsi="宋体" w:hint="eastAsia"/>
                <w:color w:val="262626"/>
                <w:sz w:val="24"/>
                <w:szCs w:val="24"/>
                <w:shd w:val="clear" w:color="auto" w:fill="FFFFFF"/>
                <w:vertAlign w:val="superscript"/>
              </w:rPr>
              <w:t>2</w:t>
            </w:r>
            <w:r>
              <w:rPr>
                <w:rFonts w:ascii="宋体" w:hAnsi="宋体" w:hint="eastAsia"/>
                <w:color w:val="262626"/>
                <w:sz w:val="24"/>
                <w:szCs w:val="24"/>
                <w:shd w:val="clear" w:color="auto" w:fill="FFFFFF"/>
              </w:rPr>
              <w:t>的生产厂房；在总部附近设立镀膜设备的专用制造生产线的计划还在不断努力中。</w:t>
            </w:r>
          </w:p>
          <w:p w14:paraId="6785EE11"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b/>
                <w:bCs/>
                <w:color w:val="262626"/>
                <w:sz w:val="24"/>
                <w:szCs w:val="24"/>
                <w:shd w:val="clear" w:color="auto" w:fill="FFFFFF"/>
              </w:rPr>
            </w:pPr>
            <w:r>
              <w:rPr>
                <w:rFonts w:ascii="宋体" w:hAnsi="宋体" w:hint="eastAsia"/>
                <w:b/>
                <w:bCs/>
                <w:color w:val="262626"/>
                <w:sz w:val="24"/>
                <w:szCs w:val="24"/>
                <w:shd w:val="clear" w:color="auto" w:fill="FFFFFF"/>
              </w:rPr>
              <w:t>12、公司已经有设备出货，以此估算单台设备产能换算到电池大概能对应多少?</w:t>
            </w:r>
          </w:p>
          <w:p w14:paraId="180AFC9D"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答：以一台一百度电的汽车为例，需要负极材料800m</w:t>
            </w:r>
            <w:r>
              <w:rPr>
                <w:rFonts w:ascii="宋体" w:hAnsi="宋体" w:hint="eastAsia"/>
                <w:color w:val="262626"/>
                <w:sz w:val="24"/>
                <w:szCs w:val="24"/>
                <w:shd w:val="clear" w:color="auto" w:fill="FFFFFF"/>
                <w:vertAlign w:val="superscript"/>
              </w:rPr>
              <w:t>2</w:t>
            </w:r>
            <w:r>
              <w:rPr>
                <w:rFonts w:ascii="宋体" w:hAnsi="宋体" w:hint="eastAsia"/>
                <w:color w:val="262626"/>
                <w:sz w:val="24"/>
                <w:szCs w:val="24"/>
                <w:shd w:val="clear" w:color="auto" w:fill="FFFFFF"/>
              </w:rPr>
              <w:t>到900m</w:t>
            </w:r>
            <w:r>
              <w:rPr>
                <w:rFonts w:ascii="宋体" w:hAnsi="宋体" w:hint="eastAsia"/>
                <w:color w:val="262626"/>
                <w:sz w:val="24"/>
                <w:szCs w:val="24"/>
                <w:shd w:val="clear" w:color="auto" w:fill="FFFFFF"/>
                <w:vertAlign w:val="superscript"/>
              </w:rPr>
              <w:t>2</w:t>
            </w:r>
            <w:r>
              <w:rPr>
                <w:rFonts w:ascii="宋体" w:hAnsi="宋体" w:hint="eastAsia"/>
                <w:color w:val="262626"/>
                <w:sz w:val="24"/>
                <w:szCs w:val="24"/>
                <w:shd w:val="clear" w:color="auto" w:fill="FFFFFF"/>
              </w:rPr>
              <w:t>，以设备产速8m/min计算，一台设备需要一</w:t>
            </w:r>
            <w:r>
              <w:rPr>
                <w:rFonts w:ascii="宋体" w:hAnsi="宋体" w:hint="eastAsia"/>
                <w:color w:val="262626"/>
                <w:sz w:val="24"/>
                <w:szCs w:val="24"/>
                <w:shd w:val="clear" w:color="auto" w:fill="FFFFFF"/>
              </w:rPr>
              <w:lastRenderedPageBreak/>
              <w:t>百分钟的产能才能满足一台新能源汽车的用量，根据国家新能源汽车每分钟出货量可以推算出需要多少台镀膜设备。此外，复合铜箔还能应用到储能电站，将光伏和风能发电储存下来，效益会有所提升。</w:t>
            </w:r>
          </w:p>
          <w:p w14:paraId="7889BEDD"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b/>
                <w:bCs/>
                <w:color w:val="262626"/>
                <w:sz w:val="24"/>
                <w:szCs w:val="24"/>
                <w:shd w:val="clear" w:color="auto" w:fill="FFFFFF"/>
              </w:rPr>
            </w:pPr>
            <w:r>
              <w:rPr>
                <w:rFonts w:ascii="宋体" w:hAnsi="宋体" w:hint="eastAsia"/>
                <w:b/>
                <w:bCs/>
                <w:color w:val="262626"/>
                <w:sz w:val="24"/>
                <w:szCs w:val="24"/>
                <w:shd w:val="clear" w:color="auto" w:fill="FFFFFF"/>
              </w:rPr>
              <w:t>13、复合铜箔安全性需求是大势所趋的，快充也是行业的另一个趋势，目前PET复合铜箔在快充上性能相对来说差一些，您怎么看快充趋势和PET铜箔的趋势?</w:t>
            </w:r>
          </w:p>
          <w:p w14:paraId="576C2E74"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答：复合电极的优势就是安全，相当于在集流体附近处处安装了保险丝，利用了1μm金属层导电不足解决安全性问题，由此可能带来充放电略输于纯铜电极，从电池模组结构上设置、优化，可能能弥补复合电极欧姆电阻导电略逊色的缺点；此外，复合电极不是唯一影响充电快慢的因素，针对这一问题还需综合考量其他因素。</w:t>
            </w:r>
          </w:p>
          <w:p w14:paraId="6C3EEFE1"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b/>
                <w:bCs/>
                <w:color w:val="262626"/>
                <w:sz w:val="24"/>
                <w:szCs w:val="24"/>
                <w:shd w:val="clear" w:color="auto" w:fill="FFFFFF"/>
              </w:rPr>
            </w:pPr>
            <w:r>
              <w:rPr>
                <w:rFonts w:ascii="宋体" w:hAnsi="宋体" w:hint="eastAsia"/>
                <w:b/>
                <w:bCs/>
                <w:color w:val="262626"/>
                <w:sz w:val="24"/>
                <w:szCs w:val="24"/>
                <w:shd w:val="clear" w:color="auto" w:fill="FFFFFF"/>
              </w:rPr>
              <w:t>14、经过交流，了解到公司在五金连续电镀方面投入了很多精力，公司也将其放在战略级的发展考量上，据了解，五金市场非常分散，分中低高端，行业内厂商也很多，公司未来3-5年想要放量，着重发力的是哪一方面?</w:t>
            </w:r>
          </w:p>
          <w:p w14:paraId="45857F7A"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答：公司主要做电镀设备，发展至今已有二十多年，十几年前公司率先在电路板领域取得重大突破，推动了电路板产业的清洁生产，节能减排，自动化，智能化；提高了产品品质，促进国家5G通讯，各种智能高端的要求，实现设备国产化。公司的VCP投放市场以后，在该领域产生了很大的设备效益，至今卖出1,000多条VCP设备，在解放电镀操作工的双手、节省铜资源、水资源上取得显著成效。基于在电路板上取得的成功经验，同时拓展应用到五金表面处理领域上。通过多年的研发、改</w:t>
            </w:r>
            <w:r>
              <w:rPr>
                <w:rFonts w:ascii="宋体" w:hAnsi="宋体" w:hint="eastAsia"/>
                <w:color w:val="262626"/>
                <w:sz w:val="24"/>
                <w:szCs w:val="24"/>
                <w:shd w:val="clear" w:color="auto" w:fill="FFFFFF"/>
              </w:rPr>
              <w:lastRenderedPageBreak/>
              <w:t>进和创新，公司新的技术，新的路线在最传统的电镀车间做到了颠覆性的升级发展，未来向促进五金表面领域更加环保、节能降耗和自动化方向发展。</w:t>
            </w:r>
          </w:p>
          <w:p w14:paraId="2D784529"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b/>
                <w:bCs/>
                <w:color w:val="262626"/>
                <w:sz w:val="24"/>
                <w:szCs w:val="24"/>
                <w:shd w:val="clear" w:color="auto" w:fill="FFFFFF"/>
              </w:rPr>
            </w:pPr>
            <w:r>
              <w:rPr>
                <w:rFonts w:ascii="宋体" w:hAnsi="宋体" w:hint="eastAsia"/>
                <w:b/>
                <w:bCs/>
                <w:color w:val="262626"/>
                <w:sz w:val="24"/>
                <w:szCs w:val="24"/>
                <w:shd w:val="clear" w:color="auto" w:fill="FFFFFF"/>
              </w:rPr>
              <w:t>15、在光伏方面存在HJT和Topcon路线之争，公司更多的还是用在HJT上，公司光伏镀铜业务发展方向是怎样的？</w:t>
            </w:r>
          </w:p>
          <w:p w14:paraId="7A020790"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答：现有路线是用用银浆丝网印刷，用银浆也是因为成本。从研究工艺制程、成本分析来说，镀铜代替银浆，在原材料上铜节省了成本，但综合考虑环保、曝光显影、干磨、研孔、线路、设备折旧、化学用品、生态环境等因素，目前综合成本可能还比银浆贵。镀铜代替银浆在性能，转化效率上提高了一至二个百分点；结合工序、破片率因素，公司致力于研究工艺更加简便、更环保、更低成本的设备。</w:t>
            </w:r>
          </w:p>
          <w:p w14:paraId="3AE91F11"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b/>
                <w:bCs/>
                <w:color w:val="262626"/>
                <w:sz w:val="24"/>
                <w:szCs w:val="24"/>
                <w:shd w:val="clear" w:color="auto" w:fill="FFFFFF"/>
              </w:rPr>
            </w:pPr>
            <w:r>
              <w:rPr>
                <w:rFonts w:ascii="宋体" w:hAnsi="宋体" w:hint="eastAsia"/>
                <w:b/>
                <w:bCs/>
                <w:color w:val="262626"/>
                <w:sz w:val="24"/>
                <w:szCs w:val="24"/>
                <w:shd w:val="clear" w:color="auto" w:fill="FFFFFF"/>
              </w:rPr>
              <w:t>16、公司镀膜设备的主要的核心壁垒在哪里?在整个产业趋势到来的时候，会有很多竞争者去做同样的设备，公司的优势在哪里?</w:t>
            </w:r>
          </w:p>
          <w:p w14:paraId="1C599D7A"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答：技术壁垒对于内行和外行而言不一样，需要因人而异。从原理上说，仍是遵循现有物理学和化学定理，主要在是技术创新、经验和诀窍。</w:t>
            </w:r>
          </w:p>
          <w:p w14:paraId="34FB240B"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对于是否有人仿造或者做同类设备，公司拥有多年技术经验和专利壁垒，设备机型迭代快，具备先发优势；竞争更能推动公司向更高层次的设备去提升；同时公司的技术壁垒及维权也会加强。</w:t>
            </w:r>
          </w:p>
          <w:p w14:paraId="21A281DB"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2"/>
              <w:rPr>
                <w:rFonts w:ascii="宋体" w:hAnsi="宋体"/>
                <w:b/>
                <w:bCs/>
                <w:color w:val="262626"/>
                <w:sz w:val="24"/>
                <w:szCs w:val="24"/>
                <w:shd w:val="clear" w:color="auto" w:fill="FFFFFF"/>
              </w:rPr>
            </w:pPr>
            <w:r>
              <w:rPr>
                <w:rFonts w:ascii="宋体" w:hAnsi="宋体" w:hint="eastAsia"/>
                <w:b/>
                <w:bCs/>
                <w:color w:val="262626"/>
                <w:sz w:val="24"/>
                <w:szCs w:val="24"/>
                <w:shd w:val="clear" w:color="auto" w:fill="FFFFFF"/>
              </w:rPr>
              <w:t>17、复合铜箔公司现在的工艺路线是水镀，市场上也有用蒸镀的方式在做，怎么看待其他的生产方式？业界在尝试PET以外的PI等基膜，关于这方面您怎么看？</w:t>
            </w:r>
          </w:p>
          <w:p w14:paraId="725C6973"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lastRenderedPageBreak/>
              <w:t>答：经多方面考量，水平宽幅电镀做铜箔，基本上是唯一可行的工业化生产、量产解决方案。</w:t>
            </w:r>
          </w:p>
          <w:p w14:paraId="5E465823" w14:textId="77777777" w:rsidR="001A24B5" w:rsidRDefault="00000000">
            <w:pPr>
              <w:widowControl/>
              <w:numPr>
                <w:ilvl w:val="255"/>
                <w:numId w:val="0"/>
              </w:numPr>
              <w:autoSpaceDE w:val="0"/>
              <w:autoSpaceDN w:val="0"/>
              <w:adjustRightInd w:val="0"/>
              <w:snapToGrid w:val="0"/>
              <w:spacing w:before="50" w:afterLines="50" w:after="156" w:line="360" w:lineRule="auto"/>
              <w:ind w:firstLineChars="200" w:firstLine="480"/>
              <w:rPr>
                <w:rFonts w:ascii="宋体" w:hAnsi="宋体"/>
                <w:color w:val="262626"/>
                <w:sz w:val="24"/>
                <w:szCs w:val="24"/>
                <w:shd w:val="clear" w:color="auto" w:fill="FFFFFF"/>
              </w:rPr>
            </w:pPr>
            <w:r>
              <w:rPr>
                <w:rFonts w:ascii="宋体" w:hAnsi="宋体" w:hint="eastAsia"/>
                <w:color w:val="262626"/>
                <w:sz w:val="24"/>
                <w:szCs w:val="24"/>
                <w:shd w:val="clear" w:color="auto" w:fill="FFFFFF"/>
              </w:rPr>
              <w:t>对于复合铜箔而言，基膜的重要性也是不言而喻的，从消费者、设备厂商的角度看，对基膜的要求主要是薄、耐高温性、抗拉强度，如果基膜能实现更高性能的突破，对复合铜箔来说也是新的发展方向。</w:t>
            </w:r>
          </w:p>
        </w:tc>
      </w:tr>
      <w:tr w:rsidR="001A24B5" w14:paraId="02D78348" w14:textId="77777777">
        <w:tc>
          <w:tcPr>
            <w:tcW w:w="2910" w:type="dxa"/>
            <w:shd w:val="clear" w:color="auto" w:fill="auto"/>
            <w:vAlign w:val="center"/>
          </w:tcPr>
          <w:p w14:paraId="3E8311B9" w14:textId="77777777" w:rsidR="001A24B5" w:rsidRDefault="00000000">
            <w:pPr>
              <w:spacing w:line="360" w:lineRule="auto"/>
              <w:rPr>
                <w:rFonts w:ascii="宋体" w:hAnsi="宋体" w:cs="Times New Roman"/>
                <w:b/>
                <w:bCs/>
                <w:iCs/>
                <w:sz w:val="24"/>
                <w:szCs w:val="24"/>
              </w:rPr>
            </w:pPr>
            <w:r>
              <w:rPr>
                <w:rFonts w:ascii="宋体" w:hAnsi="宋体" w:cs="Times New Roman" w:hint="eastAsia"/>
                <w:b/>
                <w:bCs/>
                <w:iCs/>
                <w:sz w:val="24"/>
                <w:szCs w:val="24"/>
              </w:rPr>
              <w:lastRenderedPageBreak/>
              <w:t>附件清单</w:t>
            </w:r>
          </w:p>
        </w:tc>
        <w:tc>
          <w:tcPr>
            <w:tcW w:w="5930" w:type="dxa"/>
            <w:shd w:val="clear" w:color="auto" w:fill="auto"/>
          </w:tcPr>
          <w:p w14:paraId="454BAA77" w14:textId="77777777" w:rsidR="001A24B5" w:rsidRDefault="00000000">
            <w:pPr>
              <w:spacing w:line="360" w:lineRule="auto"/>
              <w:rPr>
                <w:rFonts w:ascii="宋体" w:hAnsi="宋体" w:cs="Times New Roman"/>
                <w:bCs/>
                <w:iCs/>
                <w:sz w:val="24"/>
                <w:szCs w:val="24"/>
              </w:rPr>
            </w:pPr>
            <w:r>
              <w:rPr>
                <w:rFonts w:ascii="宋体" w:hAnsi="宋体" w:cs="Times New Roman" w:hint="eastAsia"/>
                <w:bCs/>
                <w:iCs/>
                <w:sz w:val="24"/>
                <w:szCs w:val="24"/>
              </w:rPr>
              <w:t>无</w:t>
            </w:r>
          </w:p>
        </w:tc>
      </w:tr>
      <w:tr w:rsidR="001A24B5" w14:paraId="5FFEB93A" w14:textId="77777777">
        <w:tc>
          <w:tcPr>
            <w:tcW w:w="2910" w:type="dxa"/>
            <w:shd w:val="clear" w:color="auto" w:fill="auto"/>
            <w:vAlign w:val="center"/>
          </w:tcPr>
          <w:p w14:paraId="20D411C9" w14:textId="77777777" w:rsidR="001A24B5" w:rsidRDefault="00000000">
            <w:pPr>
              <w:spacing w:line="360" w:lineRule="auto"/>
              <w:rPr>
                <w:rFonts w:ascii="宋体" w:hAnsi="宋体" w:cs="Times New Roman"/>
                <w:b/>
                <w:bCs/>
                <w:iCs/>
                <w:sz w:val="24"/>
                <w:szCs w:val="24"/>
              </w:rPr>
            </w:pPr>
            <w:r>
              <w:rPr>
                <w:rFonts w:ascii="宋体" w:hAnsi="宋体" w:cs="Times New Roman" w:hint="eastAsia"/>
                <w:b/>
                <w:bCs/>
                <w:iCs/>
                <w:sz w:val="24"/>
                <w:szCs w:val="24"/>
              </w:rPr>
              <w:t>日期</w:t>
            </w:r>
          </w:p>
        </w:tc>
        <w:tc>
          <w:tcPr>
            <w:tcW w:w="5930" w:type="dxa"/>
            <w:shd w:val="clear" w:color="auto" w:fill="auto"/>
            <w:vAlign w:val="center"/>
          </w:tcPr>
          <w:p w14:paraId="02BB2172" w14:textId="77777777" w:rsidR="001A24B5" w:rsidRDefault="00000000">
            <w:pPr>
              <w:spacing w:line="360" w:lineRule="auto"/>
              <w:rPr>
                <w:rFonts w:ascii="宋体" w:hAnsi="宋体" w:cs="Times New Roman"/>
                <w:iCs/>
                <w:sz w:val="24"/>
                <w:szCs w:val="24"/>
              </w:rPr>
            </w:pPr>
            <w:r>
              <w:rPr>
                <w:rFonts w:ascii="宋体" w:hAnsi="宋体" w:cs="Times New Roman" w:hint="eastAsia"/>
                <w:iCs/>
                <w:sz w:val="24"/>
                <w:szCs w:val="24"/>
              </w:rPr>
              <w:t>2022年7月13日-2022年7月28日</w:t>
            </w:r>
          </w:p>
        </w:tc>
      </w:tr>
    </w:tbl>
    <w:p w14:paraId="4A14C35C" w14:textId="77777777" w:rsidR="001A24B5" w:rsidRDefault="001A24B5"/>
    <w:sectPr w:rsidR="001A24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644E" w14:textId="77777777" w:rsidR="00CE5BCE" w:rsidRDefault="00CE5BCE" w:rsidP="0079498D">
      <w:r>
        <w:separator/>
      </w:r>
    </w:p>
  </w:endnote>
  <w:endnote w:type="continuationSeparator" w:id="0">
    <w:p w14:paraId="36C2AB3B" w14:textId="77777777" w:rsidR="00CE5BCE" w:rsidRDefault="00CE5BCE" w:rsidP="0079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6882" w14:textId="77777777" w:rsidR="00CE5BCE" w:rsidRDefault="00CE5BCE" w:rsidP="0079498D">
      <w:r>
        <w:separator/>
      </w:r>
    </w:p>
  </w:footnote>
  <w:footnote w:type="continuationSeparator" w:id="0">
    <w:p w14:paraId="57CD3174" w14:textId="77777777" w:rsidR="00CE5BCE" w:rsidRDefault="00CE5BCE" w:rsidP="00794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ZhNjEzNGE5ZmU2Mjk5ZDUyZTkxMWQxN2ZlNDE4YjQifQ=="/>
  </w:docVars>
  <w:rsids>
    <w:rsidRoot w:val="003E780E"/>
    <w:rsid w:val="000654A8"/>
    <w:rsid w:val="001A24B5"/>
    <w:rsid w:val="002155D1"/>
    <w:rsid w:val="00332F7D"/>
    <w:rsid w:val="00390587"/>
    <w:rsid w:val="003E780E"/>
    <w:rsid w:val="00506A09"/>
    <w:rsid w:val="005479E8"/>
    <w:rsid w:val="00553E08"/>
    <w:rsid w:val="0076274A"/>
    <w:rsid w:val="0079498D"/>
    <w:rsid w:val="00805CD0"/>
    <w:rsid w:val="00961324"/>
    <w:rsid w:val="009D22C5"/>
    <w:rsid w:val="00BA52BA"/>
    <w:rsid w:val="00CE5BCE"/>
    <w:rsid w:val="00D43059"/>
    <w:rsid w:val="00F668F5"/>
    <w:rsid w:val="00FA02FC"/>
    <w:rsid w:val="012375FA"/>
    <w:rsid w:val="01733B4D"/>
    <w:rsid w:val="028E3199"/>
    <w:rsid w:val="02B878FF"/>
    <w:rsid w:val="02D23086"/>
    <w:rsid w:val="05551D4C"/>
    <w:rsid w:val="0787322E"/>
    <w:rsid w:val="07EB23DF"/>
    <w:rsid w:val="084C7436"/>
    <w:rsid w:val="0A812F49"/>
    <w:rsid w:val="0ADB714E"/>
    <w:rsid w:val="0AFA5870"/>
    <w:rsid w:val="0B6D13B0"/>
    <w:rsid w:val="0DDC74AE"/>
    <w:rsid w:val="0F6141AB"/>
    <w:rsid w:val="11D27010"/>
    <w:rsid w:val="126802F7"/>
    <w:rsid w:val="129A3494"/>
    <w:rsid w:val="12FF0365"/>
    <w:rsid w:val="14AB4DD3"/>
    <w:rsid w:val="15826B8D"/>
    <w:rsid w:val="1653356F"/>
    <w:rsid w:val="17B500DF"/>
    <w:rsid w:val="18ED2570"/>
    <w:rsid w:val="19137AFC"/>
    <w:rsid w:val="194D095D"/>
    <w:rsid w:val="1A7E4F5D"/>
    <w:rsid w:val="1C5446B4"/>
    <w:rsid w:val="1DF443A0"/>
    <w:rsid w:val="1EBB4EBE"/>
    <w:rsid w:val="1FED72F9"/>
    <w:rsid w:val="202251F5"/>
    <w:rsid w:val="203211B0"/>
    <w:rsid w:val="22442F75"/>
    <w:rsid w:val="234750CE"/>
    <w:rsid w:val="246B54C8"/>
    <w:rsid w:val="24BF509D"/>
    <w:rsid w:val="253F71E1"/>
    <w:rsid w:val="260D0829"/>
    <w:rsid w:val="27B34984"/>
    <w:rsid w:val="27E17743"/>
    <w:rsid w:val="28DA4193"/>
    <w:rsid w:val="2A4144C9"/>
    <w:rsid w:val="2B646984"/>
    <w:rsid w:val="2C6222FD"/>
    <w:rsid w:val="2C8B5ED0"/>
    <w:rsid w:val="2CA95751"/>
    <w:rsid w:val="2D8E5AA3"/>
    <w:rsid w:val="2E2D2E77"/>
    <w:rsid w:val="2EA74B17"/>
    <w:rsid w:val="2F1D2FC9"/>
    <w:rsid w:val="30AE6108"/>
    <w:rsid w:val="31CD5F1F"/>
    <w:rsid w:val="3253512F"/>
    <w:rsid w:val="325B0763"/>
    <w:rsid w:val="32F5092D"/>
    <w:rsid w:val="330A1AE6"/>
    <w:rsid w:val="33E80D83"/>
    <w:rsid w:val="343F15B5"/>
    <w:rsid w:val="350607E9"/>
    <w:rsid w:val="35B06B8E"/>
    <w:rsid w:val="35CA5CBB"/>
    <w:rsid w:val="367F4501"/>
    <w:rsid w:val="36EB4AF1"/>
    <w:rsid w:val="36EE3750"/>
    <w:rsid w:val="3A653630"/>
    <w:rsid w:val="3C810D66"/>
    <w:rsid w:val="3CE82628"/>
    <w:rsid w:val="3D6F442B"/>
    <w:rsid w:val="3E084D9F"/>
    <w:rsid w:val="3FBE3287"/>
    <w:rsid w:val="409A27C7"/>
    <w:rsid w:val="415B1EBD"/>
    <w:rsid w:val="425047D0"/>
    <w:rsid w:val="42725710"/>
    <w:rsid w:val="42756FAE"/>
    <w:rsid w:val="42A15FF5"/>
    <w:rsid w:val="435078B1"/>
    <w:rsid w:val="456F2FB3"/>
    <w:rsid w:val="458F0387"/>
    <w:rsid w:val="45AF0A29"/>
    <w:rsid w:val="465E6EBB"/>
    <w:rsid w:val="467A2DE5"/>
    <w:rsid w:val="48633A50"/>
    <w:rsid w:val="4BB5041C"/>
    <w:rsid w:val="4C4E4133"/>
    <w:rsid w:val="4C761832"/>
    <w:rsid w:val="4E7B76FB"/>
    <w:rsid w:val="4EE72FE2"/>
    <w:rsid w:val="50D457E8"/>
    <w:rsid w:val="514D4806"/>
    <w:rsid w:val="522462FB"/>
    <w:rsid w:val="54E438BB"/>
    <w:rsid w:val="553920BD"/>
    <w:rsid w:val="56187F25"/>
    <w:rsid w:val="57E37B51"/>
    <w:rsid w:val="59D3754A"/>
    <w:rsid w:val="5A5D05FC"/>
    <w:rsid w:val="5E6A778C"/>
    <w:rsid w:val="5F337B7D"/>
    <w:rsid w:val="5FB00D50"/>
    <w:rsid w:val="60536729"/>
    <w:rsid w:val="61714328"/>
    <w:rsid w:val="63E55F9F"/>
    <w:rsid w:val="653018CB"/>
    <w:rsid w:val="659472D7"/>
    <w:rsid w:val="69B163AB"/>
    <w:rsid w:val="6EBA3E17"/>
    <w:rsid w:val="6FC01B18"/>
    <w:rsid w:val="7056191E"/>
    <w:rsid w:val="71BB1ACE"/>
    <w:rsid w:val="74206C9B"/>
    <w:rsid w:val="774801AC"/>
    <w:rsid w:val="77C27899"/>
    <w:rsid w:val="785E1CD0"/>
    <w:rsid w:val="794C38BE"/>
    <w:rsid w:val="79727456"/>
    <w:rsid w:val="797A042B"/>
    <w:rsid w:val="7AC42367"/>
    <w:rsid w:val="7AE63FD8"/>
    <w:rsid w:val="7BC02F9E"/>
    <w:rsid w:val="7BFA3AA5"/>
    <w:rsid w:val="7CE92BB3"/>
    <w:rsid w:val="7CED28A9"/>
    <w:rsid w:val="7E073F66"/>
    <w:rsid w:val="7E6D4A02"/>
    <w:rsid w:val="7EF40C80"/>
    <w:rsid w:val="7F145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55A3B"/>
  <w15:docId w15:val="{AE9A5273-378B-4D42-A696-FA0F2A8B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uiPriority w:val="1"/>
    <w:qFormat/>
    <w:pPr>
      <w:spacing w:before="161"/>
      <w:ind w:left="120"/>
    </w:pPr>
    <w:rPr>
      <w:rFonts w:ascii="宋体" w:hAnsi="宋体"/>
      <w:sz w:val="24"/>
      <w:szCs w:val="24"/>
      <w:lang w:val="zh-CN" w:bidi="zh-CN"/>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ad">
    <w:name w:val="annotation subject"/>
    <w:basedOn w:val="a3"/>
    <w:next w:val="a3"/>
    <w:link w:val="ae"/>
    <w:qFormat/>
    <w:rPr>
      <w:b/>
      <w:bCs/>
    </w:rPr>
  </w:style>
  <w:style w:type="character" w:styleId="af">
    <w:name w:val="annotation reference"/>
    <w:basedOn w:val="a0"/>
    <w:qFormat/>
    <w:rPr>
      <w:sz w:val="21"/>
      <w:szCs w:val="21"/>
    </w:rPr>
  </w:style>
  <w:style w:type="character" w:customStyle="1" w:styleId="a4">
    <w:name w:val="批注文字 字符"/>
    <w:basedOn w:val="a0"/>
    <w:link w:val="a3"/>
    <w:qFormat/>
    <w:rPr>
      <w:kern w:val="2"/>
      <w:sz w:val="21"/>
      <w:szCs w:val="22"/>
    </w:rPr>
  </w:style>
  <w:style w:type="character" w:customStyle="1" w:styleId="ae">
    <w:name w:val="批注主题 字符"/>
    <w:basedOn w:val="a4"/>
    <w:link w:val="ad"/>
    <w:qFormat/>
    <w:rPr>
      <w:b/>
      <w:bCs/>
      <w:kern w:val="2"/>
      <w:sz w:val="21"/>
      <w:szCs w:val="22"/>
    </w:rPr>
  </w:style>
  <w:style w:type="character" w:customStyle="1" w:styleId="a7">
    <w:name w:val="批注框文本 字符"/>
    <w:basedOn w:val="a0"/>
    <w:link w:val="a6"/>
    <w:qFormat/>
    <w:rPr>
      <w:kern w:val="2"/>
      <w:sz w:val="18"/>
      <w:szCs w:val="18"/>
    </w:rPr>
  </w:style>
  <w:style w:type="character" w:customStyle="1" w:styleId="ab">
    <w:name w:val="页眉 字符"/>
    <w:basedOn w:val="a0"/>
    <w:link w:val="aa"/>
    <w:qFormat/>
    <w:rPr>
      <w:kern w:val="2"/>
      <w:sz w:val="18"/>
      <w:szCs w:val="18"/>
    </w:rPr>
  </w:style>
  <w:style w:type="character" w:customStyle="1" w:styleId="a9">
    <w:name w:val="页脚 字符"/>
    <w:basedOn w:val="a0"/>
    <w:link w:val="a8"/>
    <w:qFormat/>
    <w:rPr>
      <w:kern w:val="2"/>
      <w:sz w:val="18"/>
      <w:szCs w:val="18"/>
    </w:rPr>
  </w:style>
  <w:style w:type="paragraph" w:styleId="af0">
    <w:name w:val="List Paragraph"/>
    <w:basedOn w:val="a"/>
    <w:uiPriority w:val="34"/>
    <w:qFormat/>
    <w:pPr>
      <w:ind w:firstLineChars="200" w:firstLine="420"/>
    </w:pPr>
  </w:style>
  <w:style w:type="paragraph" w:styleId="af1">
    <w:name w:val="Revision"/>
    <w:hidden/>
    <w:uiPriority w:val="99"/>
    <w:semiHidden/>
    <w:rsid w:val="0079498D"/>
    <w:rPr>
      <w:rFonts w:ascii="Calibri" w:hAnsi="Calibri"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1074</Words>
  <Characters>6123</Characters>
  <Application>Microsoft Office Word</Application>
  <DocSecurity>0</DocSecurity>
  <Lines>51</Lines>
  <Paragraphs>14</Paragraphs>
  <ScaleCrop>false</ScaleCrop>
  <Company>Microsoft</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陈蕾</dc:creator>
  <cp:lastModifiedBy>宋树健</cp:lastModifiedBy>
  <cp:revision>3</cp:revision>
  <dcterms:created xsi:type="dcterms:W3CDTF">2022-08-01T08:06:00Z</dcterms:created>
  <dcterms:modified xsi:type="dcterms:W3CDTF">2022-08-01T08:06:00Z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2620DC3D8C4547308B1F67E1A6BC9878</vt:lpwstr>
  </property>
</Properties>
</file>