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iCs/>
          <w:color w:val="000000"/>
          <w:sz w:val="24"/>
        </w:rPr>
      </w:pPr>
      <w:r>
        <w:rPr>
          <w:rFonts w:hint="eastAsia" w:ascii="宋体" w:hAnsi="宋体"/>
          <w:bCs/>
          <w:iCs/>
          <w:color w:val="000000"/>
          <w:sz w:val="24"/>
        </w:rPr>
        <w:t xml:space="preserve">证券代码：600105                                 证券简称：永鼎股份           </w:t>
      </w:r>
    </w:p>
    <w:p>
      <w:pPr>
        <w:spacing w:before="156" w:beforeLines="50" w:line="360" w:lineRule="auto"/>
        <w:jc w:val="center"/>
        <w:rPr>
          <w:rFonts w:ascii="黑体" w:hAnsi="黑体" w:eastAsia="黑体" w:cs="黑体"/>
          <w:b/>
          <w:bCs/>
          <w:iCs/>
          <w:color w:val="000000"/>
          <w:sz w:val="36"/>
          <w:szCs w:val="36"/>
        </w:rPr>
      </w:pPr>
      <w:r>
        <w:rPr>
          <w:rFonts w:hint="eastAsia" w:ascii="黑体" w:hAnsi="黑体" w:eastAsia="黑体" w:cs="黑体"/>
          <w:b/>
          <w:bCs/>
          <w:iCs/>
          <w:color w:val="000000"/>
          <w:sz w:val="36"/>
          <w:szCs w:val="36"/>
        </w:rPr>
        <w:t>江苏永鼎股份有限公司投资者关系活动记录表</w:t>
      </w:r>
    </w:p>
    <w:p>
      <w:pPr>
        <w:spacing w:before="156" w:beforeLines="50" w:line="360" w:lineRule="auto"/>
        <w:jc w:val="right"/>
        <w:rPr>
          <w:rFonts w:hint="eastAsia" w:ascii="宋体" w:hAnsi="宋体" w:eastAsia="宋体" w:cs="宋体"/>
          <w:iCs/>
          <w:color w:val="000000"/>
          <w:sz w:val="24"/>
          <w:lang w:eastAsia="zh-CN"/>
        </w:rPr>
      </w:pPr>
      <w:r>
        <w:rPr>
          <w:rFonts w:hint="eastAsia" w:ascii="宋体" w:hAnsi="宋体" w:cs="宋体"/>
          <w:iCs/>
          <w:color w:val="000000"/>
          <w:sz w:val="24"/>
        </w:rPr>
        <w:t>编号：2022</w:t>
      </w:r>
      <w:r>
        <w:rPr>
          <w:rFonts w:ascii="宋体" w:hAnsi="宋体" w:cs="宋体"/>
          <w:iCs/>
          <w:color w:val="000000"/>
          <w:sz w:val="24"/>
        </w:rPr>
        <w:t>080</w:t>
      </w:r>
      <w:r>
        <w:rPr>
          <w:rFonts w:hint="eastAsia" w:ascii="宋体" w:hAnsi="宋体" w:cs="宋体"/>
          <w:iCs/>
          <w:color w:val="000000"/>
          <w:sz w:val="24"/>
          <w:lang w:val="en-US" w:eastAsia="zh-CN"/>
        </w:rPr>
        <w:t>3</w:t>
      </w:r>
    </w:p>
    <w:tbl>
      <w:tblPr>
        <w:tblStyle w:val="2"/>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before="156" w:beforeLines="50" w:after="156" w:afterLines="50" w:line="400" w:lineRule="exact"/>
              <w:jc w:val="center"/>
              <w:rPr>
                <w:rFonts w:ascii="宋体" w:hAnsi="宋体"/>
                <w:bCs/>
                <w:iCs/>
                <w:color w:val="000000"/>
                <w:sz w:val="24"/>
              </w:rPr>
            </w:pPr>
            <w:r>
              <w:rPr>
                <w:rFonts w:hint="eastAsia" w:ascii="宋体" w:hAnsi="宋体"/>
                <w:bCs/>
                <w:iCs/>
                <w:color w:val="000000"/>
                <w:sz w:val="24"/>
              </w:rPr>
              <w:t>投资者关系活动类别</w:t>
            </w:r>
          </w:p>
        </w:tc>
        <w:tc>
          <w:tcPr>
            <w:tcW w:w="6946" w:type="dxa"/>
          </w:tcPr>
          <w:p>
            <w:pPr>
              <w:spacing w:line="480" w:lineRule="atLeast"/>
              <w:jc w:val="left"/>
              <w:rPr>
                <w:rFonts w:ascii="宋体" w:hAnsi="宋体"/>
                <w:bCs/>
                <w:iCs/>
                <w:color w:val="000000"/>
                <w:sz w:val="24"/>
              </w:rPr>
            </w:pPr>
            <w:r>
              <w:rPr>
                <w:rFonts w:hint="eastAsia" w:ascii="宋体" w:hAnsi="宋体"/>
                <w:bCs/>
                <w:iCs/>
                <w:color w:val="000000"/>
                <w:sz w:val="24"/>
              </w:rPr>
              <w:sym w:font="Wingdings 2" w:char="0052"/>
            </w:r>
            <w:r>
              <w:rPr>
                <w:rFonts w:hint="eastAsia" w:ascii="宋体" w:hAnsi="宋体"/>
                <w:bCs/>
                <w:iCs/>
                <w:color w:val="000000"/>
                <w:sz w:val="24"/>
              </w:rPr>
              <w:t xml:space="preserve">特定对象调研   </w:t>
            </w:r>
            <w:r>
              <w:rPr>
                <w:rFonts w:hint="eastAsia" w:ascii="宋体" w:hAnsi="宋体"/>
                <w:bCs/>
                <w:iCs/>
                <w:color w:val="000000"/>
                <w:sz w:val="24"/>
              </w:rPr>
              <w:sym w:font="Wingdings 2" w:char="F0A3"/>
            </w:r>
            <w:r>
              <w:rPr>
                <w:rFonts w:hint="eastAsia" w:ascii="宋体" w:hAnsi="宋体"/>
                <w:bCs/>
                <w:iCs/>
                <w:color w:val="000000"/>
                <w:sz w:val="24"/>
              </w:rPr>
              <w:t xml:space="preserve">分析师会议  </w:t>
            </w:r>
            <w:r>
              <w:rPr>
                <w:rFonts w:hint="eastAsia" w:ascii="宋体" w:hAnsi="宋体"/>
                <w:bCs/>
                <w:iCs/>
                <w:color w:val="000000"/>
                <w:sz w:val="24"/>
              </w:rPr>
              <w:sym w:font="Wingdings 2" w:char="F0A3"/>
            </w:r>
            <w:r>
              <w:rPr>
                <w:rFonts w:hint="eastAsia" w:ascii="宋体" w:hAnsi="宋体"/>
                <w:bCs/>
                <w:iCs/>
                <w:color w:val="000000"/>
                <w:sz w:val="24"/>
              </w:rPr>
              <w:t xml:space="preserve">媒体采访   </w:t>
            </w:r>
            <w:r>
              <w:rPr>
                <w:rFonts w:hint="eastAsia" w:ascii="宋体" w:hAnsi="宋体"/>
                <w:bCs/>
                <w:iCs/>
                <w:color w:val="000000"/>
                <w:sz w:val="24"/>
              </w:rPr>
              <w:sym w:font="Wingdings 2" w:char="00A3"/>
            </w:r>
            <w:r>
              <w:rPr>
                <w:rFonts w:hint="eastAsia" w:ascii="宋体" w:hAnsi="宋体"/>
                <w:bCs/>
                <w:iCs/>
                <w:color w:val="000000"/>
                <w:sz w:val="24"/>
              </w:rPr>
              <w:t>业绩说明会</w:t>
            </w:r>
          </w:p>
          <w:p>
            <w:pPr>
              <w:spacing w:line="480" w:lineRule="atLeast"/>
              <w:rPr>
                <w:rFonts w:ascii="宋体" w:hAnsi="宋体"/>
                <w:bCs/>
                <w:iCs/>
                <w:color w:val="000000"/>
                <w:sz w:val="24"/>
              </w:rPr>
            </w:pPr>
            <w:r>
              <w:rPr>
                <w:rFonts w:hint="eastAsia" w:ascii="宋体" w:hAnsi="宋体"/>
                <w:bCs/>
                <w:iCs/>
                <w:color w:val="000000"/>
                <w:sz w:val="24"/>
              </w:rPr>
              <w:sym w:font="Wingdings 2" w:char="F0A3"/>
            </w:r>
            <w:r>
              <w:rPr>
                <w:rFonts w:hint="eastAsia" w:ascii="宋体" w:hAnsi="宋体"/>
                <w:bCs/>
                <w:iCs/>
                <w:color w:val="000000"/>
                <w:sz w:val="24"/>
              </w:rPr>
              <w:t xml:space="preserve">新闻发布会     </w:t>
            </w:r>
            <w:r>
              <w:rPr>
                <w:rFonts w:hint="eastAsia" w:ascii="宋体" w:hAnsi="宋体"/>
                <w:bCs/>
                <w:iCs/>
                <w:color w:val="000000"/>
                <w:sz w:val="24"/>
              </w:rPr>
              <w:sym w:font="Wingdings 2" w:char="00A3"/>
            </w:r>
            <w:r>
              <w:rPr>
                <w:rFonts w:hint="eastAsia" w:ascii="宋体" w:hAnsi="宋体"/>
                <w:bCs/>
                <w:iCs/>
                <w:color w:val="000000"/>
                <w:sz w:val="24"/>
              </w:rPr>
              <w:t xml:space="preserve">路演活动    </w:t>
            </w:r>
            <w:r>
              <w:rPr>
                <w:rFonts w:hint="eastAsia" w:ascii="宋体" w:hAnsi="宋体"/>
                <w:bCs/>
                <w:iCs/>
                <w:color w:val="000000"/>
                <w:sz w:val="24"/>
              </w:rPr>
              <w:sym w:font="Wingdings 2" w:char="F0A3"/>
            </w:r>
            <w:r>
              <w:rPr>
                <w:rFonts w:hint="eastAsia" w:ascii="宋体" w:hAnsi="宋体"/>
                <w:bCs/>
                <w:iCs/>
                <w:color w:val="000000"/>
                <w:sz w:val="24"/>
              </w:rPr>
              <w:t xml:space="preserve">现场参观   </w:t>
            </w:r>
            <w:r>
              <w:rPr>
                <w:rFonts w:hint="eastAsia" w:ascii="宋体" w:hAnsi="宋体"/>
                <w:bCs/>
                <w:iCs/>
                <w:color w:val="000000"/>
                <w:sz w:val="24"/>
              </w:rPr>
              <w:sym w:font="Wingdings 2" w:char="F0A3"/>
            </w:r>
            <w:r>
              <w:rPr>
                <w:rFonts w:hint="eastAsia" w:ascii="宋体" w:hAnsi="宋体"/>
                <w:bCs/>
                <w:iCs/>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参与人员</w:t>
            </w:r>
          </w:p>
        </w:tc>
        <w:tc>
          <w:tcPr>
            <w:tcW w:w="6946" w:type="dxa"/>
          </w:tcPr>
          <w:p>
            <w:pPr>
              <w:spacing w:line="360" w:lineRule="auto"/>
              <w:rPr>
                <w:rFonts w:ascii="宋体" w:hAnsi="宋体" w:cs="宋体"/>
                <w:color w:val="000000"/>
                <w:kern w:val="0"/>
                <w:sz w:val="24"/>
              </w:rPr>
            </w:pPr>
            <w:r>
              <w:rPr>
                <w:rFonts w:hint="eastAsia" w:ascii="宋体" w:hAnsi="宋体" w:cs="宋体"/>
                <w:color w:val="000000"/>
                <w:kern w:val="0"/>
                <w:sz w:val="24"/>
              </w:rPr>
              <w:t>中信建投证券股份有限公司 曹添雨</w:t>
            </w:r>
          </w:p>
          <w:p>
            <w:pPr>
              <w:spacing w:line="360" w:lineRule="auto"/>
              <w:rPr>
                <w:rFonts w:ascii="宋体" w:hAnsi="宋体" w:cs="宋体"/>
                <w:color w:val="000000"/>
                <w:kern w:val="0"/>
                <w:sz w:val="24"/>
              </w:rPr>
            </w:pPr>
            <w:r>
              <w:rPr>
                <w:rFonts w:hint="eastAsia" w:ascii="宋体" w:hAnsi="宋体" w:cs="宋体"/>
                <w:color w:val="000000"/>
                <w:kern w:val="0"/>
                <w:sz w:val="24"/>
              </w:rPr>
              <w:t>易方达基金管理有限公司 黄蕴藉</w:t>
            </w:r>
          </w:p>
          <w:p>
            <w:pPr>
              <w:spacing w:line="360" w:lineRule="auto"/>
              <w:rPr>
                <w:rFonts w:ascii="宋体" w:hAnsi="宋体" w:cs="宋体"/>
                <w:color w:val="000000"/>
                <w:kern w:val="0"/>
                <w:sz w:val="24"/>
              </w:rPr>
            </w:pPr>
            <w:r>
              <w:rPr>
                <w:rFonts w:hint="eastAsia" w:ascii="宋体" w:hAnsi="宋体" w:cs="宋体"/>
                <w:color w:val="000000"/>
                <w:kern w:val="0"/>
                <w:sz w:val="24"/>
              </w:rPr>
              <w:t>平安基金管理有限公司 李鑫</w:t>
            </w:r>
          </w:p>
          <w:p>
            <w:pPr>
              <w:spacing w:line="360" w:lineRule="auto"/>
              <w:rPr>
                <w:rFonts w:ascii="宋体" w:hAnsi="宋体" w:cs="宋体"/>
                <w:color w:val="000000"/>
                <w:kern w:val="0"/>
                <w:sz w:val="24"/>
              </w:rPr>
            </w:pPr>
            <w:r>
              <w:rPr>
                <w:rFonts w:hint="eastAsia" w:ascii="宋体" w:hAnsi="宋体" w:cs="宋体"/>
                <w:color w:val="000000"/>
                <w:kern w:val="0"/>
                <w:sz w:val="24"/>
              </w:rPr>
              <w:t>上海盘京投资管理中心 陈真洋</w:t>
            </w:r>
          </w:p>
          <w:p>
            <w:pPr>
              <w:spacing w:line="360" w:lineRule="auto"/>
              <w:rPr>
                <w:rFonts w:ascii="宋体" w:hAnsi="宋体" w:cs="宋体"/>
                <w:color w:val="000000"/>
                <w:kern w:val="0"/>
                <w:sz w:val="24"/>
              </w:rPr>
            </w:pPr>
            <w:r>
              <w:rPr>
                <w:rFonts w:hint="eastAsia" w:ascii="宋体" w:hAnsi="宋体" w:cs="宋体"/>
                <w:color w:val="000000"/>
                <w:kern w:val="0"/>
                <w:sz w:val="24"/>
              </w:rPr>
              <w:t>建信基金管理有限责任公司  左远明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时间</w:t>
            </w:r>
          </w:p>
        </w:tc>
        <w:tc>
          <w:tcPr>
            <w:tcW w:w="6946" w:type="dxa"/>
          </w:tcPr>
          <w:p>
            <w:pPr>
              <w:spacing w:line="360" w:lineRule="auto"/>
              <w:rPr>
                <w:rFonts w:ascii="宋体" w:hAnsi="宋体"/>
                <w:bCs/>
                <w:iCs/>
                <w:color w:val="000000"/>
                <w:sz w:val="24"/>
              </w:rPr>
            </w:pPr>
            <w:r>
              <w:rPr>
                <w:rFonts w:hint="eastAsia" w:ascii="宋体" w:hAnsi="宋体"/>
                <w:bCs/>
                <w:iCs/>
                <w:color w:val="000000"/>
                <w:sz w:val="24"/>
              </w:rPr>
              <w:t>2022年</w:t>
            </w:r>
            <w:r>
              <w:rPr>
                <w:rFonts w:ascii="宋体" w:hAnsi="宋体"/>
                <w:bCs/>
                <w:iCs/>
                <w:color w:val="000000"/>
                <w:sz w:val="24"/>
              </w:rPr>
              <w:t>8</w:t>
            </w:r>
            <w:r>
              <w:rPr>
                <w:rFonts w:hint="eastAsia" w:ascii="宋体" w:hAnsi="宋体"/>
                <w:bCs/>
                <w:iCs/>
                <w:color w:val="000000"/>
                <w:sz w:val="24"/>
              </w:rPr>
              <w:t>月</w:t>
            </w:r>
            <w:r>
              <w:rPr>
                <w:rFonts w:ascii="宋体" w:hAnsi="宋体"/>
                <w:bCs/>
                <w:iCs/>
                <w:color w:val="000000"/>
                <w:sz w:val="24"/>
              </w:rPr>
              <w:t>3</w:t>
            </w:r>
            <w:r>
              <w:rPr>
                <w:rFonts w:hint="eastAsia" w:ascii="宋体" w:hAnsi="宋体"/>
                <w:bCs/>
                <w:iCs/>
                <w:color w:val="000000"/>
                <w:sz w:val="24"/>
              </w:rPr>
              <w:t>日上午10:00-12:00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tcPr>
          <w:p>
            <w:pPr>
              <w:spacing w:line="360" w:lineRule="auto"/>
              <w:jc w:val="center"/>
              <w:rPr>
                <w:rFonts w:ascii="宋体" w:hAnsi="宋体"/>
                <w:bCs/>
                <w:iCs/>
                <w:color w:val="000000"/>
                <w:sz w:val="24"/>
              </w:rPr>
            </w:pPr>
            <w:r>
              <w:rPr>
                <w:rFonts w:hint="eastAsia" w:ascii="宋体" w:hAnsi="宋体"/>
                <w:bCs/>
                <w:iCs/>
                <w:color w:val="000000"/>
                <w:sz w:val="24"/>
              </w:rPr>
              <w:t>地点</w:t>
            </w:r>
          </w:p>
        </w:tc>
        <w:tc>
          <w:tcPr>
            <w:tcW w:w="6946" w:type="dxa"/>
          </w:tcPr>
          <w:p>
            <w:pPr>
              <w:spacing w:line="360" w:lineRule="auto"/>
              <w:rPr>
                <w:rFonts w:ascii="宋体" w:hAnsi="宋体"/>
                <w:bCs/>
                <w:iCs/>
                <w:color w:val="000000"/>
                <w:sz w:val="24"/>
              </w:rPr>
            </w:pPr>
            <w:r>
              <w:rPr>
                <w:rFonts w:hint="eastAsia" w:ascii="Arial" w:hAnsi="Arial" w:cs="Arial"/>
                <w:sz w:val="24"/>
              </w:rPr>
              <w:t>公司总部二楼会议室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jc w:val="center"/>
              <w:rPr>
                <w:rFonts w:ascii="宋体" w:hAnsi="宋体"/>
                <w:bCs/>
                <w:iCs/>
                <w:color w:val="000000"/>
                <w:sz w:val="24"/>
              </w:rPr>
            </w:pPr>
            <w:r>
              <w:rPr>
                <w:rFonts w:hint="eastAsia" w:ascii="宋体" w:hAnsi="宋体"/>
                <w:bCs/>
                <w:iCs/>
                <w:color w:val="000000"/>
                <w:sz w:val="24"/>
              </w:rPr>
              <w:t>上市公司接待人员姓名</w:t>
            </w:r>
          </w:p>
        </w:tc>
        <w:tc>
          <w:tcPr>
            <w:tcW w:w="6946" w:type="dxa"/>
            <w:vAlign w:val="center"/>
          </w:tcPr>
          <w:p>
            <w:pPr>
              <w:spacing w:line="360" w:lineRule="auto"/>
              <w:rPr>
                <w:rFonts w:ascii="宋体" w:hAnsi="宋体"/>
                <w:bCs/>
                <w:sz w:val="24"/>
              </w:rPr>
            </w:pPr>
            <w:r>
              <w:rPr>
                <w:rFonts w:hint="eastAsia" w:ascii="宋体" w:hAnsi="宋体"/>
                <w:bCs/>
                <w:sz w:val="24"/>
              </w:rPr>
              <w:t>永鼎股份 董事/副总经理/董秘：张国栋</w:t>
            </w:r>
          </w:p>
          <w:p>
            <w:pPr>
              <w:spacing w:line="360" w:lineRule="auto"/>
              <w:rPr>
                <w:rFonts w:ascii="宋体" w:hAnsi="宋体"/>
                <w:bCs/>
                <w:sz w:val="24"/>
              </w:rPr>
            </w:pPr>
            <w:r>
              <w:rPr>
                <w:rFonts w:hint="eastAsia" w:ascii="宋体" w:hAnsi="宋体"/>
                <w:bCs/>
                <w:sz w:val="24"/>
              </w:rPr>
              <w:t>永鼎股份 证券事务代表：陈海娟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762" w:type="dxa"/>
            <w:vAlign w:val="center"/>
          </w:tcPr>
          <w:p>
            <w:pPr>
              <w:spacing w:line="480" w:lineRule="atLeast"/>
              <w:jc w:val="center"/>
              <w:rPr>
                <w:rFonts w:ascii="宋体" w:hAnsi="宋体"/>
                <w:bCs/>
                <w:iCs/>
                <w:color w:val="000000"/>
                <w:sz w:val="24"/>
              </w:rPr>
            </w:pPr>
            <w:r>
              <w:rPr>
                <w:sz w:val="24"/>
              </w:rPr>
              <w:t>投资者关系活动主要内容介绍</w:t>
            </w:r>
          </w:p>
        </w:tc>
        <w:tc>
          <w:tcPr>
            <w:tcW w:w="6946" w:type="dxa"/>
          </w:tcPr>
          <w:p>
            <w:pPr>
              <w:spacing w:line="300" w:lineRule="auto"/>
              <w:ind w:firstLine="482" w:firstLineChars="200"/>
              <w:rPr>
                <w:rFonts w:asciiTheme="minorEastAsia" w:hAnsiTheme="minorEastAsia" w:eastAsiaTheme="minorEastAsia"/>
                <w:b/>
                <w:bCs/>
                <w:sz w:val="24"/>
              </w:rPr>
            </w:pPr>
            <w:r>
              <w:rPr>
                <w:rFonts w:hint="eastAsia" w:cs="Arial" w:asciiTheme="minorEastAsia" w:hAnsiTheme="minorEastAsia" w:eastAsiaTheme="minorEastAsia"/>
                <w:b/>
                <w:bCs/>
                <w:sz w:val="24"/>
              </w:rPr>
              <w:t>一</w:t>
            </w:r>
            <w:r>
              <w:rPr>
                <w:rFonts w:cs="Arial" w:asciiTheme="minorEastAsia" w:hAnsiTheme="minorEastAsia" w:eastAsiaTheme="minorEastAsia"/>
                <w:b/>
                <w:bCs/>
                <w:sz w:val="24"/>
              </w:rPr>
              <w:t>、</w:t>
            </w:r>
            <w:r>
              <w:rPr>
                <w:rFonts w:hint="eastAsia" w:asciiTheme="minorEastAsia" w:hAnsiTheme="minorEastAsia" w:eastAsiaTheme="minorEastAsia"/>
                <w:b/>
                <w:bCs/>
                <w:sz w:val="24"/>
              </w:rPr>
              <w:t>介绍公司基本情况：</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EastAsia"/>
                <w:sz w:val="24"/>
              </w:rPr>
              <w:t>公司于1994年成立，1997年成为国内光缆行业首家民营上市公司。经过数十年持续发展，目前已形成 “光电交融、协同发展”的战略格局，业务覆盖光通信和电力传输两大领域。</w:t>
            </w:r>
            <w:r>
              <w:rPr>
                <w:rFonts w:hint="eastAsia" w:asciiTheme="minorEastAsia" w:hAnsiTheme="minorEastAsia" w:eastAsiaTheme="minorEastAsia"/>
                <w:sz w:val="24"/>
              </w:rPr>
              <w:t>光通信产业立足“光棒、光纤、光缆”等网络基础通信产品，延伸光芯片、光器件、光模块等产品及大数据采集分析应用与信息服务</w:t>
            </w:r>
            <w:r>
              <w:rPr>
                <w:rFonts w:asciiTheme="minorEastAsia" w:hAnsiTheme="minorEastAsia" w:eastAsiaTheme="minorEastAsia"/>
                <w:sz w:val="24"/>
              </w:rPr>
              <w:t>，逐步实现从芯到线到设备传输到数据收集的产业布局</w:t>
            </w:r>
            <w:r>
              <w:rPr>
                <w:rFonts w:hint="eastAsia" w:asciiTheme="minorEastAsia" w:hAnsiTheme="minorEastAsia" w:eastAsiaTheme="minorEastAsia"/>
                <w:sz w:val="24"/>
              </w:rPr>
              <w:t>；电力传输产业包含电缆、特缆、EPC电力工程、超导电力和汽车线束等业务，统筹布局，形成“电线电缆—汽车线束—超导电力—海外电力工程”协同发展的产业格局。</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021</w:t>
            </w:r>
            <w:r>
              <w:rPr>
                <w:rFonts w:hint="eastAsia" w:asciiTheme="minorEastAsia" w:hAnsiTheme="minorEastAsia" w:eastAsiaTheme="minorEastAsia"/>
                <w:sz w:val="24"/>
              </w:rPr>
              <w:t>年，公司在做强做专传统业务的同时，积极布局光芯片、光器件、数据中心互联以及海底电缆等新产业，业务结构进一步优化。</w:t>
            </w:r>
            <w:r>
              <w:rPr>
                <w:rFonts w:hint="eastAsia" w:asciiTheme="minorEastAsia" w:hAnsiTheme="minorEastAsia" w:eastAsiaTheme="minorEastAsia" w:cstheme="minorEastAsia"/>
                <w:sz w:val="24"/>
              </w:rPr>
              <w:t>光通信领域，</w:t>
            </w:r>
            <w:r>
              <w:rPr>
                <w:rFonts w:hint="eastAsia" w:asciiTheme="minorEastAsia" w:hAnsiTheme="minorEastAsia" w:eastAsiaTheme="minorEastAsia"/>
                <w:sz w:val="24"/>
              </w:rPr>
              <w:t>公司光纤光缆业务主动调整销售结构，增加非运营商和海外市场的开拓力度，取得显著成效，同时从各大运营商还有中国广电的招标价格来看，光通信行业有明显复苏迹象</w:t>
            </w:r>
            <w:r>
              <w:rPr>
                <w:rFonts w:hint="eastAsia" w:asciiTheme="minorEastAsia" w:hAnsiTheme="minorEastAsia" w:eastAsiaTheme="minorEastAsia" w:cstheme="minorEastAsia"/>
                <w:sz w:val="24"/>
              </w:rPr>
              <w:t>；光芯片、光器件、光模块、DCI子系统已初步形成完整业务链条。电力传输领域，</w:t>
            </w:r>
            <w:r>
              <w:rPr>
                <w:rFonts w:hint="eastAsia" w:asciiTheme="minorEastAsia" w:hAnsiTheme="minorEastAsia" w:eastAsiaTheme="minorEastAsia"/>
                <w:sz w:val="24"/>
              </w:rPr>
              <w:t>海外工程业务经历疫情等众多不利因素冲击后，公司快速适应调整，开工建设孟加拉国家电网升级改造项目，实现盈利能力重新企稳，并加大市场开拓力度，积极争取新项目储备</w:t>
            </w:r>
            <w:r>
              <w:rPr>
                <w:rFonts w:hint="eastAsia" w:asciiTheme="minorEastAsia" w:hAnsiTheme="minorEastAsia" w:eastAsiaTheme="minorEastAsia" w:cstheme="minorEastAsia"/>
                <w:sz w:val="24"/>
              </w:rPr>
              <w:t>；电线电缆业务在高端细分市场发力，产销量均有较大提升；汽车线束业务稳中向好，部分新项目线束逐步量产，新能源汽车线束取得突破，并争取到部分新能源项目开发业务；高温超导业务技术领先，产业化应用曙光初现。同时，公司保持高强度的技术创新投入与“智改数转”投入，运营效率与经营质量得到进一步提升。</w:t>
            </w:r>
          </w:p>
          <w:p>
            <w:pPr>
              <w:spacing w:line="30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二、投资者提问交流</w:t>
            </w:r>
          </w:p>
          <w:p>
            <w:pPr>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1、公司各业务板块销售情况及全年预计如何？</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今年公司主要收入来源，一是光通信板块，行业从去年开始有复苏迹象，且价格还在上涨，同时公司调整了销售结构，没有过多依赖运营商市场，在海外市场，如拉美市场，都取得了不错的销售成绩，得到了墨西哥等国家的重点客户认可，目前在手订单数量，可以充分消化今年公司产能。另外光芯片中AWG（阵列波导光栅）和滤波片系列波分产品在2021年已实现稳定供货，可产生销售收入。二是电力传输板块，公司海外电力工程可持续产生稳定的业务收入，另外汽车线束业务，虽然在今年一二季度受到了疫情的影响，但是部分主机厂全年的目标没有改变，公司有信心完成全年的销售目标，前期受到的影响下半年会加速追回来。除了传统的汽车线束业务，新能源汽车线束预计也会取得不错的业绩。</w:t>
            </w:r>
          </w:p>
          <w:p>
            <w:pPr>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2、汽车线束业务板块中新能源线束占比情况？</w:t>
            </w:r>
          </w:p>
          <w:p>
            <w:pPr>
              <w:spacing w:line="30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公司新能源汽车线束销售收入较去年有较大幅度增长，新能源汽车线束毛利率相较传统汽车线束会有较大改善，公司未来也会进一步加大在新能源汽车线束方面的研发投入，增强市场竞争力，提升新能源线束业务占比。</w:t>
            </w:r>
          </w:p>
          <w:p>
            <w:pPr>
              <w:numPr>
                <w:ilvl w:val="0"/>
                <w:numId w:val="1"/>
              </w:numPr>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公司新能源汽车线束客户有哪些？</w:t>
            </w:r>
          </w:p>
          <w:p>
            <w:pPr>
              <w:spacing w:line="30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最近一年，</w:t>
            </w:r>
            <w:r>
              <w:rPr>
                <w:rFonts w:asciiTheme="minorEastAsia" w:hAnsiTheme="minorEastAsia" w:eastAsiaTheme="minorEastAsia"/>
                <w:bCs/>
                <w:sz w:val="24"/>
              </w:rPr>
              <w:t>公司在天际、华人运通、上汽通用等新能源汽车用户的基础上与更多新能源新兴汽车品牌接触和展开合作，先后通过了蔚来汽车、智己汽车、滴滴汽车、岚图汽车等众多新能源汽车客户的体系认可，并争取到了滴滴汽车、岚图汽车和远景新能源的新项目开发业务，成为其供应链的重要成员。</w:t>
            </w:r>
          </w:p>
          <w:p>
            <w:pPr>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4、汽车线束产业是否存在进入壁垒？</w:t>
            </w:r>
          </w:p>
          <w:p>
            <w:pPr>
              <w:spacing w:line="30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公司汽车线束业务所处行业是充分竞争市场，存在一定的进入壁垒。汽车线束行业虽然是属于劳动密集型产业，技术壁垒比较低，但存在一定的行业进入壁垒。比如汽车主机厂的供应商认证、熟练稳定的一线工人，都是影响因素。</w:t>
            </w:r>
          </w:p>
          <w:p>
            <w:pPr>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5、公司汽车线束业务未来的产能扩张计划？</w:t>
            </w:r>
          </w:p>
          <w:p>
            <w:pPr>
              <w:spacing w:line="30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公司汽车线束业务产能扩张不存在瓶颈，后续有足够的资金投入，汽车线束产能可以快速得到扩张。今年公司已有计划小规模增加部分线束产能。未来，公司会根据行业情况以及现有产能实际利用情况，考虑通过新设工厂等方式，增加公司汽车线束产能。</w:t>
            </w:r>
          </w:p>
          <w:p>
            <w:pPr>
              <w:spacing w:line="30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6、公司在海缆这一块的规划？大概什么时候能够形成规模？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bidi="ar"/>
              </w:rPr>
              <w:t>公司通州湾海缆基地占地400多亩，海岸线长度500米，配套2万吨码头。规划产能：10-35KV海缆，1200公里/年；110-500KV海缆，250公里/年；110-220KV陆缆，400公里/年。</w:t>
            </w:r>
          </w:p>
          <w:p>
            <w:pPr>
              <w:spacing w:line="300" w:lineRule="auto"/>
              <w:ind w:firstLine="482" w:firstLineChars="200"/>
              <w:rPr>
                <w:rFonts w:asciiTheme="minorEastAsia" w:hAnsiTheme="minorEastAsia" w:eastAsiaTheme="minorEastAsia"/>
                <w:sz w:val="24"/>
              </w:rPr>
            </w:pPr>
            <w:r>
              <w:rPr>
                <w:rFonts w:hint="eastAsia" w:ascii="宋体" w:hAnsi="宋体"/>
                <w:b/>
                <w:bCs/>
                <w:sz w:val="24"/>
                <w:lang w:bidi="ar"/>
              </w:rPr>
              <w:t xml:space="preserve"> </w:t>
            </w:r>
            <w:r>
              <w:rPr>
                <w:rFonts w:hint="eastAsia" w:ascii="宋体" w:hAnsi="宋体"/>
                <w:sz w:val="24"/>
                <w:lang w:bidi="ar"/>
              </w:rPr>
              <w:t>目前项目备案已完成，正在进行项目土地规划与审批，项目在取得海域使用权证后2个月内开工建设，初步预计建设周期24个月，23年可以进行试生产。目前已同步进行设备采购工作。配套码头吨位为2万吨级，可承载海缆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附件</w:t>
            </w:r>
          </w:p>
        </w:tc>
        <w:tc>
          <w:tcPr>
            <w:tcW w:w="6946" w:type="dxa"/>
          </w:tcPr>
          <w:p>
            <w:pPr>
              <w:spacing w:line="360" w:lineRule="auto"/>
              <w:jc w:val="lef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2" w:type="dxa"/>
            <w:vAlign w:val="center"/>
          </w:tcPr>
          <w:p>
            <w:pPr>
              <w:spacing w:line="360" w:lineRule="auto"/>
              <w:jc w:val="center"/>
              <w:rPr>
                <w:rFonts w:ascii="宋体" w:hAnsi="宋体"/>
                <w:bCs/>
                <w:iCs/>
                <w:color w:val="000000"/>
                <w:sz w:val="24"/>
              </w:rPr>
            </w:pPr>
            <w:r>
              <w:rPr>
                <w:rFonts w:hint="eastAsia" w:ascii="宋体" w:hAnsi="宋体"/>
                <w:bCs/>
                <w:iCs/>
                <w:color w:val="000000"/>
                <w:sz w:val="24"/>
              </w:rPr>
              <w:t>日期</w:t>
            </w:r>
          </w:p>
        </w:tc>
        <w:tc>
          <w:tcPr>
            <w:tcW w:w="6946" w:type="dxa"/>
          </w:tcPr>
          <w:p>
            <w:pPr>
              <w:spacing w:line="360" w:lineRule="auto"/>
              <w:jc w:val="left"/>
              <w:rPr>
                <w:rFonts w:ascii="宋体" w:hAnsi="宋体"/>
                <w:bCs/>
                <w:iCs/>
                <w:color w:val="000000"/>
                <w:sz w:val="24"/>
              </w:rPr>
            </w:pPr>
            <w:r>
              <w:rPr>
                <w:rFonts w:hint="eastAsia" w:ascii="宋体" w:hAnsi="宋体"/>
                <w:bCs/>
                <w:iCs/>
                <w:color w:val="000000"/>
                <w:sz w:val="24"/>
              </w:rPr>
              <w:t>2022年8月</w:t>
            </w:r>
            <w:r>
              <w:rPr>
                <w:rFonts w:hint="eastAsia" w:ascii="宋体" w:hAnsi="宋体"/>
                <w:bCs/>
                <w:iCs/>
                <w:color w:val="000000"/>
                <w:sz w:val="24"/>
                <w:lang w:val="en-US" w:eastAsia="zh-CN"/>
              </w:rPr>
              <w:t>3</w:t>
            </w:r>
            <w:r>
              <w:rPr>
                <w:rFonts w:hint="eastAsia" w:ascii="宋体" w:hAnsi="宋体"/>
                <w:bCs/>
                <w:iCs/>
                <w:color w:val="000000"/>
                <w:sz w:val="24"/>
              </w:rPr>
              <w:t>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B75C6"/>
    <w:multiLevelType w:val="singleLevel"/>
    <w:tmpl w:val="AB6B75C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MzA2YTUxN2Y0YjFlMGEzZThiZjU5YzU1MjNlNjEifQ=="/>
  </w:docVars>
  <w:rsids>
    <w:rsidRoot w:val="0042075F"/>
    <w:rsid w:val="0001168E"/>
    <w:rsid w:val="000164D1"/>
    <w:rsid w:val="00026F66"/>
    <w:rsid w:val="000345F0"/>
    <w:rsid w:val="000A32A1"/>
    <w:rsid w:val="000A4BC5"/>
    <w:rsid w:val="000A5487"/>
    <w:rsid w:val="000E6584"/>
    <w:rsid w:val="000E68DF"/>
    <w:rsid w:val="00107964"/>
    <w:rsid w:val="00111A91"/>
    <w:rsid w:val="00156A58"/>
    <w:rsid w:val="00172368"/>
    <w:rsid w:val="00176AC2"/>
    <w:rsid w:val="001B221B"/>
    <w:rsid w:val="001E04B0"/>
    <w:rsid w:val="001F182A"/>
    <w:rsid w:val="00205563"/>
    <w:rsid w:val="00237665"/>
    <w:rsid w:val="002C2489"/>
    <w:rsid w:val="002C3EFE"/>
    <w:rsid w:val="002E5966"/>
    <w:rsid w:val="00313E3F"/>
    <w:rsid w:val="0031652F"/>
    <w:rsid w:val="0033543E"/>
    <w:rsid w:val="00362C5A"/>
    <w:rsid w:val="003C095A"/>
    <w:rsid w:val="003D6FBD"/>
    <w:rsid w:val="003F4860"/>
    <w:rsid w:val="00404088"/>
    <w:rsid w:val="0042049F"/>
    <w:rsid w:val="0042075F"/>
    <w:rsid w:val="0048076C"/>
    <w:rsid w:val="004848F7"/>
    <w:rsid w:val="00492BED"/>
    <w:rsid w:val="00495A6B"/>
    <w:rsid w:val="004A23E3"/>
    <w:rsid w:val="004A7B91"/>
    <w:rsid w:val="004C684D"/>
    <w:rsid w:val="004D4D54"/>
    <w:rsid w:val="00500E54"/>
    <w:rsid w:val="00502B4E"/>
    <w:rsid w:val="005943AF"/>
    <w:rsid w:val="005E296A"/>
    <w:rsid w:val="00601796"/>
    <w:rsid w:val="00621E62"/>
    <w:rsid w:val="0062309F"/>
    <w:rsid w:val="00656BD6"/>
    <w:rsid w:val="00662580"/>
    <w:rsid w:val="00671A2E"/>
    <w:rsid w:val="006A1BC2"/>
    <w:rsid w:val="006B3ADC"/>
    <w:rsid w:val="006F1799"/>
    <w:rsid w:val="00722BB1"/>
    <w:rsid w:val="00727CD5"/>
    <w:rsid w:val="00734173"/>
    <w:rsid w:val="00740D97"/>
    <w:rsid w:val="00743BCA"/>
    <w:rsid w:val="00751884"/>
    <w:rsid w:val="0076021E"/>
    <w:rsid w:val="007916BA"/>
    <w:rsid w:val="0080500D"/>
    <w:rsid w:val="00846DF6"/>
    <w:rsid w:val="00871C2A"/>
    <w:rsid w:val="008C4E24"/>
    <w:rsid w:val="008D577B"/>
    <w:rsid w:val="008E4E0C"/>
    <w:rsid w:val="00943B5F"/>
    <w:rsid w:val="00947FE7"/>
    <w:rsid w:val="00963B86"/>
    <w:rsid w:val="00972F39"/>
    <w:rsid w:val="009817DD"/>
    <w:rsid w:val="009D7B46"/>
    <w:rsid w:val="009F3442"/>
    <w:rsid w:val="00A1016E"/>
    <w:rsid w:val="00A3524C"/>
    <w:rsid w:val="00A44B2F"/>
    <w:rsid w:val="00A476EA"/>
    <w:rsid w:val="00A5245D"/>
    <w:rsid w:val="00AB7C6C"/>
    <w:rsid w:val="00AD4272"/>
    <w:rsid w:val="00B251B3"/>
    <w:rsid w:val="00B348B5"/>
    <w:rsid w:val="00B519A0"/>
    <w:rsid w:val="00B67018"/>
    <w:rsid w:val="00C53DAA"/>
    <w:rsid w:val="00C61B2D"/>
    <w:rsid w:val="00C83C42"/>
    <w:rsid w:val="00C950C2"/>
    <w:rsid w:val="00CA3321"/>
    <w:rsid w:val="00CB6A45"/>
    <w:rsid w:val="00CD5626"/>
    <w:rsid w:val="00D803CD"/>
    <w:rsid w:val="00DA5E50"/>
    <w:rsid w:val="00DB29A0"/>
    <w:rsid w:val="00DD33B4"/>
    <w:rsid w:val="00DE1915"/>
    <w:rsid w:val="00E17324"/>
    <w:rsid w:val="00E23E03"/>
    <w:rsid w:val="00E52BF9"/>
    <w:rsid w:val="00E64DB5"/>
    <w:rsid w:val="00E76B5F"/>
    <w:rsid w:val="00E8276D"/>
    <w:rsid w:val="00EC31F4"/>
    <w:rsid w:val="00ED3B02"/>
    <w:rsid w:val="00F15783"/>
    <w:rsid w:val="00F303DD"/>
    <w:rsid w:val="00F94DE9"/>
    <w:rsid w:val="00FC01FC"/>
    <w:rsid w:val="00FE6B86"/>
    <w:rsid w:val="03113495"/>
    <w:rsid w:val="1375372D"/>
    <w:rsid w:val="13A05E2E"/>
    <w:rsid w:val="14593E5B"/>
    <w:rsid w:val="170379DD"/>
    <w:rsid w:val="176605B0"/>
    <w:rsid w:val="17FE46FF"/>
    <w:rsid w:val="17FF1FAC"/>
    <w:rsid w:val="18050FE4"/>
    <w:rsid w:val="1BD10242"/>
    <w:rsid w:val="1EF31F40"/>
    <w:rsid w:val="20B307D8"/>
    <w:rsid w:val="22CF47DA"/>
    <w:rsid w:val="24A50EE2"/>
    <w:rsid w:val="270B7C40"/>
    <w:rsid w:val="28F46F63"/>
    <w:rsid w:val="290469A0"/>
    <w:rsid w:val="29050318"/>
    <w:rsid w:val="30DC2394"/>
    <w:rsid w:val="30F07989"/>
    <w:rsid w:val="3509160C"/>
    <w:rsid w:val="37A728DD"/>
    <w:rsid w:val="406B6964"/>
    <w:rsid w:val="417D23A0"/>
    <w:rsid w:val="47AC742C"/>
    <w:rsid w:val="4D5F40EA"/>
    <w:rsid w:val="4FB33DCF"/>
    <w:rsid w:val="503E25D3"/>
    <w:rsid w:val="539C233F"/>
    <w:rsid w:val="544B5B8D"/>
    <w:rsid w:val="546450F4"/>
    <w:rsid w:val="5838097A"/>
    <w:rsid w:val="5D692BAD"/>
    <w:rsid w:val="5D9C6C01"/>
    <w:rsid w:val="5E793CBD"/>
    <w:rsid w:val="60842988"/>
    <w:rsid w:val="639D7C41"/>
    <w:rsid w:val="65165EBD"/>
    <w:rsid w:val="6609531F"/>
    <w:rsid w:val="66C21972"/>
    <w:rsid w:val="6ACE0EE2"/>
    <w:rsid w:val="6D106CA5"/>
    <w:rsid w:val="6D6629F0"/>
    <w:rsid w:val="72AF7B03"/>
    <w:rsid w:val="73F04D89"/>
    <w:rsid w:val="75ED6A74"/>
    <w:rsid w:val="793520F1"/>
    <w:rsid w:val="7BD571D5"/>
    <w:rsid w:val="7FD5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1937</Words>
  <Characters>2018</Characters>
  <Lines>15</Lines>
  <Paragraphs>4</Paragraphs>
  <TotalTime>168</TotalTime>
  <ScaleCrop>false</ScaleCrop>
  <LinksUpToDate>false</LinksUpToDate>
  <CharactersWithSpaces>2092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2020-03-31T00:07:00Z</dcterms:created>
  <dc:creator>MyPC</dc:creator>
  <cp:lastModifiedBy>lyf</cp:lastModifiedBy>
  <cp:lastPrinted>2022-06-10T01:51:00Z</cp:lastPrinted>
  <dcterms:modified xsi:type="dcterms:W3CDTF">2022-08-04T07:41:19Z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7C235EBBF12C48FDB7893BE057F8A8FA</vt:lpwstr>
  </property>
</Properties>
</file>