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iCs/>
          <w:color w:val="000000"/>
          <w:sz w:val="24"/>
        </w:rPr>
      </w:pPr>
      <w:r>
        <w:rPr>
          <w:rFonts w:hint="eastAsia" w:ascii="宋体" w:hAnsi="宋体"/>
          <w:bCs/>
          <w:iCs/>
          <w:color w:val="000000"/>
          <w:sz w:val="24"/>
        </w:rPr>
        <w:t xml:space="preserve">证券代码：600105                                 证券简称：永鼎股份           </w:t>
      </w:r>
    </w:p>
    <w:p>
      <w:pPr>
        <w:spacing w:before="156" w:beforeLines="50" w:line="360" w:lineRule="auto"/>
        <w:jc w:val="center"/>
        <w:rPr>
          <w:rFonts w:ascii="黑体" w:hAnsi="黑体" w:eastAsia="黑体" w:cs="黑体"/>
          <w:b/>
          <w:bCs/>
          <w:iCs/>
          <w:color w:val="000000"/>
          <w:sz w:val="36"/>
          <w:szCs w:val="36"/>
        </w:rPr>
      </w:pPr>
      <w:r>
        <w:rPr>
          <w:rFonts w:hint="eastAsia" w:ascii="黑体" w:hAnsi="黑体" w:eastAsia="黑体" w:cs="黑体"/>
          <w:b/>
          <w:bCs/>
          <w:iCs/>
          <w:color w:val="000000"/>
          <w:sz w:val="36"/>
          <w:szCs w:val="36"/>
        </w:rPr>
        <w:t>江苏永鼎股份有限公司投资者关系活动记录表</w:t>
      </w:r>
    </w:p>
    <w:p>
      <w:pPr>
        <w:spacing w:before="156" w:beforeLines="50" w:line="360" w:lineRule="auto"/>
        <w:jc w:val="right"/>
        <w:rPr>
          <w:rFonts w:ascii="宋体" w:hAnsi="宋体" w:cs="宋体"/>
          <w:iCs/>
          <w:color w:val="000000"/>
          <w:sz w:val="24"/>
        </w:rPr>
      </w:pPr>
      <w:r>
        <w:rPr>
          <w:rFonts w:hint="eastAsia" w:ascii="宋体" w:hAnsi="宋体" w:cs="宋体"/>
          <w:iCs/>
          <w:color w:val="000000"/>
          <w:sz w:val="24"/>
        </w:rPr>
        <w:t>编号：2022</w:t>
      </w:r>
      <w:r>
        <w:rPr>
          <w:rFonts w:ascii="宋体" w:hAnsi="宋体" w:cs="宋体"/>
          <w:iCs/>
          <w:color w:val="000000"/>
          <w:sz w:val="24"/>
        </w:rPr>
        <w:t>080</w:t>
      </w:r>
      <w:r>
        <w:rPr>
          <w:rFonts w:hint="eastAsia" w:ascii="宋体" w:hAnsi="宋体" w:cs="宋体"/>
          <w:iCs/>
          <w:color w:val="000000"/>
          <w:sz w:val="24"/>
        </w:rPr>
        <w:t>9</w:t>
      </w:r>
    </w:p>
    <w:tbl>
      <w:tblPr>
        <w:tblStyle w:val="5"/>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2"/>
        <w:gridCol w:w="7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vAlign w:val="center"/>
          </w:tcPr>
          <w:p>
            <w:pPr>
              <w:spacing w:before="156" w:beforeLines="50" w:after="156" w:afterLines="50" w:line="400" w:lineRule="exact"/>
              <w:jc w:val="center"/>
              <w:rPr>
                <w:rFonts w:ascii="宋体" w:hAnsi="宋体"/>
                <w:bCs/>
                <w:iCs/>
                <w:color w:val="000000"/>
                <w:sz w:val="24"/>
              </w:rPr>
            </w:pPr>
            <w:r>
              <w:rPr>
                <w:rFonts w:hint="eastAsia" w:ascii="宋体" w:hAnsi="宋体"/>
                <w:bCs/>
                <w:iCs/>
                <w:color w:val="000000"/>
                <w:sz w:val="24"/>
              </w:rPr>
              <w:t>投资者关系活动类别</w:t>
            </w:r>
          </w:p>
        </w:tc>
        <w:tc>
          <w:tcPr>
            <w:tcW w:w="7275" w:type="dxa"/>
          </w:tcPr>
          <w:p>
            <w:pPr>
              <w:spacing w:line="480" w:lineRule="atLeast"/>
              <w:jc w:val="left"/>
              <w:rPr>
                <w:rFonts w:ascii="宋体" w:hAnsi="宋体"/>
                <w:bCs/>
                <w:iCs/>
                <w:color w:val="000000"/>
                <w:sz w:val="24"/>
              </w:rPr>
            </w:pPr>
            <w:r>
              <w:rPr>
                <w:rFonts w:hint="eastAsia" w:ascii="宋体" w:hAnsi="宋体"/>
                <w:bCs/>
                <w:iCs/>
                <w:color w:val="000000"/>
                <w:sz w:val="24"/>
              </w:rPr>
              <w:sym w:font="Wingdings 2" w:char="0052"/>
            </w:r>
            <w:r>
              <w:rPr>
                <w:rFonts w:hint="eastAsia" w:ascii="宋体" w:hAnsi="宋体"/>
                <w:bCs/>
                <w:iCs/>
                <w:color w:val="000000"/>
                <w:sz w:val="24"/>
              </w:rPr>
              <w:t xml:space="preserve">特定对象调研   </w:t>
            </w:r>
            <w:r>
              <w:rPr>
                <w:rFonts w:hint="eastAsia" w:ascii="宋体" w:hAnsi="宋体"/>
                <w:bCs/>
                <w:iCs/>
                <w:color w:val="000000"/>
                <w:sz w:val="24"/>
              </w:rPr>
              <w:sym w:font="Wingdings 2" w:char="F0A3"/>
            </w:r>
            <w:r>
              <w:rPr>
                <w:rFonts w:hint="eastAsia" w:ascii="宋体" w:hAnsi="宋体"/>
                <w:bCs/>
                <w:iCs/>
                <w:color w:val="000000"/>
                <w:sz w:val="24"/>
              </w:rPr>
              <w:t xml:space="preserve">分析师会议  </w:t>
            </w:r>
            <w:r>
              <w:rPr>
                <w:rFonts w:hint="eastAsia" w:ascii="宋体" w:hAnsi="宋体"/>
                <w:bCs/>
                <w:iCs/>
                <w:color w:val="000000"/>
                <w:sz w:val="24"/>
              </w:rPr>
              <w:sym w:font="Wingdings 2" w:char="F0A3"/>
            </w:r>
            <w:r>
              <w:rPr>
                <w:rFonts w:hint="eastAsia" w:ascii="宋体" w:hAnsi="宋体"/>
                <w:bCs/>
                <w:iCs/>
                <w:color w:val="000000"/>
                <w:sz w:val="24"/>
              </w:rPr>
              <w:t xml:space="preserve">媒体采访   </w:t>
            </w:r>
            <w:r>
              <w:rPr>
                <w:rFonts w:hint="eastAsia" w:ascii="宋体" w:hAnsi="宋体"/>
                <w:bCs/>
                <w:iCs/>
                <w:color w:val="000000"/>
                <w:sz w:val="24"/>
              </w:rPr>
              <w:sym w:font="Wingdings 2" w:char="00A3"/>
            </w:r>
            <w:r>
              <w:rPr>
                <w:rFonts w:hint="eastAsia" w:ascii="宋体" w:hAnsi="宋体"/>
                <w:bCs/>
                <w:iCs/>
                <w:color w:val="000000"/>
                <w:sz w:val="24"/>
              </w:rPr>
              <w:t>业绩说明会</w:t>
            </w:r>
          </w:p>
          <w:p>
            <w:pPr>
              <w:spacing w:line="480" w:lineRule="atLeast"/>
              <w:rPr>
                <w:rFonts w:ascii="宋体" w:hAnsi="宋体"/>
                <w:bCs/>
                <w:iCs/>
                <w:color w:val="000000"/>
                <w:sz w:val="24"/>
              </w:rPr>
            </w:pPr>
            <w:r>
              <w:rPr>
                <w:rFonts w:hint="eastAsia" w:ascii="宋体" w:hAnsi="宋体"/>
                <w:bCs/>
                <w:iCs/>
                <w:color w:val="000000"/>
                <w:sz w:val="24"/>
              </w:rPr>
              <w:sym w:font="Wingdings 2" w:char="F0A3"/>
            </w:r>
            <w:r>
              <w:rPr>
                <w:rFonts w:hint="eastAsia" w:ascii="宋体" w:hAnsi="宋体"/>
                <w:bCs/>
                <w:iCs/>
                <w:color w:val="000000"/>
                <w:sz w:val="24"/>
              </w:rPr>
              <w:t xml:space="preserve">新闻发布会     </w:t>
            </w:r>
            <w:r>
              <w:rPr>
                <w:rFonts w:hint="eastAsia" w:ascii="宋体" w:hAnsi="宋体"/>
                <w:bCs/>
                <w:iCs/>
                <w:color w:val="000000"/>
                <w:sz w:val="24"/>
              </w:rPr>
              <w:sym w:font="Wingdings 2" w:char="00A3"/>
            </w:r>
            <w:r>
              <w:rPr>
                <w:rFonts w:hint="eastAsia" w:ascii="宋体" w:hAnsi="宋体"/>
                <w:bCs/>
                <w:iCs/>
                <w:color w:val="000000"/>
                <w:sz w:val="24"/>
              </w:rPr>
              <w:t xml:space="preserve">路演活动    </w:t>
            </w:r>
            <w:r>
              <w:rPr>
                <w:rFonts w:hint="eastAsia" w:ascii="宋体" w:hAnsi="宋体"/>
                <w:bCs/>
                <w:iCs/>
                <w:color w:val="000000"/>
                <w:sz w:val="24"/>
              </w:rPr>
              <w:sym w:font="Wingdings 2" w:char="F0A3"/>
            </w:r>
            <w:r>
              <w:rPr>
                <w:rFonts w:hint="eastAsia" w:ascii="宋体" w:hAnsi="宋体"/>
                <w:bCs/>
                <w:iCs/>
                <w:color w:val="000000"/>
                <w:sz w:val="24"/>
              </w:rPr>
              <w:t xml:space="preserve">现场参观   </w:t>
            </w:r>
            <w:r>
              <w:rPr>
                <w:rFonts w:hint="eastAsia" w:ascii="宋体" w:hAnsi="宋体"/>
                <w:bCs/>
                <w:iCs/>
                <w:color w:val="000000"/>
                <w:sz w:val="24"/>
              </w:rPr>
              <w:sym w:font="Wingdings 2" w:char="F0A3"/>
            </w:r>
            <w:r>
              <w:rPr>
                <w:rFonts w:hint="eastAsia" w:ascii="宋体" w:hAnsi="宋体"/>
                <w:bCs/>
                <w:iCs/>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vAlign w:val="center"/>
          </w:tcPr>
          <w:p>
            <w:pPr>
              <w:jc w:val="center"/>
              <w:rPr>
                <w:rFonts w:ascii="宋体" w:hAnsi="宋体"/>
                <w:bCs/>
                <w:iCs/>
                <w:color w:val="000000"/>
                <w:sz w:val="24"/>
              </w:rPr>
            </w:pPr>
            <w:r>
              <w:rPr>
                <w:rFonts w:hint="eastAsia" w:ascii="宋体" w:hAnsi="宋体"/>
                <w:bCs/>
                <w:iCs/>
                <w:color w:val="000000"/>
                <w:sz w:val="24"/>
              </w:rPr>
              <w:t>参与人员</w:t>
            </w:r>
          </w:p>
        </w:tc>
        <w:tc>
          <w:tcPr>
            <w:tcW w:w="7275" w:type="dxa"/>
          </w:tcPr>
          <w:p>
            <w:pPr>
              <w:spacing w:line="360" w:lineRule="auto"/>
              <w:rPr>
                <w:rFonts w:ascii="宋体" w:hAnsi="宋体" w:cs="宋体"/>
                <w:color w:val="000000"/>
                <w:kern w:val="0"/>
                <w:sz w:val="24"/>
              </w:rPr>
            </w:pPr>
            <w:r>
              <w:rPr>
                <w:rFonts w:hint="eastAsia" w:ascii="宋体" w:hAnsi="宋体" w:cs="宋体"/>
                <w:color w:val="000000"/>
                <w:kern w:val="0"/>
                <w:sz w:val="24"/>
              </w:rPr>
              <w:t xml:space="preserve">民生证券 于一铭   中金公司 李诗雯、郑欣怡  </w:t>
            </w:r>
          </w:p>
          <w:p>
            <w:pPr>
              <w:spacing w:line="360" w:lineRule="auto"/>
              <w:rPr>
                <w:rFonts w:ascii="宋体" w:hAnsi="宋体" w:cs="宋体"/>
                <w:color w:val="000000"/>
                <w:kern w:val="0"/>
                <w:sz w:val="24"/>
              </w:rPr>
            </w:pPr>
            <w:r>
              <w:rPr>
                <w:rFonts w:hint="eastAsia" w:ascii="宋体" w:hAnsi="宋体" w:cs="宋体"/>
                <w:color w:val="000000"/>
                <w:kern w:val="0"/>
                <w:sz w:val="24"/>
              </w:rPr>
              <w:t xml:space="preserve">华泰证券 王  兴   西部证券 王艺伟、王思宬 </w:t>
            </w:r>
          </w:p>
          <w:p>
            <w:pPr>
              <w:spacing w:line="360" w:lineRule="auto"/>
              <w:rPr>
                <w:rFonts w:ascii="宋体" w:hAnsi="宋体" w:cs="宋体"/>
                <w:color w:val="000000"/>
                <w:kern w:val="0"/>
                <w:sz w:val="24"/>
              </w:rPr>
            </w:pPr>
            <w:r>
              <w:rPr>
                <w:rFonts w:hint="eastAsia" w:ascii="宋体" w:hAnsi="宋体" w:cs="宋体"/>
                <w:color w:val="000000"/>
                <w:kern w:val="0"/>
                <w:sz w:val="24"/>
              </w:rPr>
              <w:t>Expeta   丁  宁   磐泽资产 马宇腾   华宝基金 袁子杰</w:t>
            </w:r>
          </w:p>
          <w:p>
            <w:pPr>
              <w:spacing w:line="360" w:lineRule="auto"/>
              <w:rPr>
                <w:rFonts w:ascii="宋体" w:hAnsi="宋体" w:cs="宋体"/>
                <w:color w:val="000000"/>
                <w:kern w:val="0"/>
                <w:sz w:val="24"/>
              </w:rPr>
            </w:pPr>
            <w:r>
              <w:rPr>
                <w:rFonts w:hint="eastAsia" w:ascii="宋体" w:hAnsi="宋体" w:cs="宋体"/>
                <w:color w:val="000000"/>
                <w:kern w:val="0"/>
                <w:sz w:val="24"/>
              </w:rPr>
              <w:t xml:space="preserve">泰旸资产 袁均城   </w:t>
            </w:r>
            <w:r>
              <w:rPr>
                <w:rFonts w:ascii="宋体" w:hAnsi="宋体" w:cs="宋体"/>
                <w:color w:val="000000"/>
                <w:kern w:val="0"/>
                <w:sz w:val="24"/>
              </w:rPr>
              <w:t>同犇投资</w:t>
            </w:r>
            <w:r>
              <w:rPr>
                <w:rFonts w:hint="eastAsia" w:ascii="宋体" w:hAnsi="宋体" w:cs="宋体"/>
                <w:color w:val="000000"/>
                <w:kern w:val="0"/>
                <w:sz w:val="24"/>
              </w:rPr>
              <w:t xml:space="preserve"> 李智琪   惠升基金 彭柏文</w:t>
            </w:r>
          </w:p>
          <w:p>
            <w:pPr>
              <w:spacing w:line="360" w:lineRule="auto"/>
              <w:rPr>
                <w:rFonts w:ascii="宋体" w:hAnsi="宋体" w:cs="宋体"/>
                <w:color w:val="000000"/>
                <w:kern w:val="0"/>
                <w:sz w:val="24"/>
              </w:rPr>
            </w:pPr>
            <w:r>
              <w:rPr>
                <w:rFonts w:hint="eastAsia" w:ascii="宋体" w:hAnsi="宋体" w:cs="宋体"/>
                <w:color w:val="000000"/>
                <w:kern w:val="0"/>
                <w:sz w:val="24"/>
              </w:rPr>
              <w:t xml:space="preserve">中信建投 高庆勇   </w:t>
            </w:r>
            <w:r>
              <w:rPr>
                <w:rFonts w:ascii="宋体" w:hAnsi="宋体" w:cs="宋体"/>
                <w:color w:val="000000"/>
                <w:kern w:val="0"/>
                <w:sz w:val="24"/>
              </w:rPr>
              <w:t>华安证券</w:t>
            </w:r>
            <w:r>
              <w:rPr>
                <w:rFonts w:hint="eastAsia" w:ascii="宋体" w:hAnsi="宋体" w:cs="宋体"/>
                <w:color w:val="000000"/>
                <w:kern w:val="0"/>
                <w:sz w:val="24"/>
              </w:rPr>
              <w:t xml:space="preserve"> 李元晨   韶夏资本 徐  威</w:t>
            </w:r>
          </w:p>
          <w:p>
            <w:pPr>
              <w:spacing w:line="360" w:lineRule="auto"/>
              <w:rPr>
                <w:rFonts w:ascii="宋体" w:hAnsi="宋体" w:cs="宋体"/>
                <w:color w:val="000000"/>
                <w:kern w:val="0"/>
                <w:sz w:val="24"/>
              </w:rPr>
            </w:pPr>
            <w:r>
              <w:rPr>
                <w:rFonts w:hint="eastAsia" w:ascii="宋体" w:hAnsi="宋体" w:cs="宋体"/>
                <w:color w:val="000000"/>
                <w:kern w:val="0"/>
                <w:sz w:val="24"/>
              </w:rPr>
              <w:t xml:space="preserve">高申资本 李静文   </w:t>
            </w:r>
            <w:r>
              <w:rPr>
                <w:rFonts w:ascii="宋体" w:hAnsi="宋体" w:cs="宋体"/>
                <w:color w:val="000000"/>
                <w:kern w:val="0"/>
                <w:sz w:val="24"/>
              </w:rPr>
              <w:t>国联安基金</w:t>
            </w:r>
            <w:r>
              <w:rPr>
                <w:rFonts w:hint="eastAsia" w:ascii="宋体" w:hAnsi="宋体" w:cs="宋体"/>
                <w:color w:val="000000"/>
                <w:kern w:val="0"/>
                <w:sz w:val="24"/>
              </w:rPr>
              <w:t xml:space="preserve"> 吴畏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tcPr>
          <w:p>
            <w:pPr>
              <w:spacing w:line="360" w:lineRule="auto"/>
              <w:jc w:val="center"/>
              <w:rPr>
                <w:rFonts w:ascii="宋体" w:hAnsi="宋体"/>
                <w:bCs/>
                <w:iCs/>
                <w:color w:val="000000"/>
                <w:sz w:val="24"/>
              </w:rPr>
            </w:pPr>
            <w:r>
              <w:rPr>
                <w:rFonts w:hint="eastAsia" w:ascii="宋体" w:hAnsi="宋体"/>
                <w:bCs/>
                <w:iCs/>
                <w:color w:val="000000"/>
                <w:sz w:val="24"/>
              </w:rPr>
              <w:t>时间</w:t>
            </w:r>
          </w:p>
        </w:tc>
        <w:tc>
          <w:tcPr>
            <w:tcW w:w="7275" w:type="dxa"/>
          </w:tcPr>
          <w:p>
            <w:pPr>
              <w:spacing w:line="360" w:lineRule="auto"/>
              <w:rPr>
                <w:rFonts w:ascii="宋体" w:hAnsi="宋体"/>
                <w:bCs/>
                <w:iCs/>
                <w:color w:val="000000"/>
                <w:sz w:val="24"/>
              </w:rPr>
            </w:pPr>
            <w:r>
              <w:rPr>
                <w:rFonts w:hint="eastAsia" w:ascii="宋体" w:hAnsi="宋体"/>
                <w:bCs/>
                <w:iCs/>
                <w:color w:val="000000"/>
                <w:sz w:val="24"/>
              </w:rPr>
              <w:t>2022年</w:t>
            </w:r>
            <w:r>
              <w:rPr>
                <w:rFonts w:ascii="宋体" w:hAnsi="宋体"/>
                <w:bCs/>
                <w:iCs/>
                <w:color w:val="000000"/>
                <w:sz w:val="24"/>
              </w:rPr>
              <w:t>8</w:t>
            </w:r>
            <w:r>
              <w:rPr>
                <w:rFonts w:hint="eastAsia" w:ascii="宋体" w:hAnsi="宋体"/>
                <w:bCs/>
                <w:iCs/>
                <w:color w:val="000000"/>
                <w:sz w:val="24"/>
              </w:rPr>
              <w:t>月8日、8月9日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tcPr>
          <w:p>
            <w:pPr>
              <w:spacing w:line="360" w:lineRule="auto"/>
              <w:jc w:val="center"/>
              <w:rPr>
                <w:rFonts w:ascii="宋体" w:hAnsi="宋体"/>
                <w:bCs/>
                <w:iCs/>
                <w:color w:val="000000"/>
                <w:sz w:val="24"/>
              </w:rPr>
            </w:pPr>
            <w:r>
              <w:rPr>
                <w:rFonts w:hint="eastAsia" w:ascii="宋体" w:hAnsi="宋体"/>
                <w:bCs/>
                <w:iCs/>
                <w:color w:val="000000"/>
                <w:sz w:val="24"/>
              </w:rPr>
              <w:t>地点</w:t>
            </w:r>
          </w:p>
        </w:tc>
        <w:tc>
          <w:tcPr>
            <w:tcW w:w="7275" w:type="dxa"/>
          </w:tcPr>
          <w:p>
            <w:pPr>
              <w:spacing w:line="360" w:lineRule="auto"/>
              <w:rPr>
                <w:rFonts w:ascii="宋体" w:hAnsi="宋体"/>
                <w:bCs/>
                <w:iCs/>
                <w:color w:val="000000"/>
                <w:sz w:val="24"/>
              </w:rPr>
            </w:pPr>
            <w:r>
              <w:rPr>
                <w:rFonts w:hint="eastAsia" w:ascii="Arial" w:hAnsi="Arial" w:cs="Arial"/>
                <w:sz w:val="24"/>
              </w:rPr>
              <w:t>公司总部二楼会议室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vAlign w:val="center"/>
          </w:tcPr>
          <w:p>
            <w:pPr>
              <w:jc w:val="center"/>
              <w:rPr>
                <w:rFonts w:ascii="宋体" w:hAnsi="宋体"/>
                <w:bCs/>
                <w:iCs/>
                <w:color w:val="000000"/>
                <w:sz w:val="24"/>
              </w:rPr>
            </w:pPr>
            <w:r>
              <w:rPr>
                <w:rFonts w:hint="eastAsia" w:ascii="宋体" w:hAnsi="宋体"/>
                <w:bCs/>
                <w:iCs/>
                <w:color w:val="000000"/>
                <w:sz w:val="24"/>
              </w:rPr>
              <w:t>上市公司接待人员姓名</w:t>
            </w:r>
          </w:p>
        </w:tc>
        <w:tc>
          <w:tcPr>
            <w:tcW w:w="7275" w:type="dxa"/>
            <w:vAlign w:val="center"/>
          </w:tcPr>
          <w:p>
            <w:pPr>
              <w:spacing w:line="360" w:lineRule="auto"/>
              <w:rPr>
                <w:rFonts w:ascii="宋体" w:hAnsi="宋体"/>
                <w:bCs/>
                <w:sz w:val="24"/>
              </w:rPr>
            </w:pPr>
            <w:r>
              <w:rPr>
                <w:rFonts w:hint="eastAsia" w:ascii="宋体" w:hAnsi="宋体"/>
                <w:bCs/>
                <w:sz w:val="24"/>
              </w:rPr>
              <w:t>永鼎股份 董事/副总经理/董秘：张国栋</w:t>
            </w:r>
          </w:p>
          <w:p>
            <w:pPr>
              <w:spacing w:line="360" w:lineRule="auto"/>
              <w:rPr>
                <w:rFonts w:ascii="宋体" w:hAnsi="宋体"/>
                <w:bCs/>
                <w:sz w:val="24"/>
              </w:rPr>
            </w:pPr>
            <w:r>
              <w:rPr>
                <w:rFonts w:hint="eastAsia" w:ascii="宋体" w:hAnsi="宋体"/>
                <w:bCs/>
                <w:sz w:val="24"/>
              </w:rPr>
              <w:t>永鼎股份 证券事务代表：陈海娟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1762" w:type="dxa"/>
            <w:vAlign w:val="center"/>
          </w:tcPr>
          <w:p>
            <w:pPr>
              <w:spacing w:line="480" w:lineRule="atLeast"/>
              <w:jc w:val="center"/>
              <w:rPr>
                <w:rFonts w:ascii="宋体" w:hAnsi="宋体"/>
                <w:bCs/>
                <w:iCs/>
                <w:color w:val="000000"/>
                <w:sz w:val="24"/>
              </w:rPr>
            </w:pPr>
            <w:r>
              <w:rPr>
                <w:sz w:val="24"/>
              </w:rPr>
              <w:t>投资者关系活动主要内容介绍</w:t>
            </w:r>
          </w:p>
        </w:tc>
        <w:tc>
          <w:tcPr>
            <w:tcW w:w="7275" w:type="dxa"/>
            <w:vAlign w:val="center"/>
          </w:tcPr>
          <w:p>
            <w:pPr>
              <w:spacing w:line="300" w:lineRule="auto"/>
              <w:ind w:firstLine="482" w:firstLineChars="200"/>
              <w:rPr>
                <w:rFonts w:asciiTheme="minorEastAsia" w:hAnsiTheme="minorEastAsia" w:eastAsiaTheme="minorEastAsia"/>
                <w:b/>
                <w:bCs/>
                <w:sz w:val="24"/>
              </w:rPr>
            </w:pPr>
            <w:r>
              <w:rPr>
                <w:rFonts w:hint="eastAsia" w:cs="Arial" w:asciiTheme="minorEastAsia" w:hAnsiTheme="minorEastAsia" w:eastAsiaTheme="minorEastAsia"/>
                <w:b/>
                <w:bCs/>
                <w:sz w:val="24"/>
              </w:rPr>
              <w:t>一</w:t>
            </w:r>
            <w:r>
              <w:rPr>
                <w:rFonts w:cs="Arial" w:asciiTheme="minorEastAsia" w:hAnsiTheme="minorEastAsia" w:eastAsiaTheme="minorEastAsia"/>
                <w:b/>
                <w:bCs/>
                <w:sz w:val="24"/>
              </w:rPr>
              <w:t>、</w:t>
            </w:r>
            <w:r>
              <w:rPr>
                <w:rFonts w:hint="eastAsia" w:asciiTheme="minorEastAsia" w:hAnsiTheme="minorEastAsia" w:eastAsiaTheme="minorEastAsia"/>
                <w:b/>
                <w:bCs/>
                <w:sz w:val="24"/>
              </w:rPr>
              <w:t>介绍公司基本情况：</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cstheme="minorEastAsia"/>
                <w:sz w:val="24"/>
              </w:rPr>
              <w:t>公司于1994年成立，1997年成为国内光缆行业首家民营上市公司。经过数十年持续发展，目前已形成 “光电交融、协同发展”的战略格局，业务覆盖光通信和电力传输两大领域。</w:t>
            </w:r>
            <w:r>
              <w:rPr>
                <w:rFonts w:hint="eastAsia" w:asciiTheme="minorEastAsia" w:hAnsiTheme="minorEastAsia" w:eastAsiaTheme="minorEastAsia"/>
                <w:sz w:val="24"/>
              </w:rPr>
              <w:t>光通信产业立足“光棒、光纤、光缆”等网络基础通信产品，延伸光芯片、光器件、光模块等产品及大数据采集分析应用与信息服务</w:t>
            </w:r>
            <w:r>
              <w:rPr>
                <w:rFonts w:asciiTheme="minorEastAsia" w:hAnsiTheme="minorEastAsia" w:eastAsiaTheme="minorEastAsia"/>
                <w:sz w:val="24"/>
              </w:rPr>
              <w:t>，逐步实现从芯到线到设备传输到数据收集的产业布局</w:t>
            </w:r>
            <w:r>
              <w:rPr>
                <w:rFonts w:hint="eastAsia" w:asciiTheme="minorEastAsia" w:hAnsiTheme="minorEastAsia" w:eastAsiaTheme="minorEastAsia"/>
                <w:sz w:val="24"/>
              </w:rPr>
              <w:t>；电力传输产业包含电缆、特缆、EPC电力工程、超导电力和汽车线束等业务，统筹布局，形成“电线电缆—汽车线束—超导电力—海外电力工程”协同发展的产业格局。</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021</w:t>
            </w:r>
            <w:r>
              <w:rPr>
                <w:rFonts w:hint="eastAsia" w:asciiTheme="minorEastAsia" w:hAnsiTheme="minorEastAsia" w:eastAsiaTheme="minorEastAsia"/>
                <w:sz w:val="24"/>
              </w:rPr>
              <w:t>年，公司在做强做专传统业务的同时，积极布局光芯片、光器件、数据中心互联以及海底电缆等新产业，业务结构进一步优化。</w:t>
            </w:r>
            <w:r>
              <w:rPr>
                <w:rFonts w:hint="eastAsia" w:asciiTheme="minorEastAsia" w:hAnsiTheme="minorEastAsia" w:eastAsiaTheme="minorEastAsia" w:cstheme="minorEastAsia"/>
                <w:sz w:val="24"/>
              </w:rPr>
              <w:t>光通信领域，</w:t>
            </w:r>
            <w:r>
              <w:rPr>
                <w:rFonts w:hint="eastAsia" w:asciiTheme="minorEastAsia" w:hAnsiTheme="minorEastAsia" w:eastAsiaTheme="minorEastAsia"/>
                <w:sz w:val="24"/>
              </w:rPr>
              <w:t>公司光纤光缆业务主动调整销售结构，增加非运营商和海外市场的开拓力度，取得显著成效，同时从各大运营商还有中国广电的招标价格来看，光通信行业有明显复苏迹象</w:t>
            </w:r>
            <w:r>
              <w:rPr>
                <w:rFonts w:hint="eastAsia" w:asciiTheme="minorEastAsia" w:hAnsiTheme="minorEastAsia" w:eastAsiaTheme="minorEastAsia" w:cstheme="minorEastAsia"/>
                <w:sz w:val="24"/>
              </w:rPr>
              <w:t>；光芯片、光器件、光模块、DCI子系统已初步形成完整业务链条。电力传输领域，</w:t>
            </w:r>
            <w:r>
              <w:rPr>
                <w:rFonts w:hint="eastAsia" w:asciiTheme="minorEastAsia" w:hAnsiTheme="minorEastAsia" w:eastAsiaTheme="minorEastAsia"/>
                <w:sz w:val="24"/>
              </w:rPr>
              <w:t>海外工程业务经历疫情等众多不利因素冲击后，公司快速适应调整，开工建设孟加拉国家电网升级改造项目，实现盈利能力重新企稳，并加大市场开拓力度，积极争取新项目储备</w:t>
            </w:r>
            <w:r>
              <w:rPr>
                <w:rFonts w:hint="eastAsia" w:asciiTheme="minorEastAsia" w:hAnsiTheme="minorEastAsia" w:eastAsiaTheme="minorEastAsia" w:cstheme="minorEastAsia"/>
                <w:sz w:val="24"/>
              </w:rPr>
              <w:t>；电线电缆业务在高端细分市场发力，产销量均有较大提升；汽车线束业务稳中向好，部分新项目线束逐步量产，新能源汽车线束取得突破，并争取到部分新能源项目开发业务；高温超导业务技术领先，产业化应用曙光初现。同时，公司保持高强度的技术创新投入与“智改数转”投入，运营效率与经营质量得到进一步提升。</w:t>
            </w:r>
          </w:p>
          <w:p>
            <w:pPr>
              <w:spacing w:line="300" w:lineRule="auto"/>
              <w:ind w:firstLine="482" w:firstLineChars="200"/>
              <w:rPr>
                <w:rFonts w:asciiTheme="minorEastAsia" w:hAnsiTheme="minorEastAsia" w:eastAsiaTheme="minorEastAsia"/>
                <w:bCs/>
                <w:sz w:val="24"/>
              </w:rPr>
            </w:pPr>
            <w:r>
              <w:rPr>
                <w:rFonts w:hint="eastAsia" w:asciiTheme="minorEastAsia" w:hAnsiTheme="minorEastAsia" w:eastAsiaTheme="minorEastAsia"/>
                <w:b/>
                <w:bCs/>
                <w:sz w:val="24"/>
              </w:rPr>
              <w:t>二、投资者提问交流</w:t>
            </w:r>
          </w:p>
          <w:p>
            <w:pPr>
              <w:spacing w:line="360" w:lineRule="auto"/>
              <w:ind w:firstLine="482" w:firstLineChars="200"/>
              <w:rPr>
                <w:rFonts w:hint="eastAsia" w:asciiTheme="majorEastAsia" w:hAnsiTheme="majorEastAsia" w:eastAsiaTheme="majorEastAsia"/>
                <w:b/>
                <w:sz w:val="24"/>
              </w:rPr>
            </w:pPr>
            <w:r>
              <w:rPr>
                <w:rFonts w:hint="eastAsia" w:asciiTheme="minorEastAsia" w:hAnsiTheme="minorEastAsia" w:eastAsiaTheme="minorEastAsia"/>
                <w:b/>
                <w:sz w:val="24"/>
              </w:rPr>
              <w:t>1、</w:t>
            </w:r>
            <w:r>
              <w:rPr>
                <w:rFonts w:hint="eastAsia" w:asciiTheme="majorEastAsia" w:hAnsiTheme="majorEastAsia" w:eastAsiaTheme="majorEastAsia"/>
                <w:b/>
                <w:sz w:val="24"/>
              </w:rPr>
              <w:t>请介绍下贵公司汽车线束的市场地位及竞争优势。</w:t>
            </w:r>
          </w:p>
          <w:p>
            <w:pPr>
              <w:spacing w:line="360" w:lineRule="auto"/>
              <w:ind w:firstLine="480" w:firstLineChars="200"/>
              <w:rPr>
                <w:rFonts w:hint="eastAsia" w:asciiTheme="majorEastAsia" w:hAnsiTheme="majorEastAsia" w:eastAsiaTheme="majorEastAsia"/>
                <w:sz w:val="24"/>
              </w:rPr>
            </w:pPr>
            <w:r>
              <w:rPr>
                <w:rFonts w:asciiTheme="majorEastAsia" w:hAnsiTheme="majorEastAsia" w:eastAsiaTheme="majorEastAsia"/>
                <w:sz w:val="24"/>
              </w:rPr>
              <w:t>汽车线束作为一辆整车不可或缺的组成部分，经过多年的发展，国内线束市场已经非常成熟。金亭</w:t>
            </w:r>
            <w:r>
              <w:rPr>
                <w:rFonts w:hint="eastAsia" w:asciiTheme="majorEastAsia" w:hAnsiTheme="majorEastAsia" w:eastAsiaTheme="majorEastAsia"/>
                <w:sz w:val="24"/>
              </w:rPr>
              <w:t>线束</w:t>
            </w:r>
            <w:r>
              <w:rPr>
                <w:rFonts w:asciiTheme="majorEastAsia" w:hAnsiTheme="majorEastAsia" w:eastAsiaTheme="majorEastAsia"/>
                <w:sz w:val="24"/>
              </w:rPr>
              <w:t>从1997年成立，经过20多年的发展，在线束设计、自动化信息化生产、资源整合等多方面的综合实力</w:t>
            </w:r>
            <w:r>
              <w:rPr>
                <w:rFonts w:hint="eastAsia" w:asciiTheme="majorEastAsia" w:hAnsiTheme="majorEastAsia" w:eastAsiaTheme="majorEastAsia"/>
                <w:sz w:val="24"/>
              </w:rPr>
              <w:t>均</w:t>
            </w:r>
            <w:r>
              <w:rPr>
                <w:rFonts w:asciiTheme="majorEastAsia" w:hAnsiTheme="majorEastAsia" w:eastAsiaTheme="majorEastAsia"/>
                <w:sz w:val="24"/>
              </w:rPr>
              <w:t>非常明显。</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2、公司汽车线束业务中传统和新能源汽车线束产能分布情况？</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目前，公司新能源汽车线束业务收入占比持续提升，汽车线束业务板块盈利能力较前期有较大改善。后续公司将结合在手订单情况，合理调整新老产能布局，确保汽车线束产能能够满足定点项目的订单需求。未来，公司计划进一步加大在新能源汽车线束领域的研发投入，合理规划产能布局，持续提升新能源线束业务占比。</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3、新能源汽车线束单车价值相较传统燃油车如何？</w:t>
            </w:r>
          </w:p>
          <w:p>
            <w:pPr>
              <w:spacing w:line="360" w:lineRule="auto"/>
              <w:ind w:firstLine="480" w:firstLineChars="200"/>
              <w:rPr>
                <w:rFonts w:hint="eastAsia" w:asciiTheme="minorEastAsia" w:hAnsiTheme="minorEastAsia" w:eastAsiaTheme="minorEastAsia"/>
                <w:bCs/>
                <w:sz w:val="24"/>
              </w:rPr>
            </w:pPr>
            <w:r>
              <w:rPr>
                <w:rFonts w:hint="eastAsia" w:asciiTheme="minorEastAsia" w:hAnsiTheme="minorEastAsia" w:eastAsiaTheme="minorEastAsia"/>
                <w:bCs/>
                <w:sz w:val="24"/>
              </w:rPr>
              <w:t>单车线束价值会根据不同车型有所差异，一般情况下，新能源汽车的线束单车价值比传统燃油车的线束单车价值要高，且占整车售价比例更高。</w:t>
            </w:r>
          </w:p>
          <w:p>
            <w:pPr>
              <w:spacing w:line="360" w:lineRule="auto"/>
              <w:ind w:firstLine="482" w:firstLineChars="200"/>
              <w:rPr>
                <w:rFonts w:ascii="宋体" w:hAnsi="宋体" w:cs="宋体"/>
                <w:b/>
                <w:bCs/>
                <w:sz w:val="24"/>
              </w:rPr>
            </w:pPr>
            <w:r>
              <w:rPr>
                <w:rFonts w:hint="eastAsia" w:asciiTheme="minorEastAsia" w:hAnsiTheme="minorEastAsia" w:eastAsiaTheme="minorEastAsia"/>
                <w:b/>
                <w:sz w:val="24"/>
              </w:rPr>
              <w:t>4、</w:t>
            </w:r>
            <w:r>
              <w:rPr>
                <w:rFonts w:hint="eastAsia" w:ascii="宋体" w:hAnsi="宋体" w:cs="宋体"/>
                <w:b/>
                <w:bCs/>
                <w:sz w:val="24"/>
              </w:rPr>
              <w:t>请介绍下贵公司目前在光芯片领域的布局和发展规划。</w:t>
            </w:r>
          </w:p>
          <w:p>
            <w:pPr>
              <w:spacing w:line="360" w:lineRule="auto"/>
              <w:ind w:firstLine="480" w:firstLineChars="200"/>
              <w:rPr>
                <w:rFonts w:hint="eastAsia" w:cs="宋体" w:asciiTheme="minorEastAsia" w:hAnsiTheme="minorEastAsia" w:eastAsiaTheme="minorEastAsia"/>
                <w:color w:val="000000"/>
                <w:kern w:val="0"/>
                <w:sz w:val="24"/>
                <w:lang w:val="zh-CN"/>
              </w:rPr>
            </w:pPr>
            <w:r>
              <w:rPr>
                <w:rFonts w:hint="eastAsia" w:cs="宋体" w:asciiTheme="minorEastAsia" w:hAnsiTheme="minorEastAsia" w:eastAsiaTheme="minorEastAsia"/>
                <w:sz w:val="24"/>
              </w:rPr>
              <w:t>公司深耕光器件行业多年，具备丰富的行业经验，目前在该领域已</w:t>
            </w:r>
            <w:r>
              <w:rPr>
                <w:rFonts w:hint="eastAsia" w:cs="宋体" w:asciiTheme="minorEastAsia" w:hAnsiTheme="minorEastAsia" w:eastAsiaTheme="minorEastAsia"/>
                <w:color w:val="000000"/>
                <w:kern w:val="0"/>
                <w:sz w:val="24"/>
                <w:lang w:val="zh-CN"/>
              </w:rPr>
              <w:t>经实现了从光芯片到光器件到光模块最后到系统集成的全产业链布局。光芯片聚焦在无源</w:t>
            </w:r>
            <w:r>
              <w:rPr>
                <w:rFonts w:cs="Calibri" w:asciiTheme="minorEastAsia" w:hAnsiTheme="minorEastAsia" w:eastAsiaTheme="minorEastAsia"/>
                <w:color w:val="000000"/>
                <w:kern w:val="0"/>
                <w:sz w:val="24"/>
              </w:rPr>
              <w:t>TFF/AWG</w:t>
            </w:r>
            <w:r>
              <w:rPr>
                <w:rFonts w:hint="eastAsia" w:cs="宋体" w:asciiTheme="minorEastAsia" w:hAnsiTheme="minorEastAsia" w:eastAsiaTheme="minorEastAsia"/>
                <w:color w:val="000000"/>
                <w:kern w:val="0"/>
                <w:sz w:val="24"/>
                <w:lang w:val="zh-CN"/>
              </w:rPr>
              <w:t>芯片、有源的激光器芯片三款产品。年内以国内市场为主，聚焦</w:t>
            </w:r>
            <w:r>
              <w:rPr>
                <w:rFonts w:cs="Calibri" w:asciiTheme="minorEastAsia" w:hAnsiTheme="minorEastAsia" w:eastAsiaTheme="minorEastAsia"/>
                <w:color w:val="000000"/>
                <w:kern w:val="0"/>
                <w:sz w:val="24"/>
              </w:rPr>
              <w:t>5G</w:t>
            </w:r>
            <w:r>
              <w:rPr>
                <w:rFonts w:hint="eastAsia" w:cs="宋体" w:asciiTheme="minorEastAsia" w:hAnsiTheme="minorEastAsia" w:eastAsiaTheme="minorEastAsia"/>
                <w:color w:val="000000"/>
                <w:kern w:val="0"/>
                <w:sz w:val="24"/>
                <w:lang w:val="zh-CN"/>
              </w:rPr>
              <w:t>前传市场、</w:t>
            </w:r>
            <w:r>
              <w:rPr>
                <w:rFonts w:cs="Calibri" w:asciiTheme="minorEastAsia" w:hAnsiTheme="minorEastAsia" w:eastAsiaTheme="minorEastAsia"/>
                <w:color w:val="000000"/>
                <w:kern w:val="0"/>
                <w:sz w:val="24"/>
              </w:rPr>
              <w:t>DCI</w:t>
            </w:r>
            <w:r>
              <w:rPr>
                <w:rFonts w:hint="eastAsia" w:cs="宋体" w:asciiTheme="minorEastAsia" w:hAnsiTheme="minorEastAsia" w:eastAsiaTheme="minorEastAsia"/>
                <w:color w:val="000000"/>
                <w:kern w:val="0"/>
                <w:sz w:val="24"/>
                <w:lang w:val="zh-CN"/>
              </w:rPr>
              <w:t>运营商市场、光模块的芯片</w:t>
            </w:r>
            <w:r>
              <w:rPr>
                <w:rFonts w:cs="Calibri" w:asciiTheme="minorEastAsia" w:hAnsiTheme="minorEastAsia" w:eastAsiaTheme="minorEastAsia"/>
                <w:color w:val="000000"/>
                <w:kern w:val="0"/>
                <w:sz w:val="24"/>
              </w:rPr>
              <w:t>/</w:t>
            </w:r>
            <w:r>
              <w:rPr>
                <w:rFonts w:hint="eastAsia" w:cs="宋体" w:asciiTheme="minorEastAsia" w:hAnsiTheme="minorEastAsia" w:eastAsiaTheme="minorEastAsia"/>
                <w:color w:val="000000"/>
                <w:kern w:val="0"/>
                <w:sz w:val="24"/>
                <w:lang w:val="zh-CN"/>
              </w:rPr>
              <w:t>器件市场及大型设备商市场。</w:t>
            </w:r>
          </w:p>
          <w:p>
            <w:pPr>
              <w:spacing w:line="360" w:lineRule="auto"/>
              <w:ind w:firstLine="482" w:firstLineChars="200"/>
              <w:rPr>
                <w:rFonts w:hint="eastAsia" w:asciiTheme="majorEastAsia" w:hAnsiTheme="majorEastAsia" w:eastAsiaTheme="majorEastAsia"/>
                <w:b/>
                <w:sz w:val="24"/>
              </w:rPr>
            </w:pPr>
            <w:r>
              <w:rPr>
                <w:rFonts w:hint="eastAsia" w:asciiTheme="majorEastAsia" w:hAnsiTheme="majorEastAsia" w:eastAsiaTheme="majorEastAsia"/>
                <w:b/>
                <w:sz w:val="24"/>
              </w:rPr>
              <w:t>5、</w:t>
            </w:r>
            <w:r>
              <w:rPr>
                <w:rFonts w:asciiTheme="majorEastAsia" w:hAnsiTheme="majorEastAsia" w:eastAsiaTheme="majorEastAsia"/>
                <w:b/>
                <w:sz w:val="24"/>
              </w:rPr>
              <w:t>公司建设</w:t>
            </w:r>
            <w:r>
              <w:rPr>
                <w:rFonts w:hint="eastAsia" w:asciiTheme="majorEastAsia" w:hAnsiTheme="majorEastAsia" w:eastAsiaTheme="majorEastAsia"/>
                <w:b/>
                <w:sz w:val="24"/>
              </w:rPr>
              <w:t>海缆项目</w:t>
            </w:r>
            <w:r>
              <w:rPr>
                <w:rFonts w:asciiTheme="majorEastAsia" w:hAnsiTheme="majorEastAsia" w:eastAsiaTheme="majorEastAsia"/>
                <w:b/>
                <w:sz w:val="24"/>
              </w:rPr>
              <w:t>出于何种考虑？</w:t>
            </w:r>
          </w:p>
          <w:p>
            <w:pPr>
              <w:spacing w:line="360" w:lineRule="auto"/>
              <w:ind w:firstLine="480" w:firstLineChars="200"/>
              <w:rPr>
                <w:rFonts w:hint="eastAsia" w:asciiTheme="majorEastAsia" w:hAnsiTheme="majorEastAsia" w:eastAsiaTheme="majorEastAsia"/>
                <w:sz w:val="24"/>
              </w:rPr>
            </w:pPr>
            <w:r>
              <w:rPr>
                <w:rFonts w:hint="eastAsia" w:asciiTheme="majorEastAsia" w:hAnsiTheme="majorEastAsia" w:eastAsiaTheme="majorEastAsia"/>
                <w:sz w:val="24"/>
              </w:rPr>
              <w:t>公司通过</w:t>
            </w:r>
            <w:r>
              <w:rPr>
                <w:rFonts w:asciiTheme="majorEastAsia" w:hAnsiTheme="majorEastAsia" w:eastAsiaTheme="majorEastAsia"/>
                <w:sz w:val="24"/>
              </w:rPr>
              <w:t>投资建设“高端海缆及陆缆建设项目”</w:t>
            </w:r>
            <w:r>
              <w:rPr>
                <w:rFonts w:hint="eastAsia" w:asciiTheme="majorEastAsia" w:hAnsiTheme="majorEastAsia" w:eastAsiaTheme="majorEastAsia"/>
                <w:sz w:val="24"/>
              </w:rPr>
              <w:t>，</w:t>
            </w:r>
            <w:r>
              <w:rPr>
                <w:sz w:val="24"/>
              </w:rPr>
              <w:t>依托多年在光缆、电缆领域丰富的技术积累和产品开发经验，加大对海洋电缆的技术研发力度，提升公司综合实力</w:t>
            </w:r>
            <w:r>
              <w:rPr>
                <w:rFonts w:hint="eastAsia"/>
                <w:sz w:val="24"/>
              </w:rPr>
              <w:t>，</w:t>
            </w:r>
            <w:r>
              <w:rPr>
                <w:sz w:val="24"/>
              </w:rPr>
              <w:t>进一步丰富和优化现有电缆产品体系，提高公司整体盈利水平。</w:t>
            </w:r>
            <w:r>
              <w:rPr>
                <w:rFonts w:hint="eastAsia" w:asciiTheme="majorEastAsia" w:hAnsiTheme="majorEastAsia" w:eastAsiaTheme="majorEastAsia"/>
                <w:sz w:val="24"/>
              </w:rPr>
              <w:t>另外，公司拥有做海缆基因（子公司曾开展海缆业务），且海缆业务与海外电力工程业务有较好协同效应。经过前期调研论证以及与南通地方政府交流探讨，选择项目落地南通，建设海缆及“一带一路”产业基地。</w:t>
            </w:r>
          </w:p>
          <w:p>
            <w:pPr>
              <w:spacing w:line="360" w:lineRule="auto"/>
              <w:ind w:firstLine="482" w:firstLineChars="200"/>
              <w:rPr>
                <w:rFonts w:cs="宋体" w:asciiTheme="majorEastAsia" w:hAnsiTheme="majorEastAsia" w:eastAsiaTheme="majorEastAsia"/>
                <w:b/>
                <w:sz w:val="24"/>
              </w:rPr>
            </w:pPr>
            <w:r>
              <w:rPr>
                <w:rFonts w:hint="eastAsia" w:cs="宋体" w:asciiTheme="majorEastAsia" w:hAnsiTheme="majorEastAsia" w:eastAsiaTheme="majorEastAsia"/>
                <w:b/>
                <w:sz w:val="24"/>
              </w:rPr>
              <w:t>6、公司未来发展是如何规划的？</w:t>
            </w:r>
          </w:p>
          <w:p>
            <w:pPr>
              <w:spacing w:line="360" w:lineRule="auto"/>
              <w:ind w:firstLine="480" w:firstLineChars="200"/>
              <w:rPr>
                <w:rFonts w:asciiTheme="majorEastAsia" w:hAnsiTheme="majorEastAsia" w:eastAsiaTheme="majorEastAsia"/>
                <w:sz w:val="24"/>
              </w:rPr>
            </w:pPr>
            <w:r>
              <w:rPr>
                <w:rFonts w:asciiTheme="majorEastAsia" w:hAnsiTheme="majorEastAsia" w:eastAsiaTheme="majorEastAsia"/>
                <w:sz w:val="24"/>
              </w:rPr>
              <w:t>光通信产业聚焦“新基建”</w:t>
            </w:r>
            <w:r>
              <w:rPr>
                <w:rFonts w:hint="eastAsia" w:asciiTheme="majorEastAsia" w:hAnsiTheme="majorEastAsia" w:eastAsiaTheme="majorEastAsia"/>
                <w:sz w:val="24"/>
              </w:rPr>
              <w:t>，</w:t>
            </w:r>
            <w:bookmarkStart w:id="0" w:name="_GoBack"/>
            <w:bookmarkEnd w:id="0"/>
            <w:r>
              <w:rPr>
                <w:rFonts w:asciiTheme="majorEastAsia" w:hAnsiTheme="majorEastAsia" w:eastAsiaTheme="majorEastAsia"/>
                <w:sz w:val="24"/>
              </w:rPr>
              <w:t xml:space="preserve"> 提供 5G/固网宽带“双千兆”网络、DCI（数据中心互联）综合解决方案，以及数据收集与信息服务解决方案；电力传输产业聚焦“新能源”，重点发展汽车高压线束、海底电缆与超导电力等新能源相关业务，并保持海外工程稳中有进、可持续发展。</w:t>
            </w:r>
            <w:r>
              <w:rPr>
                <w:rFonts w:hint="eastAsia" w:cs="宋体" w:asciiTheme="majorEastAsia" w:hAnsiTheme="majorEastAsia" w:eastAsiaTheme="majorEastAsia"/>
                <w:sz w:val="24"/>
              </w:rPr>
              <w:t>公司对光器件、光模块、光网络设备等5G通信设备的提前部署，使公司顺利跟上了5G商用的步伐。公司在拓展已有的光模块、光器件、光芯片产业优势的同时，积极谋划布局5G+新基建、5G+超高压、5G+物联网领域，拓展全产业链，加快产业协同，力争成为“光联万物的智慧物联场景服务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vAlign w:val="center"/>
          </w:tcPr>
          <w:p>
            <w:pPr>
              <w:spacing w:line="360" w:lineRule="auto"/>
              <w:jc w:val="center"/>
              <w:rPr>
                <w:rFonts w:ascii="宋体" w:hAnsi="宋体"/>
                <w:bCs/>
                <w:iCs/>
                <w:color w:val="000000"/>
                <w:sz w:val="24"/>
              </w:rPr>
            </w:pPr>
            <w:r>
              <w:rPr>
                <w:rFonts w:hint="eastAsia" w:ascii="宋体" w:hAnsi="宋体"/>
                <w:bCs/>
                <w:iCs/>
                <w:color w:val="000000"/>
                <w:sz w:val="24"/>
              </w:rPr>
              <w:t>附件</w:t>
            </w:r>
          </w:p>
        </w:tc>
        <w:tc>
          <w:tcPr>
            <w:tcW w:w="7275" w:type="dxa"/>
          </w:tcPr>
          <w:p>
            <w:pPr>
              <w:spacing w:line="360" w:lineRule="auto"/>
              <w:jc w:val="left"/>
              <w:rPr>
                <w:rFonts w:ascii="宋体" w:hAnsi="宋体"/>
                <w:bCs/>
                <w:iCs/>
                <w:color w:val="000000"/>
                <w:sz w:val="24"/>
              </w:rPr>
            </w:pPr>
            <w:r>
              <w:rPr>
                <w:rFonts w:hint="eastAsia" w:ascii="宋体" w:hAnsi="宋体"/>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vAlign w:val="center"/>
          </w:tcPr>
          <w:p>
            <w:pPr>
              <w:spacing w:line="360" w:lineRule="auto"/>
              <w:jc w:val="center"/>
              <w:rPr>
                <w:rFonts w:ascii="宋体" w:hAnsi="宋体"/>
                <w:bCs/>
                <w:iCs/>
                <w:color w:val="000000"/>
                <w:sz w:val="24"/>
              </w:rPr>
            </w:pPr>
            <w:r>
              <w:rPr>
                <w:rFonts w:hint="eastAsia" w:ascii="宋体" w:hAnsi="宋体"/>
                <w:bCs/>
                <w:iCs/>
                <w:color w:val="000000"/>
                <w:sz w:val="24"/>
              </w:rPr>
              <w:t>日期</w:t>
            </w:r>
          </w:p>
        </w:tc>
        <w:tc>
          <w:tcPr>
            <w:tcW w:w="7275" w:type="dxa"/>
          </w:tcPr>
          <w:p>
            <w:pPr>
              <w:spacing w:line="360" w:lineRule="auto"/>
              <w:jc w:val="left"/>
              <w:rPr>
                <w:rFonts w:ascii="宋体" w:hAnsi="宋体"/>
                <w:bCs/>
                <w:iCs/>
                <w:color w:val="000000"/>
                <w:sz w:val="24"/>
              </w:rPr>
            </w:pPr>
            <w:r>
              <w:rPr>
                <w:rFonts w:hint="eastAsia" w:ascii="宋体" w:hAnsi="宋体"/>
                <w:bCs/>
                <w:iCs/>
                <w:color w:val="000000"/>
                <w:sz w:val="24"/>
              </w:rPr>
              <w:t>2022年8月9日</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3MzA2YTUxN2Y0YjFlMGEzZThiZjU5YzU1MjNlNjEifQ=="/>
  </w:docVars>
  <w:rsids>
    <w:rsidRoot w:val="0042075F"/>
    <w:rsid w:val="0001168E"/>
    <w:rsid w:val="000164D1"/>
    <w:rsid w:val="00026F66"/>
    <w:rsid w:val="000345F0"/>
    <w:rsid w:val="00041A2F"/>
    <w:rsid w:val="000A32A1"/>
    <w:rsid w:val="000A4BC5"/>
    <w:rsid w:val="000A5487"/>
    <w:rsid w:val="000E6584"/>
    <w:rsid w:val="000E68DF"/>
    <w:rsid w:val="00107964"/>
    <w:rsid w:val="00111A91"/>
    <w:rsid w:val="00115F19"/>
    <w:rsid w:val="00121DF1"/>
    <w:rsid w:val="001232A5"/>
    <w:rsid w:val="00156A58"/>
    <w:rsid w:val="00172368"/>
    <w:rsid w:val="00176AC2"/>
    <w:rsid w:val="0019216E"/>
    <w:rsid w:val="001B221B"/>
    <w:rsid w:val="001E04B0"/>
    <w:rsid w:val="001F182A"/>
    <w:rsid w:val="00205563"/>
    <w:rsid w:val="00237665"/>
    <w:rsid w:val="002C2489"/>
    <w:rsid w:val="002C3EFE"/>
    <w:rsid w:val="002E5966"/>
    <w:rsid w:val="00313E3F"/>
    <w:rsid w:val="0031652F"/>
    <w:rsid w:val="0033543E"/>
    <w:rsid w:val="00362C5A"/>
    <w:rsid w:val="00383D44"/>
    <w:rsid w:val="003C095A"/>
    <w:rsid w:val="003D6FBD"/>
    <w:rsid w:val="003F4860"/>
    <w:rsid w:val="00404088"/>
    <w:rsid w:val="0042049F"/>
    <w:rsid w:val="0042075F"/>
    <w:rsid w:val="00441FCE"/>
    <w:rsid w:val="0048076C"/>
    <w:rsid w:val="004848F7"/>
    <w:rsid w:val="00492BED"/>
    <w:rsid w:val="00495A6B"/>
    <w:rsid w:val="004A23E3"/>
    <w:rsid w:val="004A7B91"/>
    <w:rsid w:val="004C684D"/>
    <w:rsid w:val="004D4D54"/>
    <w:rsid w:val="00500E54"/>
    <w:rsid w:val="00502B4E"/>
    <w:rsid w:val="00554695"/>
    <w:rsid w:val="005943AF"/>
    <w:rsid w:val="00597562"/>
    <w:rsid w:val="005E296A"/>
    <w:rsid w:val="00601796"/>
    <w:rsid w:val="00621E62"/>
    <w:rsid w:val="0062309F"/>
    <w:rsid w:val="00631E4A"/>
    <w:rsid w:val="00654C49"/>
    <w:rsid w:val="00656BD6"/>
    <w:rsid w:val="00662580"/>
    <w:rsid w:val="00671A2E"/>
    <w:rsid w:val="006A1BC2"/>
    <w:rsid w:val="006B3ADC"/>
    <w:rsid w:val="006F1799"/>
    <w:rsid w:val="00722BB1"/>
    <w:rsid w:val="00727CD5"/>
    <w:rsid w:val="00734173"/>
    <w:rsid w:val="00740D97"/>
    <w:rsid w:val="00743BCA"/>
    <w:rsid w:val="00751884"/>
    <w:rsid w:val="0076021E"/>
    <w:rsid w:val="0079114B"/>
    <w:rsid w:val="007916BA"/>
    <w:rsid w:val="0080500D"/>
    <w:rsid w:val="00846DF6"/>
    <w:rsid w:val="00871C2A"/>
    <w:rsid w:val="008C4E24"/>
    <w:rsid w:val="008D577B"/>
    <w:rsid w:val="008E4E0C"/>
    <w:rsid w:val="00943B5F"/>
    <w:rsid w:val="00947FE7"/>
    <w:rsid w:val="0095339B"/>
    <w:rsid w:val="00963B86"/>
    <w:rsid w:val="00972F39"/>
    <w:rsid w:val="009817DD"/>
    <w:rsid w:val="009D7B46"/>
    <w:rsid w:val="009E0719"/>
    <w:rsid w:val="009F3442"/>
    <w:rsid w:val="00A1016E"/>
    <w:rsid w:val="00A3524C"/>
    <w:rsid w:val="00A44B2F"/>
    <w:rsid w:val="00A476EA"/>
    <w:rsid w:val="00A5245D"/>
    <w:rsid w:val="00A92BEF"/>
    <w:rsid w:val="00AB7C6C"/>
    <w:rsid w:val="00AD4272"/>
    <w:rsid w:val="00B251B3"/>
    <w:rsid w:val="00B348B5"/>
    <w:rsid w:val="00B519A0"/>
    <w:rsid w:val="00B67018"/>
    <w:rsid w:val="00C301B6"/>
    <w:rsid w:val="00C53DAA"/>
    <w:rsid w:val="00C56778"/>
    <w:rsid w:val="00C61B2D"/>
    <w:rsid w:val="00C75326"/>
    <w:rsid w:val="00C83C42"/>
    <w:rsid w:val="00C950C2"/>
    <w:rsid w:val="00CA3321"/>
    <w:rsid w:val="00CB6A45"/>
    <w:rsid w:val="00CD5626"/>
    <w:rsid w:val="00CF4D20"/>
    <w:rsid w:val="00D6095E"/>
    <w:rsid w:val="00D803CD"/>
    <w:rsid w:val="00DA5E50"/>
    <w:rsid w:val="00DB29A0"/>
    <w:rsid w:val="00DD33B4"/>
    <w:rsid w:val="00DE1915"/>
    <w:rsid w:val="00E17324"/>
    <w:rsid w:val="00E23E03"/>
    <w:rsid w:val="00E411FC"/>
    <w:rsid w:val="00E52BF9"/>
    <w:rsid w:val="00E64DB5"/>
    <w:rsid w:val="00E76B5F"/>
    <w:rsid w:val="00E8276D"/>
    <w:rsid w:val="00EC31F4"/>
    <w:rsid w:val="00ED3B02"/>
    <w:rsid w:val="00F15783"/>
    <w:rsid w:val="00F303DD"/>
    <w:rsid w:val="00F94DE9"/>
    <w:rsid w:val="00FC01FC"/>
    <w:rsid w:val="00FE257C"/>
    <w:rsid w:val="00FE6B86"/>
    <w:rsid w:val="03113495"/>
    <w:rsid w:val="1375372D"/>
    <w:rsid w:val="13A05E2E"/>
    <w:rsid w:val="14593E5B"/>
    <w:rsid w:val="170379DD"/>
    <w:rsid w:val="176605B0"/>
    <w:rsid w:val="17FE46FF"/>
    <w:rsid w:val="17FF1FAC"/>
    <w:rsid w:val="18050FE4"/>
    <w:rsid w:val="1BD10242"/>
    <w:rsid w:val="1EF31F40"/>
    <w:rsid w:val="20B307D8"/>
    <w:rsid w:val="22CF47DA"/>
    <w:rsid w:val="24A50EE2"/>
    <w:rsid w:val="270B7C40"/>
    <w:rsid w:val="28F46F63"/>
    <w:rsid w:val="290469A0"/>
    <w:rsid w:val="29050318"/>
    <w:rsid w:val="30DC2394"/>
    <w:rsid w:val="30F07989"/>
    <w:rsid w:val="34DA0F7B"/>
    <w:rsid w:val="3509160C"/>
    <w:rsid w:val="37A728DD"/>
    <w:rsid w:val="406B6964"/>
    <w:rsid w:val="417D23A0"/>
    <w:rsid w:val="47AC742C"/>
    <w:rsid w:val="4D5F40EA"/>
    <w:rsid w:val="4FB33DCF"/>
    <w:rsid w:val="503E25D3"/>
    <w:rsid w:val="539C233F"/>
    <w:rsid w:val="544B5B8D"/>
    <w:rsid w:val="546450F4"/>
    <w:rsid w:val="5838097A"/>
    <w:rsid w:val="5D692BAD"/>
    <w:rsid w:val="5D9C6C01"/>
    <w:rsid w:val="5E793CBD"/>
    <w:rsid w:val="60842988"/>
    <w:rsid w:val="634A6375"/>
    <w:rsid w:val="639D7C41"/>
    <w:rsid w:val="65165EBD"/>
    <w:rsid w:val="6609531F"/>
    <w:rsid w:val="66C21972"/>
    <w:rsid w:val="6ACE0EE2"/>
    <w:rsid w:val="6D106CA5"/>
    <w:rsid w:val="6D6629F0"/>
    <w:rsid w:val="72AF7B03"/>
    <w:rsid w:val="73F04D89"/>
    <w:rsid w:val="75ED6A74"/>
    <w:rsid w:val="793520F1"/>
    <w:rsid w:val="7BD571D5"/>
    <w:rsid w:val="7FD57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uiPriority w:val="0"/>
    <w:rPr>
      <w:kern w:val="2"/>
      <w:sz w:val="18"/>
      <w:szCs w:val="18"/>
    </w:rPr>
  </w:style>
  <w:style w:type="character" w:customStyle="1" w:styleId="9">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2010</Words>
  <Characters>2077</Characters>
  <Lines>15</Lines>
  <Paragraphs>4</Paragraphs>
  <TotalTime>39</TotalTime>
  <ScaleCrop>false</ScaleCrop>
  <LinksUpToDate>false</LinksUpToDate>
  <CharactersWithSpaces>2199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2020-03-31T00:07:00Z</dcterms:created>
  <dc:creator>MyPC</dc:creator>
  <cp:lastModifiedBy>lyf</cp:lastModifiedBy>
  <cp:lastPrinted>2022-08-09T07:46:00Z</cp:lastPrinted>
  <dcterms:modified xsi:type="dcterms:W3CDTF">2022-08-09T08:20:13Z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7C235EBBF12C48FDB7893BE057F8A8FA</vt:lpwstr>
  </property>
</Properties>
</file>